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F7553">
      <w:pPr>
        <w:jc w:val="right"/>
        <w:rPr>
          <w:rFonts w:ascii="黑体" w:eastAsia="黑体"/>
          <w:color w:val="000000" w:themeColor="text1"/>
          <w:szCs w:val="21"/>
          <w14:textFill>
            <w14:solidFill>
              <w14:schemeClr w14:val="tx1"/>
            </w14:solidFill>
          </w14:textFill>
        </w:rPr>
      </w:pPr>
    </w:p>
    <w:p w14:paraId="59F994BF">
      <w:pPr>
        <w:pStyle w:val="40"/>
        <w:ind w:firstLine="400"/>
        <w:rPr>
          <w:color w:val="000000" w:themeColor="text1"/>
          <w14:textFill>
            <w14:solidFill>
              <w14:schemeClr w14:val="tx1"/>
            </w14:solidFill>
          </w14:textFill>
        </w:rPr>
      </w:pPr>
    </w:p>
    <w:p w14:paraId="14D60297">
      <w:pPr>
        <w:rPr>
          <w:color w:val="000000" w:themeColor="text1"/>
          <w14:textFill>
            <w14:solidFill>
              <w14:schemeClr w14:val="tx1"/>
            </w14:solidFill>
          </w14:textFill>
        </w:rPr>
      </w:pPr>
    </w:p>
    <w:p w14:paraId="2454813A">
      <w:pPr>
        <w:rPr>
          <w:color w:val="000000" w:themeColor="text1"/>
          <w14:textFill>
            <w14:solidFill>
              <w14:schemeClr w14:val="tx1"/>
            </w14:solidFill>
          </w14:textFill>
        </w:rPr>
      </w:pPr>
    </w:p>
    <w:p w14:paraId="0E6FD606">
      <w:pPr>
        <w:rPr>
          <w:color w:val="000000" w:themeColor="text1"/>
          <w14:textFill>
            <w14:solidFill>
              <w14:schemeClr w14:val="tx1"/>
            </w14:solidFill>
          </w14:textFill>
        </w:rPr>
      </w:pPr>
    </w:p>
    <w:p w14:paraId="4AEC015E">
      <w:pPr>
        <w:ind w:right="-28"/>
        <w:jc w:val="center"/>
        <w:textAlignment w:val="bottom"/>
        <w:rPr>
          <w:rFonts w:ascii="黑体" w:hAnsi="黑体" w:eastAsia="黑体" w:cs="黑体"/>
          <w:bCs/>
          <w:color w:val="000000" w:themeColor="text1"/>
          <w:spacing w:val="57"/>
          <w:sz w:val="96"/>
          <w:szCs w:val="96"/>
          <w14:textFill>
            <w14:solidFill>
              <w14:schemeClr w14:val="tx1"/>
            </w14:solidFill>
          </w14:textFill>
        </w:rPr>
      </w:pPr>
      <w:r>
        <w:rPr>
          <w:rFonts w:hint="eastAsia" w:ascii="黑体" w:hAnsi="黑体" w:eastAsia="黑体" w:cs="黑体"/>
          <w:bCs/>
          <w:color w:val="000000" w:themeColor="text1"/>
          <w:spacing w:val="57"/>
          <w:sz w:val="96"/>
          <w:szCs w:val="96"/>
          <w14:textFill>
            <w14:solidFill>
              <w14:schemeClr w14:val="tx1"/>
            </w14:solidFill>
          </w14:textFill>
        </w:rPr>
        <w:t>公开采购文件</w:t>
      </w:r>
    </w:p>
    <w:p w14:paraId="4628AC5D">
      <w:pPr>
        <w:rPr>
          <w:color w:val="000000" w:themeColor="text1"/>
          <w14:textFill>
            <w14:solidFill>
              <w14:schemeClr w14:val="tx1"/>
            </w14:solidFill>
          </w14:textFill>
        </w:rPr>
      </w:pPr>
    </w:p>
    <w:p w14:paraId="02C9B376">
      <w:pPr>
        <w:pStyle w:val="11"/>
        <w:rPr>
          <w:color w:val="000000" w:themeColor="text1"/>
          <w14:textFill>
            <w14:solidFill>
              <w14:schemeClr w14:val="tx1"/>
            </w14:solidFill>
          </w14:textFill>
        </w:rPr>
      </w:pPr>
    </w:p>
    <w:p w14:paraId="0F75CF01">
      <w:pPr>
        <w:rPr>
          <w:color w:val="000000" w:themeColor="text1"/>
          <w14:textFill>
            <w14:solidFill>
              <w14:schemeClr w14:val="tx1"/>
            </w14:solidFill>
          </w14:textFill>
        </w:rPr>
      </w:pPr>
    </w:p>
    <w:p w14:paraId="2B8CC322">
      <w:pPr>
        <w:rPr>
          <w:color w:val="000000" w:themeColor="text1"/>
          <w14:textFill>
            <w14:solidFill>
              <w14:schemeClr w14:val="tx1"/>
            </w14:solidFill>
          </w14:textFill>
        </w:rPr>
      </w:pPr>
    </w:p>
    <w:p w14:paraId="22D1C992">
      <w:pPr>
        <w:rPr>
          <w:color w:val="000000" w:themeColor="text1"/>
          <w14:textFill>
            <w14:solidFill>
              <w14:schemeClr w14:val="tx1"/>
            </w14:solidFill>
          </w14:textFill>
        </w:rPr>
      </w:pPr>
    </w:p>
    <w:p w14:paraId="328E86F3">
      <w:pPr>
        <w:rPr>
          <w:color w:val="000000" w:themeColor="text1"/>
          <w14:textFill>
            <w14:solidFill>
              <w14:schemeClr w14:val="tx1"/>
            </w14:solidFill>
          </w14:textFill>
        </w:rPr>
      </w:pPr>
    </w:p>
    <w:p w14:paraId="1A12592F">
      <w:pPr>
        <w:rPr>
          <w:color w:val="000000" w:themeColor="text1"/>
          <w14:textFill>
            <w14:solidFill>
              <w14:schemeClr w14:val="tx1"/>
            </w14:solidFill>
          </w14:textFill>
        </w:rPr>
      </w:pPr>
    </w:p>
    <w:p w14:paraId="1C35B6DE">
      <w:pPr>
        <w:rPr>
          <w:color w:val="000000" w:themeColor="text1"/>
          <w14:textFill>
            <w14:solidFill>
              <w14:schemeClr w14:val="tx1"/>
            </w14:solidFill>
          </w14:textFill>
        </w:rPr>
      </w:pPr>
    </w:p>
    <w:tbl>
      <w:tblPr>
        <w:tblStyle w:val="32"/>
        <w:tblW w:w="0" w:type="auto"/>
        <w:tblInd w:w="-2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02"/>
        <w:gridCol w:w="6177"/>
      </w:tblGrid>
      <w:tr w14:paraId="38416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602" w:type="dxa"/>
            <w:noWrap/>
            <w:vAlign w:val="center"/>
          </w:tcPr>
          <w:p w14:paraId="6FD91FBC">
            <w:pPr>
              <w:spacing w:before="200"/>
              <w:jc w:val="both"/>
              <w:rPr>
                <w:rFonts w:hint="eastAsia" w:asciiTheme="minorEastAsia" w:hAnsiTheme="minorEastAsia" w:eastAsiaTheme="minorEastAsia" w:cstheme="minorEastAsia"/>
                <w:bCs/>
                <w:color w:val="000000" w:themeColor="text1"/>
                <w:sz w:val="28"/>
                <w:szCs w:val="22"/>
                <w14:textFill>
                  <w14:solidFill>
                    <w14:schemeClr w14:val="tx1"/>
                  </w14:solidFill>
                </w14:textFill>
              </w:rPr>
            </w:pPr>
            <w:r>
              <w:rPr>
                <w:rFonts w:hint="eastAsia" w:asciiTheme="minorEastAsia" w:hAnsiTheme="minorEastAsia" w:eastAsiaTheme="minorEastAsia" w:cstheme="minorEastAsia"/>
                <w:bCs/>
                <w:color w:val="000000" w:themeColor="text1"/>
                <w:sz w:val="28"/>
                <w:szCs w:val="22"/>
                <w14:textFill>
                  <w14:solidFill>
                    <w14:schemeClr w14:val="tx1"/>
                  </w14:solidFill>
                </w14:textFill>
              </w:rPr>
              <w:t>项目名称：</w:t>
            </w:r>
          </w:p>
        </w:tc>
        <w:tc>
          <w:tcPr>
            <w:tcW w:w="6177" w:type="dxa"/>
            <w:noWrap/>
            <w:vAlign w:val="center"/>
          </w:tcPr>
          <w:p w14:paraId="40D68C12">
            <w:pPr>
              <w:spacing w:before="200"/>
              <w:jc w:val="both"/>
              <w:rPr>
                <w:rFonts w:hint="eastAsia" w:asciiTheme="minorEastAsia" w:hAnsiTheme="minorEastAsia" w:eastAsiaTheme="minorEastAsia" w:cstheme="minorEastAsia"/>
                <w:bCs/>
                <w:color w:val="000000" w:themeColor="text1"/>
                <w:sz w:val="28"/>
                <w:szCs w:val="22"/>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2"/>
                <w:lang w:eastAsia="zh-CN"/>
                <w14:textFill>
                  <w14:solidFill>
                    <w14:schemeClr w14:val="tx1"/>
                  </w14:solidFill>
                </w14:textFill>
              </w:rPr>
              <w:t>东莞能源集团安全信息化管理系统建设项目（重新采购）</w:t>
            </w:r>
          </w:p>
        </w:tc>
      </w:tr>
      <w:tr w14:paraId="514A8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2602" w:type="dxa"/>
            <w:noWrap/>
            <w:vAlign w:val="center"/>
          </w:tcPr>
          <w:p w14:paraId="6A543730">
            <w:pPr>
              <w:spacing w:before="200"/>
              <w:jc w:val="both"/>
              <w:rPr>
                <w:rFonts w:hint="eastAsia" w:asciiTheme="minorEastAsia" w:hAnsiTheme="minorEastAsia" w:eastAsiaTheme="minorEastAsia" w:cstheme="minorEastAsia"/>
                <w:bCs/>
                <w:color w:val="000000" w:themeColor="text1"/>
                <w:sz w:val="28"/>
                <w:szCs w:val="22"/>
                <w14:textFill>
                  <w14:solidFill>
                    <w14:schemeClr w14:val="tx1"/>
                  </w14:solidFill>
                </w14:textFill>
              </w:rPr>
            </w:pPr>
            <w:r>
              <w:rPr>
                <w:rFonts w:hint="eastAsia" w:asciiTheme="minorEastAsia" w:hAnsiTheme="minorEastAsia" w:eastAsiaTheme="minorEastAsia" w:cstheme="minorEastAsia"/>
                <w:bCs/>
                <w:color w:val="000000" w:themeColor="text1"/>
                <w:sz w:val="28"/>
                <w:szCs w:val="22"/>
                <w14:textFill>
                  <w14:solidFill>
                    <w14:schemeClr w14:val="tx1"/>
                  </w14:solidFill>
                </w14:textFill>
              </w:rPr>
              <w:t>项目采购编号：</w:t>
            </w:r>
          </w:p>
        </w:tc>
        <w:tc>
          <w:tcPr>
            <w:tcW w:w="6177" w:type="dxa"/>
            <w:noWrap/>
            <w:vAlign w:val="center"/>
          </w:tcPr>
          <w:p w14:paraId="0A7FFF78">
            <w:pPr>
              <w:spacing w:before="200"/>
              <w:jc w:val="both"/>
              <w:rPr>
                <w:rFonts w:hint="eastAsia" w:asciiTheme="minorEastAsia" w:hAnsiTheme="minorEastAsia" w:eastAsiaTheme="minorEastAsia" w:cstheme="minorEastAsia"/>
                <w:bCs/>
                <w:color w:val="000000" w:themeColor="text1"/>
                <w:sz w:val="28"/>
                <w:szCs w:val="22"/>
                <w:u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2"/>
                <w:u w:val="none"/>
                <w:lang w:eastAsia="zh-CN"/>
                <w14:textFill>
                  <w14:solidFill>
                    <w14:schemeClr w14:val="tx1"/>
                  </w14:solidFill>
                </w14:textFill>
              </w:rPr>
              <w:t>WTZB2026DG0013-1</w:t>
            </w:r>
          </w:p>
        </w:tc>
      </w:tr>
      <w:tr w14:paraId="0B3E9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2602" w:type="dxa"/>
            <w:noWrap/>
            <w:vAlign w:val="center"/>
          </w:tcPr>
          <w:p w14:paraId="177B4DDC">
            <w:pPr>
              <w:spacing w:before="200"/>
              <w:jc w:val="both"/>
              <w:rPr>
                <w:rFonts w:hint="eastAsia" w:asciiTheme="minorEastAsia" w:hAnsiTheme="minorEastAsia" w:eastAsiaTheme="minorEastAsia" w:cstheme="minorEastAsia"/>
                <w:bCs/>
                <w:color w:val="000000" w:themeColor="text1"/>
                <w:sz w:val="28"/>
                <w:szCs w:val="22"/>
                <w14:textFill>
                  <w14:solidFill>
                    <w14:schemeClr w14:val="tx1"/>
                  </w14:solidFill>
                </w14:textFill>
              </w:rPr>
            </w:pPr>
            <w:r>
              <w:rPr>
                <w:rFonts w:hint="eastAsia" w:asciiTheme="minorEastAsia" w:hAnsiTheme="minorEastAsia" w:eastAsiaTheme="minorEastAsia" w:cstheme="minorEastAsia"/>
                <w:bCs/>
                <w:color w:val="000000" w:themeColor="text1"/>
                <w:sz w:val="28"/>
                <w:szCs w:val="22"/>
                <w14:textFill>
                  <w14:solidFill>
                    <w14:schemeClr w14:val="tx1"/>
                  </w14:solidFill>
                </w14:textFill>
              </w:rPr>
              <w:t>采购人：</w:t>
            </w:r>
          </w:p>
        </w:tc>
        <w:tc>
          <w:tcPr>
            <w:tcW w:w="6177" w:type="dxa"/>
            <w:noWrap/>
            <w:vAlign w:val="center"/>
          </w:tcPr>
          <w:p w14:paraId="5EA6C864">
            <w:pPr>
              <w:spacing w:before="200"/>
              <w:jc w:val="both"/>
              <w:rPr>
                <w:rFonts w:hint="eastAsia" w:asciiTheme="minorEastAsia" w:hAnsiTheme="minorEastAsia" w:eastAsiaTheme="minorEastAsia" w:cstheme="minorEastAsia"/>
                <w:bCs/>
                <w:color w:val="000000" w:themeColor="text1"/>
                <w:sz w:val="28"/>
                <w:szCs w:val="22"/>
                <w:u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2"/>
                <w:u w:val="none"/>
                <w:lang w:eastAsia="zh-CN"/>
                <w14:textFill>
                  <w14:solidFill>
                    <w14:schemeClr w14:val="tx1"/>
                  </w14:solidFill>
                </w14:textFill>
              </w:rPr>
              <w:t>东莞市能源投资集团有限公司</w:t>
            </w:r>
          </w:p>
        </w:tc>
      </w:tr>
      <w:tr w14:paraId="6F0C9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2602" w:type="dxa"/>
            <w:noWrap/>
            <w:vAlign w:val="center"/>
          </w:tcPr>
          <w:p w14:paraId="38193757">
            <w:pPr>
              <w:spacing w:before="200"/>
              <w:jc w:val="both"/>
              <w:rPr>
                <w:rFonts w:hint="eastAsia" w:asciiTheme="minorEastAsia" w:hAnsiTheme="minorEastAsia" w:eastAsiaTheme="minorEastAsia" w:cstheme="minorEastAsia"/>
                <w:bCs/>
                <w:color w:val="000000" w:themeColor="text1"/>
                <w:sz w:val="28"/>
                <w:szCs w:val="22"/>
                <w14:textFill>
                  <w14:solidFill>
                    <w14:schemeClr w14:val="tx1"/>
                  </w14:solidFill>
                </w14:textFill>
              </w:rPr>
            </w:pPr>
            <w:r>
              <w:rPr>
                <w:rFonts w:hint="eastAsia" w:asciiTheme="minorEastAsia" w:hAnsiTheme="minorEastAsia" w:eastAsiaTheme="minorEastAsia" w:cstheme="minorEastAsia"/>
                <w:bCs/>
                <w:color w:val="000000" w:themeColor="text1"/>
                <w:sz w:val="28"/>
                <w:szCs w:val="22"/>
                <w14:textFill>
                  <w14:solidFill>
                    <w14:schemeClr w14:val="tx1"/>
                  </w14:solidFill>
                </w14:textFill>
              </w:rPr>
              <w:t>采购代理：</w:t>
            </w:r>
          </w:p>
        </w:tc>
        <w:tc>
          <w:tcPr>
            <w:tcW w:w="6177" w:type="dxa"/>
            <w:noWrap/>
            <w:vAlign w:val="center"/>
          </w:tcPr>
          <w:p w14:paraId="5BDEBD7E">
            <w:pPr>
              <w:spacing w:before="200"/>
              <w:jc w:val="both"/>
              <w:rPr>
                <w:rFonts w:hint="eastAsia" w:asciiTheme="minorEastAsia" w:hAnsiTheme="minorEastAsia" w:eastAsiaTheme="minorEastAsia" w:cstheme="minorEastAsia"/>
                <w:bCs/>
                <w:color w:val="000000" w:themeColor="text1"/>
                <w:sz w:val="28"/>
                <w:szCs w:val="22"/>
                <w14:textFill>
                  <w14:solidFill>
                    <w14:schemeClr w14:val="tx1"/>
                  </w14:solidFill>
                </w14:textFill>
              </w:rPr>
            </w:pPr>
            <w:r>
              <w:rPr>
                <w:rFonts w:hint="eastAsia" w:asciiTheme="minorEastAsia" w:hAnsiTheme="minorEastAsia" w:eastAsiaTheme="minorEastAsia" w:cstheme="minorEastAsia"/>
                <w:bCs/>
                <w:color w:val="000000" w:themeColor="text1"/>
                <w:sz w:val="28"/>
                <w:szCs w:val="22"/>
                <w14:textFill>
                  <w14:solidFill>
                    <w14:schemeClr w14:val="tx1"/>
                  </w14:solidFill>
                </w14:textFill>
              </w:rPr>
              <w:t>广州宏达工程顾问集团有限公司</w:t>
            </w:r>
          </w:p>
        </w:tc>
      </w:tr>
    </w:tbl>
    <w:p w14:paraId="078F6782">
      <w:pPr>
        <w:jc w:val="center"/>
        <w:rPr>
          <w:rFonts w:ascii="黑体" w:eastAsia="黑体"/>
          <w:color w:val="000000" w:themeColor="text1"/>
          <w:szCs w:val="21"/>
          <w14:textFill>
            <w14:solidFill>
              <w14:schemeClr w14:val="tx1"/>
            </w14:solidFill>
          </w14:textFill>
        </w:rPr>
      </w:pPr>
    </w:p>
    <w:p w14:paraId="4C214923">
      <w:pPr>
        <w:jc w:val="center"/>
        <w:rPr>
          <w:rFonts w:ascii="黑体" w:eastAsia="黑体"/>
          <w:color w:val="000000" w:themeColor="text1"/>
          <w:szCs w:val="21"/>
          <w14:textFill>
            <w14:solidFill>
              <w14:schemeClr w14:val="tx1"/>
            </w14:solidFill>
          </w14:textFill>
        </w:rPr>
      </w:pPr>
    </w:p>
    <w:p w14:paraId="46FDFD68">
      <w:pPr>
        <w:jc w:val="center"/>
        <w:rPr>
          <w:rFonts w:ascii="黑体" w:eastAsia="黑体"/>
          <w:color w:val="000000" w:themeColor="text1"/>
          <w:szCs w:val="21"/>
          <w14:textFill>
            <w14:solidFill>
              <w14:schemeClr w14:val="tx1"/>
            </w14:solidFill>
          </w14:textFill>
        </w:rPr>
      </w:pPr>
    </w:p>
    <w:p w14:paraId="7A9D1723">
      <w:pPr>
        <w:pStyle w:val="40"/>
        <w:ind w:firstLine="400"/>
        <w:rPr>
          <w:color w:val="000000" w:themeColor="text1"/>
          <w14:textFill>
            <w14:solidFill>
              <w14:schemeClr w14:val="tx1"/>
            </w14:solidFill>
          </w14:textFill>
        </w:rPr>
      </w:pPr>
    </w:p>
    <w:p w14:paraId="0EF25D22">
      <w:pPr>
        <w:jc w:val="both"/>
        <w:rPr>
          <w:rFonts w:ascii="黑体" w:eastAsia="黑体"/>
          <w:color w:val="000000" w:themeColor="text1"/>
          <w:szCs w:val="21"/>
          <w14:textFill>
            <w14:solidFill>
              <w14:schemeClr w14:val="tx1"/>
            </w14:solidFill>
          </w14:textFill>
        </w:rPr>
      </w:pPr>
    </w:p>
    <w:p w14:paraId="4D953D3E">
      <w:pPr>
        <w:spacing w:before="200"/>
        <w:jc w:val="center"/>
        <w:rPr>
          <w:rFonts w:ascii="黑体" w:hAnsi="黑体" w:eastAsia="黑体" w:cs="黑体"/>
          <w:bCs/>
          <w:color w:val="000000" w:themeColor="text1"/>
          <w:sz w:val="32"/>
          <w:szCs w:val="24"/>
          <w14:textFill>
            <w14:solidFill>
              <w14:schemeClr w14:val="tx1"/>
            </w14:solidFill>
          </w14:textFill>
        </w:rPr>
      </w:pPr>
      <w:r>
        <w:rPr>
          <w:rFonts w:hint="eastAsia" w:ascii="黑体" w:hAnsi="黑体" w:eastAsia="黑体" w:cs="黑体"/>
          <w:bCs/>
          <w:color w:val="000000" w:themeColor="text1"/>
          <w:sz w:val="32"/>
          <w:szCs w:val="24"/>
          <w14:textFill>
            <w14:solidFill>
              <w14:schemeClr w14:val="tx1"/>
            </w14:solidFill>
          </w14:textFill>
        </w:rPr>
        <w:t>20</w:t>
      </w:r>
      <w:r>
        <w:rPr>
          <w:rFonts w:hint="eastAsia" w:ascii="黑体" w:hAnsi="黑体" w:eastAsia="黑体" w:cs="黑体"/>
          <w:bCs/>
          <w:color w:val="000000" w:themeColor="text1"/>
          <w:sz w:val="32"/>
          <w:szCs w:val="24"/>
          <w:lang w:val="en-US" w:eastAsia="zh-CN"/>
          <w14:textFill>
            <w14:solidFill>
              <w14:schemeClr w14:val="tx1"/>
            </w14:solidFill>
          </w14:textFill>
        </w:rPr>
        <w:t>26</w:t>
      </w:r>
      <w:r>
        <w:rPr>
          <w:rFonts w:hint="eastAsia" w:ascii="黑体" w:hAnsi="黑体" w:eastAsia="黑体" w:cs="黑体"/>
          <w:bCs/>
          <w:color w:val="000000" w:themeColor="text1"/>
          <w:sz w:val="32"/>
          <w:szCs w:val="24"/>
          <w14:textFill>
            <w14:solidFill>
              <w14:schemeClr w14:val="tx1"/>
            </w14:solidFill>
          </w14:textFill>
        </w:rPr>
        <w:t xml:space="preserve">年 </w:t>
      </w:r>
      <w:r>
        <w:rPr>
          <w:rFonts w:hint="eastAsia" w:ascii="黑体" w:hAnsi="黑体" w:eastAsia="黑体" w:cs="黑体"/>
          <w:bCs/>
          <w:color w:val="000000" w:themeColor="text1"/>
          <w:sz w:val="32"/>
          <w:szCs w:val="24"/>
          <w:lang w:val="en-US" w:eastAsia="zh-CN"/>
          <w14:textFill>
            <w14:solidFill>
              <w14:schemeClr w14:val="tx1"/>
            </w14:solidFill>
          </w14:textFill>
        </w:rPr>
        <w:t xml:space="preserve">5 </w:t>
      </w:r>
      <w:r>
        <w:rPr>
          <w:rFonts w:hint="eastAsia" w:ascii="黑体" w:hAnsi="黑体" w:eastAsia="黑体" w:cs="黑体"/>
          <w:bCs/>
          <w:color w:val="000000" w:themeColor="text1"/>
          <w:sz w:val="32"/>
          <w:szCs w:val="24"/>
          <w14:textFill>
            <w14:solidFill>
              <w14:schemeClr w14:val="tx1"/>
            </w14:solidFill>
          </w14:textFill>
        </w:rPr>
        <w:t>月</w:t>
      </w:r>
    </w:p>
    <w:p w14:paraId="373DB058">
      <w:pPr>
        <w:rPr>
          <w:color w:val="000000" w:themeColor="text1"/>
          <w14:textFill>
            <w14:solidFill>
              <w14:schemeClr w14:val="tx1"/>
            </w14:solidFill>
          </w14:textFill>
        </w:rPr>
        <w:sectPr>
          <w:footerReference r:id="rId7" w:type="first"/>
          <w:headerReference r:id="rId5" w:type="even"/>
          <w:footerReference r:id="rId6" w:type="even"/>
          <w:pgSz w:w="11906" w:h="16838"/>
          <w:pgMar w:top="1440" w:right="1800" w:bottom="1440" w:left="1800" w:header="708" w:footer="708" w:gutter="0"/>
          <w:pgNumType w:start="1"/>
          <w:cols w:space="708" w:num="1"/>
          <w:titlePg/>
          <w:docGrid w:type="lines" w:linePitch="360" w:charSpace="0"/>
        </w:sectPr>
      </w:pPr>
    </w:p>
    <w:p w14:paraId="69FC3B88">
      <w:pPr>
        <w:pStyle w:val="25"/>
        <w:ind w:left="0" w:leftChars="0"/>
        <w:rPr>
          <w:color w:val="000000" w:themeColor="text1"/>
          <w:sz w:val="40"/>
          <w:szCs w:val="40"/>
          <w14:textFill>
            <w14:solidFill>
              <w14:schemeClr w14:val="tx1"/>
            </w14:solidFill>
          </w14:textFill>
        </w:rPr>
      </w:pPr>
      <w:r>
        <w:rPr>
          <w:rFonts w:hint="eastAsia"/>
          <w:color w:val="000000" w:themeColor="text1"/>
          <w:sz w:val="40"/>
          <w:szCs w:val="40"/>
          <w14:textFill>
            <w14:solidFill>
              <w14:schemeClr w14:val="tx1"/>
            </w14:solidFill>
          </w14:textFill>
        </w:rPr>
        <w:t>目录</w:t>
      </w:r>
    </w:p>
    <w:p w14:paraId="369604FA">
      <w:pPr>
        <w:pStyle w:val="21"/>
        <w:tabs>
          <w:tab w:val="left" w:pos="-200"/>
          <w:tab w:val="right" w:leader="dot" w:pos="830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TOC \o "1-3" \h \u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_Toc28921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第一部分投</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标邀请</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_Toc28921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429F21C0">
      <w:pPr>
        <w:pStyle w:val="2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_Toc11865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投标邀请书</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_Toc11865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04F3F177">
      <w:pPr>
        <w:pStyle w:val="21"/>
        <w:tabs>
          <w:tab w:val="left" w:pos="-200"/>
          <w:tab w:val="right" w:leader="dot" w:pos="830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_Toc10132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第二部分相关资料表格</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_Toc10132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58AAEAAB">
      <w:pPr>
        <w:pStyle w:val="2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_Toc13439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附表一：投标资料表</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_Toc13439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37563E55">
      <w:pPr>
        <w:pStyle w:val="2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_Toc15830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附表二：商务技术评分及价格权重表（满分100分）</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_Toc15830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7</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72ABCB52">
      <w:pPr>
        <w:pStyle w:val="21"/>
        <w:tabs>
          <w:tab w:val="left" w:pos="-200"/>
          <w:tab w:val="right" w:leader="dot" w:pos="830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_Toc957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第三部分用户需求书</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_Toc957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13</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1C31FE87">
      <w:pPr>
        <w:pStyle w:val="2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_Toc30133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第一章 商务需求书</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_Toc30133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13</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60B117F4">
      <w:pPr>
        <w:pStyle w:val="2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_Toc22644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第二章 技术需求书</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_Toc22644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15</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324FDF6F">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_Toc15151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val="0"/>
          <w:color w:val="000000" w:themeColor="text1"/>
          <w:kern w:val="2"/>
          <w:sz w:val="21"/>
          <w:szCs w:val="21"/>
          <w:lang w:val="en-US" w:eastAsia="zh-CN" w:bidi="ar-SA"/>
          <w14:textFill>
            <w14:solidFill>
              <w14:schemeClr w14:val="tx1"/>
            </w14:solidFill>
          </w14:textFill>
        </w:rPr>
        <w:t>1 项目概述</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_Toc15151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15</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4624C269">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_Toc4937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val="0"/>
          <w:color w:val="000000" w:themeColor="text1"/>
          <w:kern w:val="2"/>
          <w:sz w:val="21"/>
          <w:szCs w:val="21"/>
          <w:lang w:val="en-US" w:eastAsia="zh-CN" w:bidi="ar-SA"/>
          <w14:textFill>
            <w14:solidFill>
              <w14:schemeClr w14:val="tx1"/>
            </w14:solidFill>
          </w14:textFill>
        </w:rPr>
        <w:t>2 一期总体架构设计</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_Toc4937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18</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36107084">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_Toc26247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val="0"/>
          <w:color w:val="000000" w:themeColor="text1"/>
          <w:kern w:val="2"/>
          <w:sz w:val="21"/>
          <w:szCs w:val="21"/>
          <w:lang w:val="en-US" w:eastAsia="zh-CN" w:bidi="ar-SA"/>
          <w14:textFill>
            <w14:solidFill>
              <w14:schemeClr w14:val="tx1"/>
            </w14:solidFill>
          </w14:textFill>
        </w:rPr>
        <w:t>3 一期详细需求</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_Toc26247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26</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2254FF32">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_Toc1244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kern w:val="2"/>
          <w:sz w:val="21"/>
          <w:szCs w:val="21"/>
          <w:lang w:val="en-US" w:eastAsia="zh-CN" w:bidi="ar-SA"/>
          <w14:textFill>
            <w14:solidFill>
              <w14:schemeClr w14:val="tx1"/>
            </w14:solidFill>
          </w14:textFill>
        </w:rPr>
        <w:t>4 非功能性需求</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_Toc1244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46</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4572FFA7">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_Toc8606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kern w:val="2"/>
          <w:sz w:val="21"/>
          <w:szCs w:val="21"/>
          <w:lang w:val="en-US" w:eastAsia="zh-CN" w:bidi="ar-SA"/>
          <w14:textFill>
            <w14:solidFill>
              <w14:schemeClr w14:val="tx1"/>
            </w14:solidFill>
          </w14:textFill>
        </w:rPr>
        <w:t>5 接口需求</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_Toc8606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48</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6B1D0380">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_Toc25666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kern w:val="2"/>
          <w:sz w:val="21"/>
          <w:szCs w:val="21"/>
          <w:lang w:val="en-US" w:eastAsia="zh-CN" w:bidi="ar-SA"/>
          <w14:textFill>
            <w14:solidFill>
              <w14:schemeClr w14:val="tx1"/>
            </w14:solidFill>
          </w14:textFill>
        </w:rPr>
        <w:t>6 实施计划</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_Toc25666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48</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0109A9AE">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_Toc4362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kern w:val="2"/>
          <w:sz w:val="21"/>
          <w:szCs w:val="21"/>
          <w:lang w:val="en-US" w:eastAsia="zh-CN" w:bidi="ar-SA"/>
          <w14:textFill>
            <w14:solidFill>
              <w14:schemeClr w14:val="tx1"/>
            </w14:solidFill>
          </w14:textFill>
        </w:rPr>
        <w:t>7 验收标准</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_Toc4362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49</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7E3A7A37">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_Toc11846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kern w:val="2"/>
          <w:sz w:val="21"/>
          <w:szCs w:val="21"/>
          <w:lang w:val="en-US" w:eastAsia="zh-CN" w:bidi="ar-SA"/>
          <w14:textFill>
            <w14:solidFill>
              <w14:schemeClr w14:val="tx1"/>
            </w14:solidFill>
          </w14:textFill>
        </w:rPr>
        <w:t>8 风险分析与应对措施</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_Toc11846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49</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77E154DE">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_Toc9932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kern w:val="2"/>
          <w:sz w:val="21"/>
          <w:szCs w:val="21"/>
          <w:lang w:val="en-US" w:eastAsia="zh-CN" w:bidi="ar-SA"/>
          <w14:textFill>
            <w14:solidFill>
              <w14:schemeClr w14:val="tx1"/>
            </w14:solidFill>
          </w14:textFill>
        </w:rPr>
        <w:t>9 硬件要求</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_Toc9932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50</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741EE96A">
      <w:pPr>
        <w:pStyle w:val="21"/>
        <w:tabs>
          <w:tab w:val="left" w:pos="-200"/>
          <w:tab w:val="right" w:leader="dot" w:pos="830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_Toc23482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第四部分投标人须知</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_Toc23482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53</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0C3415EA">
      <w:pPr>
        <w:pStyle w:val="2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_Toc29659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一、 说明</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_Toc29659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53</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27DCE206">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_Toc3946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适用范围</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_Toc3946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53</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79DA778B">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_Toc14042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定义</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_Toc14042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53</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36D3D948">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_Toc8290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货物和服务</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_Toc8290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53</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4C16CA3B">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_Toc6581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t>投标费用</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_Toc6581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54</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42676138">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_Toc19367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5.</w:t>
      </w:r>
      <w:r>
        <w:rPr>
          <w:rFonts w:hint="eastAsia" w:asciiTheme="minorEastAsia" w:hAnsiTheme="minorEastAsia" w:eastAsiaTheme="minorEastAsia" w:cstheme="minorEastAsia"/>
          <w:color w:val="000000" w:themeColor="text1"/>
          <w:sz w:val="21"/>
          <w:szCs w:val="21"/>
          <w14:textFill>
            <w14:solidFill>
              <w14:schemeClr w14:val="tx1"/>
            </w14:solidFill>
          </w14:textFill>
        </w:rPr>
        <w:t>知识产权</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_Toc19367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54</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5DBBF5AA">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_Toc23807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6.</w:t>
      </w:r>
      <w:r>
        <w:rPr>
          <w:rFonts w:hint="eastAsia" w:asciiTheme="minorEastAsia" w:hAnsiTheme="minorEastAsia" w:eastAsiaTheme="minorEastAsia" w:cstheme="minorEastAsia"/>
          <w:color w:val="000000" w:themeColor="text1"/>
          <w:sz w:val="21"/>
          <w:szCs w:val="21"/>
          <w14:textFill>
            <w14:solidFill>
              <w14:schemeClr w14:val="tx1"/>
            </w14:solidFill>
          </w14:textFill>
        </w:rPr>
        <w:t>关于联合体投标</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_Toc23807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54</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2706E98E">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_Toc28831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7.</w:t>
      </w:r>
      <w:r>
        <w:rPr>
          <w:rFonts w:hint="eastAsia" w:asciiTheme="minorEastAsia" w:hAnsiTheme="minorEastAsia" w:eastAsiaTheme="minorEastAsia" w:cstheme="minorEastAsia"/>
          <w:color w:val="000000" w:themeColor="text1"/>
          <w:sz w:val="21"/>
          <w:szCs w:val="21"/>
          <w14:textFill>
            <w14:solidFill>
              <w14:schemeClr w14:val="tx1"/>
            </w14:solidFill>
          </w14:textFill>
        </w:rPr>
        <w:t>关于分支机构投标</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_Toc28831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55</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1FC8FF35">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_Toc26424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8.</w:t>
      </w:r>
      <w:r>
        <w:rPr>
          <w:rFonts w:hint="eastAsia" w:asciiTheme="minorEastAsia" w:hAnsiTheme="minorEastAsia" w:eastAsiaTheme="minorEastAsia" w:cstheme="minorEastAsia"/>
          <w:color w:val="000000" w:themeColor="text1"/>
          <w:sz w:val="21"/>
          <w:szCs w:val="21"/>
          <w14:textFill>
            <w14:solidFill>
              <w14:schemeClr w14:val="tx1"/>
            </w14:solidFill>
          </w14:textFill>
        </w:rPr>
        <w:t>踏勘现场</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_Toc26424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55</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118767CB">
      <w:pPr>
        <w:pStyle w:val="2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_Toc5552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二、 采购文件</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_Toc5552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55</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43A0D98D">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_Toc8050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9.</w:t>
      </w:r>
      <w:r>
        <w:rPr>
          <w:rFonts w:hint="eastAsia" w:asciiTheme="minorEastAsia" w:hAnsiTheme="minorEastAsia" w:eastAsiaTheme="minorEastAsia" w:cstheme="minorEastAsia"/>
          <w:color w:val="000000" w:themeColor="text1"/>
          <w:sz w:val="21"/>
          <w:szCs w:val="21"/>
          <w14:textFill>
            <w14:solidFill>
              <w14:schemeClr w14:val="tx1"/>
            </w14:solidFill>
          </w14:textFill>
        </w:rPr>
        <w:t>采购文件的组成</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_Toc8050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55</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63AE013E">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_Toc7904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10.</w:t>
      </w:r>
      <w:r>
        <w:rPr>
          <w:rFonts w:hint="eastAsia" w:asciiTheme="minorEastAsia" w:hAnsiTheme="minorEastAsia" w:eastAsiaTheme="minorEastAsia" w:cstheme="minorEastAsia"/>
          <w:color w:val="000000" w:themeColor="text1"/>
          <w:sz w:val="21"/>
          <w:szCs w:val="21"/>
          <w14:textFill>
            <w14:solidFill>
              <w14:schemeClr w14:val="tx1"/>
            </w14:solidFill>
          </w14:textFill>
        </w:rPr>
        <w:t>采购文件的澄清或修改</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_Toc7904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56</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5EEB82AC">
      <w:pPr>
        <w:pStyle w:val="2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_Toc30185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三、 投标文件的编制</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_Toc30185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56</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751C9251">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_Toc11906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11.</w:t>
      </w:r>
      <w:r>
        <w:rPr>
          <w:rFonts w:hint="eastAsia" w:asciiTheme="minorEastAsia" w:hAnsiTheme="minorEastAsia" w:eastAsiaTheme="minorEastAsia" w:cstheme="minorEastAsia"/>
          <w:color w:val="000000" w:themeColor="text1"/>
          <w:sz w:val="21"/>
          <w:szCs w:val="21"/>
          <w14:textFill>
            <w14:solidFill>
              <w14:schemeClr w14:val="tx1"/>
            </w14:solidFill>
          </w14:textFill>
        </w:rPr>
        <w:t>投标文件的语言及度量衡单位</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_Toc11906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56</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2B48074E">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_Toc21130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12.</w:t>
      </w:r>
      <w:r>
        <w:rPr>
          <w:rFonts w:hint="eastAsia" w:asciiTheme="minorEastAsia" w:hAnsiTheme="minorEastAsia" w:eastAsiaTheme="minorEastAsia" w:cstheme="minorEastAsia"/>
          <w:color w:val="000000" w:themeColor="text1"/>
          <w:sz w:val="21"/>
          <w:szCs w:val="21"/>
          <w14:textFill>
            <w14:solidFill>
              <w14:schemeClr w14:val="tx1"/>
            </w14:solidFill>
          </w14:textFill>
        </w:rPr>
        <w:t>投标文件的组成</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_Toc21130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56</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729C1E53">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_Toc10286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13.</w:t>
      </w:r>
      <w:r>
        <w:rPr>
          <w:rFonts w:hint="eastAsia" w:asciiTheme="minorEastAsia" w:hAnsiTheme="minorEastAsia" w:eastAsiaTheme="minorEastAsia" w:cstheme="minorEastAsia"/>
          <w:color w:val="000000" w:themeColor="text1"/>
          <w:sz w:val="21"/>
          <w:szCs w:val="21"/>
          <w14:textFill>
            <w14:solidFill>
              <w14:schemeClr w14:val="tx1"/>
            </w14:solidFill>
          </w14:textFill>
        </w:rPr>
        <w:t>投标文件编制</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_Toc10286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56</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328D6A7E">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_Toc8315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bCs/>
          <w:color w:val="000000" w:themeColor="text1"/>
          <w:sz w:val="21"/>
          <w:szCs w:val="21"/>
          <w:lang w:val="en-US" w:eastAsia="zh-CN" w:bidi="ar-SA"/>
          <w14:textFill>
            <w14:solidFill>
              <w14:schemeClr w14:val="tx1"/>
            </w14:solidFill>
          </w14:textFill>
        </w:rPr>
        <w:t>14.</w:t>
      </w:r>
      <w:r>
        <w:rPr>
          <w:rFonts w:hint="eastAsia" w:asciiTheme="minorEastAsia" w:hAnsiTheme="minorEastAsia" w:eastAsiaTheme="minorEastAsia" w:cstheme="minorEastAsia"/>
          <w:color w:val="000000" w:themeColor="text1"/>
          <w:sz w:val="21"/>
          <w:szCs w:val="21"/>
          <w14:textFill>
            <w14:solidFill>
              <w14:schemeClr w14:val="tx1"/>
            </w14:solidFill>
          </w14:textFill>
        </w:rPr>
        <w:t>投标报价说明</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_Toc8315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57</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18AEEE12">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_Toc20633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四、 </w:t>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投标文件的递交</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_Toc20633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59</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580A0F53">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_Toc10019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五、 开标与评标</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_Toc10019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61</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0B90586D">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_Toc6405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六、 授予合同</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_Toc6405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65</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092696EF">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_Toc9293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七、 异议</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_Toc9293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67</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27D2CFFF">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_Toc23395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八、 其他</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_Toc23395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68</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05CE6E0E">
      <w:pPr>
        <w:pStyle w:val="21"/>
        <w:tabs>
          <w:tab w:val="left" w:pos="-200"/>
          <w:tab w:val="right" w:leader="dot" w:pos="830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_Toc30789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第五部分  合同条款格式</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_Toc30789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69</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6831FE99">
      <w:pPr>
        <w:pStyle w:val="2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_Toc13410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附件1:阳光合作协议</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_Toc13410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76</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3A25BDD4">
      <w:pPr>
        <w:pStyle w:val="21"/>
        <w:tabs>
          <w:tab w:val="left" w:pos="-200"/>
          <w:tab w:val="right" w:leader="dot" w:pos="830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_Toc31795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第六部分附件－投标文件格式</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_Toc31795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78</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4AEE668D">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_Toc21237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投标文件目录</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_Toc21237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78</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6BD61009">
      <w:pPr>
        <w:pStyle w:val="1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_Toc7168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附件1.评分标准索引表</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_Toc7168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79</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732AB01E">
      <w:pPr>
        <w:pStyle w:val="2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_Toc4381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价格文件</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_Toc4381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80</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6C29CF5E">
      <w:pPr>
        <w:pStyle w:val="2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_Toc22649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商务文件</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_Toc22649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83</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18A46672">
      <w:pPr>
        <w:pStyle w:val="25"/>
        <w:tabs>
          <w:tab w:val="left" w:pos="-200"/>
          <w:tab w:val="right" w:leader="dot" w:pos="8306"/>
          <w:tab w:val="clear" w:pos="8296"/>
        </w:tabs>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_Toc2045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技术文件</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_Toc2045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101</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310F63D4">
      <w:pPr>
        <w:pStyle w:val="25"/>
        <w:tabs>
          <w:tab w:val="left" w:pos="-200"/>
          <w:tab w:val="right" w:leader="dot" w:pos="8306"/>
          <w:tab w:val="clear" w:pos="8296"/>
        </w:tabs>
        <w:ind w:left="0" w:leftChars="0" w:firstLine="0" w:firstLineChars="0"/>
        <w:rPr>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HYPERLINK \l _Toc15258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唱标信封</w:t>
      </w:r>
      <w:r>
        <w:rPr>
          <w:rFonts w:hint="eastAsia" w:asciiTheme="minorEastAsia" w:hAnsiTheme="minorEastAsia" w:eastAsiaTheme="minorEastAsia" w:cstheme="minorEastAsia"/>
          <w:color w:val="000000" w:themeColor="text1"/>
          <w:sz w:val="21"/>
          <w:szCs w:val="21"/>
          <w14:textFill>
            <w14:solidFill>
              <w14:schemeClr w14:val="tx1"/>
            </w14:solidFill>
          </w14:textFill>
        </w:rPr>
        <w:tab/>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1"/>
          <w:szCs w:val="21"/>
          <w14:textFill>
            <w14:solidFill>
              <w14:schemeClr w14:val="tx1"/>
            </w14:solidFill>
          </w14:textFill>
        </w:rPr>
        <w:instrText xml:space="preserve"> PAGEREF _Toc15258 \h </w:instrTex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1"/>
          <w:szCs w:val="21"/>
          <w14:textFill>
            <w14:solidFill>
              <w14:schemeClr w14:val="tx1"/>
            </w14:solidFill>
          </w14:textFill>
        </w:rPr>
        <w:t>109</w:t>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13BDEACC">
      <w:pPr>
        <w:pStyle w:val="15"/>
        <w:bidi w:val="0"/>
        <w:ind w:left="0" w:leftChars="0" w:firstLine="0" w:firstLineChars="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fldChar w:fldCharType="end"/>
      </w:r>
    </w:p>
    <w:p w14:paraId="3D17530E">
      <w:pPr>
        <w:pStyle w:val="2"/>
        <w:spacing w:before="0" w:after="0" w:line="240" w:lineRule="auto"/>
        <w:outlineLvl w:val="0"/>
        <w:rPr>
          <w:rFonts w:hint="eastAsia"/>
          <w:color w:val="000000" w:themeColor="text1"/>
          <w:sz w:val="28"/>
          <w:szCs w:val="28"/>
          <w14:textFill>
            <w14:solidFill>
              <w14:schemeClr w14:val="tx1"/>
            </w14:solidFill>
          </w14:textFill>
        </w:rPr>
        <w:sectPr>
          <w:headerReference r:id="rId10" w:type="first"/>
          <w:footerReference r:id="rId12" w:type="first"/>
          <w:headerReference r:id="rId8" w:type="default"/>
          <w:footerReference r:id="rId11" w:type="default"/>
          <w:headerReference r:id="rId9" w:type="even"/>
          <w:pgSz w:w="11906" w:h="16838"/>
          <w:pgMar w:top="1440" w:right="1800" w:bottom="1440" w:left="1800" w:header="708" w:footer="708" w:gutter="0"/>
          <w:cols w:space="708" w:num="1"/>
          <w:titlePg/>
          <w:docGrid w:type="lines" w:linePitch="360" w:charSpace="0"/>
        </w:sectPr>
      </w:pPr>
      <w:bookmarkStart w:id="0" w:name="_Toc31911"/>
      <w:bookmarkStart w:id="1" w:name="_Toc28921"/>
    </w:p>
    <w:p w14:paraId="4F8860AC">
      <w:pPr>
        <w:pStyle w:val="2"/>
        <w:spacing w:before="0" w:after="0" w:line="240" w:lineRule="auto"/>
        <w:outlineLvl w:val="0"/>
        <w:rPr>
          <w:color w:val="000000" w:themeColor="text1"/>
          <w:sz w:val="28"/>
          <w:szCs w:val="28"/>
          <w:highlight w:val="none"/>
          <w14:textFill>
            <w14:solidFill>
              <w14:schemeClr w14:val="tx1"/>
            </w14:solidFill>
          </w14:textFill>
        </w:rPr>
      </w:pPr>
      <w:r>
        <w:rPr>
          <w:rFonts w:hint="eastAsia"/>
          <w:color w:val="000000" w:themeColor="text1"/>
          <w:sz w:val="28"/>
          <w:szCs w:val="28"/>
          <w14:textFill>
            <w14:solidFill>
              <w14:schemeClr w14:val="tx1"/>
            </w14:solidFill>
          </w14:textFill>
        </w:rPr>
        <w:t>第一部分投</w:t>
      </w:r>
      <w:r>
        <w:rPr>
          <w:rFonts w:hint="eastAsia"/>
          <w:color w:val="000000" w:themeColor="text1"/>
          <w:sz w:val="28"/>
          <w:szCs w:val="28"/>
          <w:highlight w:val="none"/>
          <w14:textFill>
            <w14:solidFill>
              <w14:schemeClr w14:val="tx1"/>
            </w14:solidFill>
          </w14:textFill>
        </w:rPr>
        <w:t>标邀请</w:t>
      </w:r>
      <w:bookmarkEnd w:id="0"/>
      <w:bookmarkEnd w:id="1"/>
    </w:p>
    <w:p w14:paraId="61282ADC">
      <w:pPr>
        <w:pStyle w:val="3"/>
        <w:spacing w:before="0" w:after="0" w:line="360" w:lineRule="auto"/>
        <w:jc w:val="center"/>
        <w:rPr>
          <w:rFonts w:ascii="宋体" w:hAnsi="宋体" w:cs="宋体"/>
          <w:color w:val="000000" w:themeColor="text1"/>
          <w:highlight w:val="none"/>
          <w14:textFill>
            <w14:solidFill>
              <w14:schemeClr w14:val="tx1"/>
            </w14:solidFill>
          </w14:textFill>
        </w:rPr>
      </w:pPr>
      <w:bookmarkStart w:id="2" w:name="_Toc11865"/>
      <w:bookmarkStart w:id="3" w:name="_Toc30037"/>
      <w:r>
        <w:rPr>
          <w:rFonts w:hint="eastAsia" w:ascii="宋体" w:hAnsi="宋体" w:cs="宋体"/>
          <w:color w:val="000000" w:themeColor="text1"/>
          <w:highlight w:val="none"/>
          <w14:textFill>
            <w14:solidFill>
              <w14:schemeClr w14:val="tx1"/>
            </w14:solidFill>
          </w14:textFill>
        </w:rPr>
        <w:t>投标邀请书</w:t>
      </w:r>
      <w:bookmarkEnd w:id="2"/>
      <w:bookmarkEnd w:id="3"/>
    </w:p>
    <w:p w14:paraId="7628B441">
      <w:pPr>
        <w:ind w:firstLine="422" w:firstLineChars="200"/>
        <w:rPr>
          <w:rFonts w:ascii="宋体" w:hAnsi="宋体"/>
          <w:color w:val="000000" w:themeColor="text1"/>
          <w:szCs w:val="21"/>
          <w14:textFill>
            <w14:solidFill>
              <w14:schemeClr w14:val="tx1"/>
            </w14:solidFill>
          </w14:textFill>
        </w:rPr>
      </w:pPr>
      <w:r>
        <w:rPr>
          <w:rFonts w:hint="eastAsia" w:ascii="宋体" w:hAnsi="宋体"/>
          <w:b/>
          <w:bCs/>
          <w:color w:val="000000" w:themeColor="text1"/>
          <w:szCs w:val="21"/>
          <w:highlight w:val="none"/>
          <w:u w:val="single"/>
          <w14:textFill>
            <w14:solidFill>
              <w14:schemeClr w14:val="tx1"/>
            </w14:solidFill>
          </w14:textFill>
        </w:rPr>
        <w:t>广州宏达工程顾问集团有限公司</w:t>
      </w:r>
      <w:r>
        <w:rPr>
          <w:rFonts w:ascii="宋体" w:hAnsi="宋体"/>
          <w:color w:val="000000" w:themeColor="text1"/>
          <w:szCs w:val="21"/>
          <w:highlight w:val="none"/>
          <w14:textFill>
            <w14:solidFill>
              <w14:schemeClr w14:val="tx1"/>
            </w14:solidFill>
          </w14:textFill>
        </w:rPr>
        <w:t>（以下简称</w:t>
      </w:r>
      <w:r>
        <w:rPr>
          <w:rFonts w:hint="eastAsia" w:ascii="宋体" w:hAnsi="宋体"/>
          <w:color w:val="000000" w:themeColor="text1"/>
          <w:szCs w:val="21"/>
          <w:highlight w:val="none"/>
          <w14:textFill>
            <w14:solidFill>
              <w14:schemeClr w14:val="tx1"/>
            </w14:solidFill>
          </w14:textFill>
        </w:rPr>
        <w:t>“采购代理机构”</w:t>
      </w:r>
      <w:r>
        <w:rPr>
          <w:rFonts w:ascii="宋体" w:hAnsi="宋体"/>
          <w:color w:val="000000" w:themeColor="text1"/>
          <w:szCs w:val="21"/>
          <w:highlight w:val="none"/>
          <w14:textFill>
            <w14:solidFill>
              <w14:schemeClr w14:val="tx1"/>
            </w14:solidFill>
          </w14:textFill>
        </w:rPr>
        <w:t>）受</w:t>
      </w:r>
      <w:r>
        <w:rPr>
          <w:rFonts w:hint="eastAsia" w:ascii="宋体" w:hAnsi="宋体"/>
          <w:b/>
          <w:color w:val="000000" w:themeColor="text1"/>
          <w:szCs w:val="21"/>
          <w:highlight w:val="none"/>
          <w:u w:val="single"/>
          <w:lang w:eastAsia="zh-CN"/>
          <w14:textFill>
            <w14:solidFill>
              <w14:schemeClr w14:val="tx1"/>
            </w14:solidFill>
          </w14:textFill>
        </w:rPr>
        <w:t>东莞市能源投资集团有限公司</w:t>
      </w:r>
      <w:r>
        <w:rPr>
          <w:rFonts w:ascii="宋体" w:hAnsi="宋体"/>
          <w:color w:val="000000" w:themeColor="text1"/>
          <w:szCs w:val="21"/>
          <w:highlight w:val="none"/>
          <w14:textFill>
            <w14:solidFill>
              <w14:schemeClr w14:val="tx1"/>
            </w14:solidFill>
          </w14:textFill>
        </w:rPr>
        <w:t>（以下简称</w:t>
      </w:r>
      <w:r>
        <w:rPr>
          <w:rFonts w:hint="eastAsia" w:ascii="宋体" w:hAnsi="宋体"/>
          <w:color w:val="000000" w:themeColor="text1"/>
          <w:szCs w:val="21"/>
          <w:highlight w:val="none"/>
          <w14:textFill>
            <w14:solidFill>
              <w14:schemeClr w14:val="tx1"/>
            </w14:solidFill>
          </w14:textFill>
        </w:rPr>
        <w:t>“采</w:t>
      </w:r>
      <w:r>
        <w:rPr>
          <w:rFonts w:hint="eastAsia" w:ascii="宋体" w:hAnsi="宋体"/>
          <w:color w:val="000000" w:themeColor="text1"/>
          <w:szCs w:val="21"/>
          <w14:textFill>
            <w14:solidFill>
              <w14:schemeClr w14:val="tx1"/>
            </w14:solidFill>
          </w14:textFill>
        </w:rPr>
        <w:t>购人”</w:t>
      </w:r>
      <w:r>
        <w:rPr>
          <w:rFonts w:ascii="宋体" w:hAnsi="宋体"/>
          <w:color w:val="000000" w:themeColor="text1"/>
          <w:szCs w:val="21"/>
          <w14:textFill>
            <w14:solidFill>
              <w14:schemeClr w14:val="tx1"/>
            </w14:solidFill>
          </w14:textFill>
        </w:rPr>
        <w:t>）委托，</w:t>
      </w:r>
      <w:r>
        <w:rPr>
          <w:rFonts w:hint="eastAsia" w:ascii="宋体" w:hAnsi="宋体"/>
          <w:color w:val="000000" w:themeColor="text1"/>
          <w:szCs w:val="21"/>
          <w14:textFill>
            <w14:solidFill>
              <w14:schemeClr w14:val="tx1"/>
            </w14:solidFill>
          </w14:textFill>
        </w:rPr>
        <w:t>现</w:t>
      </w:r>
      <w:r>
        <w:rPr>
          <w:rFonts w:ascii="宋体" w:hAnsi="宋体"/>
          <w:color w:val="000000" w:themeColor="text1"/>
          <w:szCs w:val="21"/>
          <w14:textFill>
            <w14:solidFill>
              <w14:schemeClr w14:val="tx1"/>
            </w14:solidFill>
          </w14:textFill>
        </w:rPr>
        <w:t>就</w:t>
      </w:r>
      <w:r>
        <w:rPr>
          <w:rFonts w:hint="eastAsia" w:ascii="宋体" w:hAnsi="宋体"/>
          <w:b/>
          <w:color w:val="000000" w:themeColor="text1"/>
          <w:szCs w:val="21"/>
          <w:u w:val="single"/>
          <w:lang w:eastAsia="zh-CN"/>
          <w14:textFill>
            <w14:solidFill>
              <w14:schemeClr w14:val="tx1"/>
            </w14:solidFill>
          </w14:textFill>
        </w:rPr>
        <w:t>东莞能源集团安全信息化管理系统建设项目（重新采购）</w:t>
      </w:r>
      <w:r>
        <w:rPr>
          <w:rFonts w:hint="eastAsia" w:ascii="宋体" w:hAnsi="宋体"/>
          <w:color w:val="000000" w:themeColor="text1"/>
          <w:szCs w:val="21"/>
          <w14:textFill>
            <w14:solidFill>
              <w14:schemeClr w14:val="tx1"/>
            </w14:solidFill>
          </w14:textFill>
        </w:rPr>
        <w:t>（项目编号：</w:t>
      </w:r>
      <w:r>
        <w:rPr>
          <w:rFonts w:hint="eastAsia" w:ascii="宋体" w:hAnsi="宋体"/>
          <w:b/>
          <w:bCs/>
          <w:color w:val="000000" w:themeColor="text1"/>
          <w:szCs w:val="21"/>
          <w:u w:val="single"/>
          <w:lang w:eastAsia="zh-CN"/>
          <w14:textFill>
            <w14:solidFill>
              <w14:schemeClr w14:val="tx1"/>
            </w14:solidFill>
          </w14:textFill>
        </w:rPr>
        <w:t>WTZB2026DG0013-1</w:t>
      </w:r>
      <w:r>
        <w:rPr>
          <w:rFonts w:hint="eastAsia" w:ascii="宋体" w:hAnsi="宋体"/>
          <w:color w:val="000000" w:themeColor="text1"/>
          <w:szCs w:val="21"/>
          <w14:textFill>
            <w14:solidFill>
              <w14:schemeClr w14:val="tx1"/>
            </w14:solidFill>
          </w14:textFill>
        </w:rPr>
        <w:t>）</w:t>
      </w:r>
      <w:r>
        <w:rPr>
          <w:rFonts w:hint="eastAsia" w:ascii="宋体" w:hAnsi="宋体" w:cs="Times New Roman"/>
          <w:color w:val="000000" w:themeColor="text1"/>
          <w:szCs w:val="21"/>
          <w14:textFill>
            <w14:solidFill>
              <w14:schemeClr w14:val="tx1"/>
            </w14:solidFill>
          </w14:textFill>
        </w:rPr>
        <w:t>进行国内公开采购</w:t>
      </w:r>
      <w:r>
        <w:rPr>
          <w:rFonts w:hint="eastAsia" w:ascii="宋体" w:hAnsi="宋体"/>
          <w:color w:val="000000" w:themeColor="text1"/>
          <w:szCs w:val="21"/>
          <w14:textFill>
            <w14:solidFill>
              <w14:schemeClr w14:val="tx1"/>
            </w14:solidFill>
          </w14:textFill>
        </w:rPr>
        <w:t>，欢迎符合采购文件要求的国内投标人参加投标</w:t>
      </w:r>
      <w:r>
        <w:rPr>
          <w:rFonts w:ascii="宋体" w:hAnsi="宋体"/>
          <w:color w:val="000000" w:themeColor="text1"/>
          <w:szCs w:val="21"/>
          <w14:textFill>
            <w14:solidFill>
              <w14:schemeClr w14:val="tx1"/>
            </w14:solidFill>
          </w14:textFill>
        </w:rPr>
        <w:t>。有关事项如下：</w:t>
      </w:r>
    </w:p>
    <w:p w14:paraId="1C9C1B9D">
      <w:pPr>
        <w:ind w:firstLine="413" w:firstLineChars="196"/>
        <w:rPr>
          <w:rFonts w:ascii="宋体" w:hAnsi="宋体"/>
          <w:b/>
          <w:color w:val="000000" w:themeColor="text1"/>
          <w:szCs w:val="21"/>
          <w14:textFill>
            <w14:solidFill>
              <w14:schemeClr w14:val="tx1"/>
            </w14:solidFill>
          </w14:textFill>
        </w:rPr>
      </w:pPr>
    </w:p>
    <w:p w14:paraId="4058D803">
      <w:pPr>
        <w:ind w:firstLine="413"/>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一、采购项目概况</w:t>
      </w:r>
    </w:p>
    <w:p w14:paraId="3C789DD4">
      <w:pPr>
        <w:ind w:firstLine="420" w:firstLineChars="200"/>
        <w:rPr>
          <w:rFonts w:hint="eastAsia" w:ascii="宋体" w:hAnsi="宋体" w:eastAsia="宋体"/>
          <w:color w:val="000000" w:themeColor="text1"/>
          <w:szCs w:val="21"/>
          <w:lang w:eastAsia="zh-CN"/>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、采购</w:t>
      </w:r>
      <w:r>
        <w:rPr>
          <w:rFonts w:ascii="宋体" w:hAnsi="宋体"/>
          <w:color w:val="000000" w:themeColor="text1"/>
          <w:szCs w:val="21"/>
          <w14:textFill>
            <w14:solidFill>
              <w14:schemeClr w14:val="tx1"/>
            </w14:solidFill>
          </w14:textFill>
        </w:rPr>
        <w:t>项目名称</w:t>
      </w:r>
      <w:r>
        <w:rPr>
          <w:rFonts w:hint="eastAsia" w:ascii="宋体" w:hAnsi="宋体"/>
          <w:color w:val="000000" w:themeColor="text1"/>
          <w:szCs w:val="21"/>
          <w14:textFill>
            <w14:solidFill>
              <w14:schemeClr w14:val="tx1"/>
            </w14:solidFill>
          </w14:textFill>
        </w:rPr>
        <w:t>：</w:t>
      </w:r>
      <w:r>
        <w:rPr>
          <w:rFonts w:hint="eastAsia" w:ascii="宋体" w:hAnsi="宋体"/>
          <w:b w:val="0"/>
          <w:bCs/>
          <w:color w:val="000000" w:themeColor="text1"/>
          <w:szCs w:val="21"/>
          <w:u w:val="single"/>
          <w:lang w:eastAsia="zh-CN"/>
          <w14:textFill>
            <w14:solidFill>
              <w14:schemeClr w14:val="tx1"/>
            </w14:solidFill>
          </w14:textFill>
        </w:rPr>
        <w:t>东莞能源集团安全信息化管理系统建设项目（重新采购）</w:t>
      </w:r>
    </w:p>
    <w:p w14:paraId="79811DF8">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ascii="宋体" w:hAnsi="宋体"/>
          <w:color w:val="000000" w:themeColor="text1"/>
          <w:szCs w:val="21"/>
          <w14:textFill>
            <w14:solidFill>
              <w14:schemeClr w14:val="tx1"/>
            </w14:solidFill>
          </w14:textFill>
        </w:rPr>
        <w:t>预算金额（</w:t>
      </w:r>
      <w:r>
        <w:rPr>
          <w:rFonts w:hint="eastAsia" w:ascii="宋体" w:hAnsi="宋体"/>
          <w:color w:val="000000" w:themeColor="text1"/>
          <w:szCs w:val="21"/>
          <w14:textFill>
            <w14:solidFill>
              <w14:schemeClr w14:val="tx1"/>
            </w14:solidFill>
          </w14:textFill>
        </w:rPr>
        <w:t>元</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w:t>
      </w:r>
      <w:r>
        <w:rPr>
          <w:rFonts w:hint="eastAsia" w:ascii="宋体" w:hAnsi="宋体"/>
          <w:color w:val="000000" w:themeColor="text1"/>
          <w:szCs w:val="21"/>
          <w:u w:val="single"/>
          <w:lang w:val="en-US" w:eastAsia="zh-CN"/>
          <w14:textFill>
            <w14:solidFill>
              <w14:schemeClr w14:val="tx1"/>
            </w14:solidFill>
          </w14:textFill>
        </w:rPr>
        <w:t>700,000.00</w:t>
      </w:r>
      <w:r>
        <w:rPr>
          <w:rFonts w:hint="eastAsia" w:ascii="宋体" w:hAnsi="宋体"/>
          <w:color w:val="000000" w:themeColor="text1"/>
          <w:szCs w:val="21"/>
          <w:u w:val="single"/>
          <w14:textFill>
            <w14:solidFill>
              <w14:schemeClr w14:val="tx1"/>
            </w14:solidFill>
          </w14:textFill>
        </w:rPr>
        <w:t>元</w:t>
      </w:r>
    </w:p>
    <w:p w14:paraId="6FEA8D64">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3、最高</w:t>
      </w:r>
      <w:r>
        <w:rPr>
          <w:rFonts w:ascii="宋体" w:hAnsi="宋体"/>
          <w:color w:val="000000" w:themeColor="text1"/>
          <w:szCs w:val="21"/>
          <w14:textFill>
            <w14:solidFill>
              <w14:schemeClr w14:val="tx1"/>
            </w14:solidFill>
          </w14:textFill>
        </w:rPr>
        <w:t>限价</w:t>
      </w:r>
      <w:r>
        <w:rPr>
          <w:rFonts w:hint="eastAsia" w:ascii="宋体" w:hAnsi="宋体"/>
          <w:color w:val="000000" w:themeColor="text1"/>
          <w:szCs w:val="21"/>
          <w14:textFill>
            <w14:solidFill>
              <w14:schemeClr w14:val="tx1"/>
            </w14:solidFill>
          </w14:textFill>
        </w:rPr>
        <w:t>（元）</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u w:val="single"/>
          <w14:textFill>
            <w14:solidFill>
              <w14:schemeClr w14:val="tx1"/>
            </w14:solidFill>
          </w14:textFill>
        </w:rPr>
        <w:t>¥</w:t>
      </w:r>
      <w:r>
        <w:rPr>
          <w:rFonts w:hint="eastAsia" w:ascii="宋体" w:hAnsi="宋体"/>
          <w:color w:val="000000" w:themeColor="text1"/>
          <w:szCs w:val="21"/>
          <w:u w:val="single"/>
          <w:lang w:val="en-US" w:eastAsia="zh-CN"/>
          <w14:textFill>
            <w14:solidFill>
              <w14:schemeClr w14:val="tx1"/>
            </w14:solidFill>
          </w14:textFill>
        </w:rPr>
        <w:t>700,000.00</w:t>
      </w:r>
      <w:r>
        <w:rPr>
          <w:rFonts w:hint="eastAsia" w:ascii="宋体" w:hAnsi="宋体"/>
          <w:color w:val="000000" w:themeColor="text1"/>
          <w:szCs w:val="21"/>
          <w:u w:val="single"/>
          <w14:textFill>
            <w14:solidFill>
              <w14:schemeClr w14:val="tx1"/>
            </w14:solidFill>
          </w14:textFill>
        </w:rPr>
        <w:t>元</w:t>
      </w:r>
    </w:p>
    <w:p w14:paraId="095C5B68">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4、项目内容</w:t>
      </w:r>
    </w:p>
    <w:tbl>
      <w:tblPr>
        <w:tblStyle w:val="3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1820"/>
        <w:gridCol w:w="1217"/>
        <w:gridCol w:w="4681"/>
      </w:tblGrid>
      <w:tr w14:paraId="27F1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70" w:type="pct"/>
            <w:vAlign w:val="center"/>
          </w:tcPr>
          <w:p w14:paraId="1B574057">
            <w:pPr>
              <w:spacing w:line="240" w:lineRule="auto"/>
              <w:jc w:val="center"/>
              <w:rPr>
                <w:rFonts w:ascii="宋体" w:hAnsi="宋体" w:cs="宋体"/>
                <w:color w:val="000000" w:themeColor="text1"/>
                <w:kern w:val="28"/>
                <w:szCs w:val="21"/>
                <w14:textFill>
                  <w14:solidFill>
                    <w14:schemeClr w14:val="tx1"/>
                  </w14:solidFill>
                </w14:textFill>
              </w:rPr>
            </w:pPr>
            <w:r>
              <w:rPr>
                <w:rFonts w:hint="eastAsia" w:ascii="宋体" w:hAnsi="宋体" w:cs="宋体"/>
                <w:color w:val="000000" w:themeColor="text1"/>
                <w:kern w:val="28"/>
                <w:szCs w:val="21"/>
                <w14:textFill>
                  <w14:solidFill>
                    <w14:schemeClr w14:val="tx1"/>
                  </w14:solidFill>
                </w14:textFill>
              </w:rPr>
              <w:t>采购包号</w:t>
            </w:r>
          </w:p>
        </w:tc>
        <w:tc>
          <w:tcPr>
            <w:tcW w:w="1068" w:type="pct"/>
            <w:vAlign w:val="center"/>
          </w:tcPr>
          <w:p w14:paraId="7CDBD80F">
            <w:pPr>
              <w:spacing w:line="240" w:lineRule="auto"/>
              <w:jc w:val="center"/>
              <w:rPr>
                <w:rFonts w:ascii="宋体" w:hAnsi="宋体" w:cs="宋体"/>
                <w:color w:val="000000" w:themeColor="text1"/>
                <w:kern w:val="28"/>
                <w:szCs w:val="21"/>
                <w14:textFill>
                  <w14:solidFill>
                    <w14:schemeClr w14:val="tx1"/>
                  </w14:solidFill>
                </w14:textFill>
              </w:rPr>
            </w:pPr>
            <w:r>
              <w:rPr>
                <w:rFonts w:hint="eastAsia" w:ascii="宋体" w:hAnsi="宋体" w:cs="宋体"/>
                <w:color w:val="000000" w:themeColor="text1"/>
                <w:kern w:val="28"/>
                <w:szCs w:val="21"/>
                <w14:textFill>
                  <w14:solidFill>
                    <w14:schemeClr w14:val="tx1"/>
                  </w14:solidFill>
                </w14:textFill>
              </w:rPr>
              <w:t>项目内容</w:t>
            </w:r>
          </w:p>
        </w:tc>
        <w:tc>
          <w:tcPr>
            <w:tcW w:w="714" w:type="pct"/>
            <w:vAlign w:val="center"/>
          </w:tcPr>
          <w:p w14:paraId="357DC0A6">
            <w:pPr>
              <w:spacing w:line="240" w:lineRule="auto"/>
              <w:jc w:val="center"/>
              <w:rPr>
                <w:rFonts w:ascii="宋体" w:hAnsi="宋体" w:cs="宋体"/>
                <w:color w:val="000000" w:themeColor="text1"/>
                <w:kern w:val="28"/>
                <w:szCs w:val="21"/>
                <w14:textFill>
                  <w14:solidFill>
                    <w14:schemeClr w14:val="tx1"/>
                  </w14:solidFill>
                </w14:textFill>
              </w:rPr>
            </w:pPr>
            <w:r>
              <w:rPr>
                <w:rFonts w:hint="eastAsia" w:ascii="宋体" w:hAnsi="宋体" w:cs="宋体"/>
                <w:color w:val="000000" w:themeColor="text1"/>
                <w:kern w:val="28"/>
                <w:szCs w:val="21"/>
                <w14:textFill>
                  <w14:solidFill>
                    <w14:schemeClr w14:val="tx1"/>
                  </w14:solidFill>
                </w14:textFill>
              </w:rPr>
              <w:t>采购服务单位数量</w:t>
            </w:r>
          </w:p>
        </w:tc>
        <w:tc>
          <w:tcPr>
            <w:tcW w:w="2746" w:type="pct"/>
            <w:vAlign w:val="center"/>
          </w:tcPr>
          <w:p w14:paraId="26ACC6A3">
            <w:pPr>
              <w:spacing w:line="240" w:lineRule="auto"/>
              <w:jc w:val="center"/>
              <w:rPr>
                <w:rFonts w:ascii="宋体" w:hAnsi="宋体" w:cs="宋体"/>
                <w:color w:val="000000" w:themeColor="text1"/>
                <w:kern w:val="28"/>
                <w:szCs w:val="21"/>
                <w14:textFill>
                  <w14:solidFill>
                    <w14:schemeClr w14:val="tx1"/>
                  </w14:solidFill>
                </w14:textFill>
              </w:rPr>
            </w:pPr>
            <w:r>
              <w:rPr>
                <w:rFonts w:hint="eastAsia" w:ascii="宋体" w:hAnsi="宋体" w:cs="宋体"/>
                <w:color w:val="000000" w:themeColor="text1"/>
                <w:kern w:val="28"/>
                <w:szCs w:val="21"/>
                <w14:textFill>
                  <w14:solidFill>
                    <w14:schemeClr w14:val="tx1"/>
                  </w14:solidFill>
                </w14:textFill>
              </w:rPr>
              <w:t>服务期</w:t>
            </w:r>
          </w:p>
        </w:tc>
      </w:tr>
      <w:tr w14:paraId="01BE5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470" w:type="pct"/>
            <w:vAlign w:val="center"/>
          </w:tcPr>
          <w:p w14:paraId="1E2F85D7">
            <w:pPr>
              <w:spacing w:line="24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A</w:t>
            </w:r>
          </w:p>
        </w:tc>
        <w:tc>
          <w:tcPr>
            <w:tcW w:w="1068" w:type="pct"/>
            <w:vAlign w:val="center"/>
          </w:tcPr>
          <w:p w14:paraId="68797743">
            <w:pPr>
              <w:spacing w:line="240" w:lineRule="auto"/>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b w:val="0"/>
                <w:bCs/>
                <w:color w:val="000000" w:themeColor="text1"/>
                <w:szCs w:val="21"/>
                <w:u w:val="none"/>
                <w:lang w:eastAsia="zh-CN"/>
                <w14:textFill>
                  <w14:solidFill>
                    <w14:schemeClr w14:val="tx1"/>
                  </w14:solidFill>
                </w14:textFill>
              </w:rPr>
              <w:t>东莞能源集团安全信息化管理系统建设项目（重新采购）</w:t>
            </w:r>
          </w:p>
        </w:tc>
        <w:tc>
          <w:tcPr>
            <w:tcW w:w="714" w:type="pct"/>
            <w:vAlign w:val="center"/>
          </w:tcPr>
          <w:p w14:paraId="2B46493B">
            <w:pPr>
              <w:spacing w:line="240" w:lineRule="auto"/>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p>
        </w:tc>
        <w:tc>
          <w:tcPr>
            <w:tcW w:w="2746" w:type="pct"/>
            <w:vAlign w:val="center"/>
          </w:tcPr>
          <w:p w14:paraId="4052A1AA">
            <w:pPr>
              <w:spacing w:line="240" w:lineRule="auto"/>
              <w:jc w:val="center"/>
              <w:rPr>
                <w:rFonts w:ascii="宋体" w:hAnsi="宋体" w:cs="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自合同签订之日起至2026年12月31日（不含二期）</w:t>
            </w:r>
            <w:r>
              <w:rPr>
                <w:rFonts w:hint="eastAsia"/>
                <w:color w:val="000000" w:themeColor="text1"/>
                <w:lang w:eastAsia="zh-CN"/>
                <w14:textFill>
                  <w14:solidFill>
                    <w14:schemeClr w14:val="tx1"/>
                  </w14:solidFill>
                </w14:textFill>
              </w:rPr>
              <w:t>。</w:t>
            </w:r>
            <w:r>
              <w:rPr>
                <w:rFonts w:hint="eastAsia" w:asciiTheme="minorEastAsia" w:hAnsiTheme="minorEastAsia" w:cstheme="minorEastAsia"/>
                <w:color w:val="000000" w:themeColor="text1"/>
                <w:szCs w:val="21"/>
                <w14:textFill>
                  <w14:solidFill>
                    <w14:schemeClr w14:val="tx1"/>
                  </w14:solidFill>
                </w14:textFill>
              </w:rPr>
              <w:t>完成整个项目的建设及上线试运行，系统整体稳定试运行1个月后进行系统初验工作，初验通过即进入为期6个月的系统迭代优化阶段</w:t>
            </w:r>
            <w:r>
              <w:rPr>
                <w:rFonts w:hint="eastAsia"/>
                <w:color w:val="000000" w:themeColor="text1"/>
                <w:lang w:eastAsia="zh-CN"/>
                <w14:textFill>
                  <w14:solidFill>
                    <w14:schemeClr w14:val="tx1"/>
                  </w14:solidFill>
                </w14:textFill>
              </w:rPr>
              <w:t>。</w:t>
            </w:r>
            <w:r>
              <w:rPr>
                <w:rFonts w:hint="eastAsia" w:asciiTheme="minorEastAsia" w:hAnsiTheme="minorEastAsia" w:cstheme="minorEastAsia"/>
                <w:color w:val="000000" w:themeColor="text1"/>
                <w:szCs w:val="21"/>
                <w14:textFill>
                  <w14:solidFill>
                    <w14:schemeClr w14:val="tx1"/>
                  </w14:solidFill>
                </w14:textFill>
              </w:rPr>
              <w:t>完成系统建设、上线试运行、初验以及6个月的迭代优化并运行稳定，即具备终验条件，进行终验工作。</w:t>
            </w:r>
          </w:p>
        </w:tc>
      </w:tr>
    </w:tbl>
    <w:p w14:paraId="69C9763B">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5、项目需求</w:t>
      </w:r>
    </w:p>
    <w:p w14:paraId="56320BEC">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详细内容请参阅采购文件第三部分《用户需求书》。</w:t>
      </w:r>
    </w:p>
    <w:p w14:paraId="1E369F9E">
      <w:pPr>
        <w:ind w:firstLine="413" w:firstLineChars="196"/>
        <w:rPr>
          <w:rFonts w:ascii="宋体" w:hAnsi="宋体"/>
          <w:b/>
          <w:color w:val="000000" w:themeColor="text1"/>
          <w:szCs w:val="21"/>
          <w14:textFill>
            <w14:solidFill>
              <w14:schemeClr w14:val="tx1"/>
            </w14:solidFill>
          </w14:textFill>
        </w:rPr>
      </w:pPr>
    </w:p>
    <w:p w14:paraId="2F741F82">
      <w:pPr>
        <w:ind w:firstLine="413" w:firstLineChars="196"/>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二、投标人资格要求</w:t>
      </w:r>
    </w:p>
    <w:p w14:paraId="301B3014">
      <w:pPr>
        <w:ind w:firstLine="411" w:firstLineChars="196"/>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1、一般要求：</w:t>
      </w:r>
    </w:p>
    <w:p w14:paraId="73684351">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投标人须为在中华人民共和国境内登记注册的具有独立承担民事责任能力的法人或其他组织【提供《营业执照》复印件（加盖公章）或《事业单位法人证书》复印件（加盖公章）或其他主体证书复印件（加盖公章）】。</w:t>
      </w:r>
    </w:p>
    <w:p w14:paraId="3CA1C2D9">
      <w:pPr>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14:textFill>
            <w14:solidFill>
              <w14:schemeClr w14:val="tx1"/>
            </w14:solidFill>
          </w14:textFill>
        </w:rPr>
        <w:t>（2）参加采购活动前三年内，</w:t>
      </w:r>
      <w:r>
        <w:rPr>
          <w:rFonts w:hint="eastAsia" w:ascii="宋体" w:hAnsi="宋体"/>
          <w:color w:val="000000" w:themeColor="text1"/>
          <w:szCs w:val="21"/>
          <w:highlight w:val="none"/>
          <w14:textFill>
            <w14:solidFill>
              <w14:schemeClr w14:val="tx1"/>
            </w14:solidFill>
          </w14:textFill>
        </w:rPr>
        <w:t>在经营活动中没有重大违法记录（须提供书面声明）。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有最新发文通知，按最新文件执行）。</w:t>
      </w:r>
    </w:p>
    <w:p w14:paraId="6BB28E6B">
      <w:pPr>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（3）投标人的单位负责人为同一人或者存在直接控股、管理关系的不同投标人，不得参加同一合同项下的采购活动。</w:t>
      </w:r>
    </w:p>
    <w:p w14:paraId="1A2CD913">
      <w:pPr>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（4）未被列入“信用中国”网站(www.creditchina.gov.cn )“失信被执行人或</w:t>
      </w:r>
      <w:r>
        <w:rPr>
          <w:rFonts w:hint="eastAsia"/>
          <w:color w:val="000000" w:themeColor="text1"/>
          <w:highlight w:val="none"/>
          <w14:textFill>
            <w14:solidFill>
              <w14:schemeClr w14:val="tx1"/>
            </w14:solidFill>
          </w14:textFill>
        </w:rPr>
        <w:t>重大税收违法失信主体名单</w:t>
      </w:r>
      <w:r>
        <w:rPr>
          <w:rFonts w:hint="eastAsia" w:ascii="宋体" w:hAnsi="宋体"/>
          <w:color w:val="000000" w:themeColor="text1"/>
          <w:szCs w:val="21"/>
          <w:highlight w:val="none"/>
          <w14:textFill>
            <w14:solidFill>
              <w14:schemeClr w14:val="tx1"/>
            </w14:solidFill>
          </w14:textFill>
        </w:rPr>
        <w:t>或政府采购严重违法失信行为记录名单”记录名单。以代理机构于投标截止日当天在“信用中国”网站查询结果为准，如相关失信记录已失效，投标人需提供相关证明资料。</w:t>
      </w:r>
    </w:p>
    <w:p w14:paraId="69AF22A0">
      <w:pPr>
        <w:numPr>
          <w:ilvl w:val="-1"/>
          <w:numId w:val="0"/>
        </w:numPr>
        <w:spacing w:line="360" w:lineRule="auto"/>
        <w:ind w:left="0" w:leftChars="0" w:firstLine="420" w:firstLineChars="200"/>
        <w:rPr>
          <w:rFonts w:hint="eastAsia"/>
          <w:color w:val="000000" w:themeColor="text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（5）未被列入东莞实业投资控股集团有限公司及下属企业相关领域黑名单。</w:t>
      </w:r>
    </w:p>
    <w:p w14:paraId="7680459B">
      <w:pPr>
        <w:ind w:firstLine="420" w:firstLineChars="200"/>
        <w:rPr>
          <w:rFonts w:hint="eastAsia" w:ascii="宋体" w:hAnsi="宋体" w:eastAsia="宋体"/>
          <w:color w:val="000000" w:themeColor="text1"/>
          <w:szCs w:val="21"/>
          <w:highlight w:val="none"/>
          <w14:textFill>
            <w14:solidFill>
              <w14:schemeClr w14:val="tx1"/>
            </w14:solidFill>
          </w14:textFill>
        </w:rPr>
      </w:pPr>
      <w:r>
        <w:rPr>
          <w:rFonts w:hint="eastAsia" w:ascii="宋体" w:hAnsi="宋体" w:eastAsia="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eastAsia="宋体"/>
          <w:color w:val="000000" w:themeColor="text1"/>
          <w:szCs w:val="21"/>
          <w:highlight w:val="none"/>
          <w:lang w:eastAsia="zh-CN"/>
          <w14:textFill>
            <w14:solidFill>
              <w14:schemeClr w14:val="tx1"/>
            </w14:solidFill>
          </w14:textFill>
        </w:rPr>
        <w:t>）</w:t>
      </w:r>
      <w:r>
        <w:rPr>
          <w:rFonts w:hint="eastAsia" w:ascii="宋体" w:hAnsi="宋体" w:eastAsia="宋体"/>
          <w:color w:val="000000" w:themeColor="text1"/>
          <w:szCs w:val="21"/>
          <w:highlight w:val="none"/>
          <w14:textFill>
            <w14:solidFill>
              <w14:schemeClr w14:val="tx1"/>
            </w14:solidFill>
          </w14:textFill>
        </w:rPr>
        <w:t>本项目（</w:t>
      </w:r>
      <w:r>
        <w:rPr>
          <w:rFonts w:hint="eastAsia" w:ascii="宋体" w:hAnsi="宋体"/>
          <w:color w:val="000000" w:themeColor="text1"/>
          <w:szCs w:val="21"/>
          <w:highlight w:val="none"/>
          <w:lang w:val="en-US" w:eastAsia="zh-CN"/>
          <w14:textFill>
            <w14:solidFill>
              <w14:schemeClr w14:val="tx1"/>
            </w14:solidFill>
          </w14:textFill>
        </w:rPr>
        <w:t>不</w:t>
      </w:r>
      <w:r>
        <w:rPr>
          <w:rFonts w:hint="eastAsia" w:ascii="宋体" w:hAnsi="宋体" w:eastAsia="宋体"/>
          <w:color w:val="000000" w:themeColor="text1"/>
          <w:szCs w:val="21"/>
          <w:highlight w:val="none"/>
          <w14:textFill>
            <w14:solidFill>
              <w14:schemeClr w14:val="tx1"/>
            </w14:solidFill>
          </w14:textFill>
        </w:rPr>
        <w:t>接受）联合体投标。</w:t>
      </w:r>
    </w:p>
    <w:p w14:paraId="60742320">
      <w:pPr>
        <w:ind w:firstLine="413" w:firstLineChars="196"/>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三、获取采购文件方式及要求：</w:t>
      </w:r>
    </w:p>
    <w:p w14:paraId="2B3A4621">
      <w:pPr>
        <w:wordWrap w:val="0"/>
        <w:ind w:firstLine="420" w:firstLineChars="200"/>
        <w:rPr>
          <w:rFonts w:hint="eastAsia"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本项目不进行实名登记报名，拟参加投标的投标人可于投标截止时间前自行网上下载采购文件。</w:t>
      </w:r>
      <w:r>
        <w:rPr>
          <w:rFonts w:ascii="宋体" w:hAnsi="宋体" w:cs="宋体"/>
          <w:color w:val="000000" w:themeColor="text1"/>
          <w:szCs w:val="21"/>
          <w14:textFill>
            <w14:solidFill>
              <w14:schemeClr w14:val="tx1"/>
            </w14:solidFill>
          </w14:textFill>
        </w:rPr>
        <w:t>采购文件下载地址：</w:t>
      </w:r>
      <w:r>
        <w:rPr>
          <w:rFonts w:hint="eastAsia" w:ascii="宋体" w:hAnsi="宋体" w:cs="宋体"/>
          <w:color w:val="000000" w:themeColor="text1"/>
          <w:szCs w:val="21"/>
          <w:u w:val="single"/>
          <w14:textFill>
            <w14:solidFill>
              <w14:schemeClr w14:val="tx1"/>
            </w14:solidFill>
          </w14:textFill>
        </w:rPr>
        <w:t>中国招标投标公共服务平台（http://www.cebpubservice.com/）、东莞实业投资控股集团有限公司-招标采购栏目（http://www.dgsy.com.cn/）、东莞市能源投资集团有限公司（http://www.dg-energy.com/cn/list/30.html）</w:t>
      </w:r>
      <w:r>
        <w:rPr>
          <w:rFonts w:hint="eastAsia" w:ascii="宋体" w:hAnsi="宋体" w:cs="宋体"/>
          <w:color w:val="000000" w:themeColor="text1"/>
          <w:szCs w:val="21"/>
          <w:u w:val="single"/>
          <w:lang w:eastAsia="zh-CN"/>
          <w14:textFill>
            <w14:solidFill>
              <w14:schemeClr w14:val="tx1"/>
            </w14:solidFill>
          </w14:textFill>
        </w:rPr>
        <w:t>、</w:t>
      </w:r>
      <w:r>
        <w:rPr>
          <w:rFonts w:hint="eastAsia" w:ascii="宋体" w:hAnsi="宋体" w:cs="宋体"/>
          <w:color w:val="000000" w:themeColor="text1"/>
          <w:szCs w:val="21"/>
          <w:highlight w:val="none"/>
          <w:u w:val="single"/>
          <w:lang w:eastAsia="zh-CN"/>
          <w14:textFill>
            <w14:solidFill>
              <w14:schemeClr w14:val="tx1"/>
            </w14:solidFill>
          </w14:textFill>
        </w:rPr>
        <w:t>广州宏达工程顾问集团有限公司</w:t>
      </w:r>
      <w:r>
        <w:rPr>
          <w:rFonts w:hint="eastAsia" w:ascii="宋体" w:hAnsi="宋体" w:cs="宋体"/>
          <w:color w:val="000000" w:themeColor="text1"/>
          <w:szCs w:val="21"/>
          <w:highlight w:val="none"/>
          <w:u w:val="single"/>
          <w14:textFill>
            <w14:solidFill>
              <w14:schemeClr w14:val="tx1"/>
            </w14:solidFill>
          </w14:textFill>
        </w:rPr>
        <w:t>网站（</w:t>
      </w:r>
      <w:r>
        <w:rPr>
          <w:rFonts w:hint="eastAsia" w:ascii="宋体" w:hAnsi="宋体" w:eastAsia="宋体" w:cs="宋体"/>
          <w:bCs/>
          <w:color w:val="000000" w:themeColor="text1"/>
          <w:sz w:val="21"/>
          <w:szCs w:val="21"/>
          <w:highlight w:val="none"/>
          <w:u w:val="single"/>
          <w:lang w:eastAsia="zh-CN"/>
          <w14:textFill>
            <w14:solidFill>
              <w14:schemeClr w14:val="tx1"/>
            </w14:solidFill>
          </w14:textFill>
        </w:rPr>
        <w:t>http://www.wangtat.com.cn/</w:t>
      </w:r>
      <w:r>
        <w:rPr>
          <w:rFonts w:hint="eastAsia" w:ascii="宋体" w:hAnsi="宋体" w:cs="宋体"/>
          <w:color w:val="000000" w:themeColor="text1"/>
          <w:szCs w:val="21"/>
          <w:highlight w:val="none"/>
          <w:u w:val="single"/>
          <w14:textFill>
            <w14:solidFill>
              <w14:schemeClr w14:val="tx1"/>
            </w14:solidFill>
          </w14:textFill>
        </w:rPr>
        <w:t>）。</w:t>
      </w:r>
    </w:p>
    <w:p w14:paraId="7E8E9CDA">
      <w:pPr>
        <w:ind w:firstLine="413" w:firstLineChars="196"/>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四、投标文件的递交</w:t>
      </w:r>
    </w:p>
    <w:p w14:paraId="202A0E21">
      <w:pPr>
        <w:keepNext w:val="0"/>
        <w:keepLines w:val="0"/>
        <w:pageBreakBefore w:val="0"/>
        <w:widowControl/>
        <w:kinsoku/>
        <w:overflowPunct/>
        <w:topLinePunct w:val="0"/>
        <w:autoSpaceDE/>
        <w:autoSpaceDN/>
        <w:bidi w:val="0"/>
        <w:spacing w:line="384" w:lineRule="exact"/>
        <w:ind w:left="0" w:leftChars="0" w:right="-21" w:rightChars="-10" w:firstLine="218" w:firstLineChars="104"/>
        <w:textAlignment w:val="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1、递交投标文件时间：</w:t>
      </w:r>
      <w:r>
        <w:rPr>
          <w:rFonts w:hint="eastAsia" w:ascii="宋体" w:hAnsi="宋体" w:cs="宋体"/>
          <w:color w:val="000000" w:themeColor="text1"/>
          <w:szCs w:val="21"/>
          <w14:textFill>
            <w14:solidFill>
              <w14:schemeClr w14:val="tx1"/>
            </w14:solidFill>
          </w14:textFill>
        </w:rPr>
        <w:t>202</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6</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月</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22</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日</w:t>
      </w:r>
      <w:r>
        <w:rPr>
          <w:rFonts w:hint="eastAsia" w:ascii="宋体" w:hAnsi="宋体" w:cs="宋体"/>
          <w:color w:val="000000" w:themeColor="text1"/>
          <w:szCs w:val="21"/>
          <w:u w:val="single"/>
          <w:lang w:val="en-US" w:eastAsia="zh-CN"/>
          <w14:textFill>
            <w14:solidFill>
              <w14:schemeClr w14:val="tx1"/>
            </w14:solidFill>
          </w14:textFill>
        </w:rPr>
        <w:t xml:space="preserve"> 14 </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u w:val="single"/>
          <w:lang w:val="en-US" w:eastAsia="zh-CN"/>
          <w14:textFill>
            <w14:solidFill>
              <w14:schemeClr w14:val="tx1"/>
            </w14:solidFill>
          </w14:textFill>
        </w:rPr>
        <w:t xml:space="preserve"> 00 </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u w:val="single"/>
          <w:lang w:val="en-US" w:eastAsia="zh-CN"/>
          <w14:textFill>
            <w14:solidFill>
              <w14:schemeClr w14:val="tx1"/>
            </w14:solidFill>
          </w14:textFill>
        </w:rPr>
        <w:t xml:space="preserve"> 14 </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u w:val="single"/>
          <w:lang w:val="en-US" w:eastAsia="zh-CN"/>
          <w14:textFill>
            <w14:solidFill>
              <w14:schemeClr w14:val="tx1"/>
            </w14:solidFill>
          </w14:textFill>
        </w:rPr>
        <w:t xml:space="preserve"> 30 </w:t>
      </w:r>
      <w:r>
        <w:rPr>
          <w:rFonts w:hint="eastAsia" w:ascii="宋体" w:hAnsi="宋体" w:cs="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北京时间）。</w:t>
      </w:r>
    </w:p>
    <w:p w14:paraId="63A7BA06">
      <w:pPr>
        <w:keepNext w:val="0"/>
        <w:keepLines w:val="0"/>
        <w:pageBreakBefore w:val="0"/>
        <w:widowControl/>
        <w:kinsoku/>
        <w:overflowPunct/>
        <w:topLinePunct w:val="0"/>
        <w:autoSpaceDE/>
        <w:autoSpaceDN/>
        <w:bidi w:val="0"/>
        <w:spacing w:line="384" w:lineRule="exact"/>
        <w:ind w:left="0" w:leftChars="0" w:right="-21" w:rightChars="-10" w:firstLine="218" w:firstLineChars="104"/>
        <w:textAlignment w:val="auto"/>
        <w:rPr>
          <w:rFonts w:hint="eastAsia"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2、递交投标文件</w:t>
      </w:r>
      <w:r>
        <w:rPr>
          <w:rFonts w:ascii="宋体" w:hAnsi="宋体"/>
          <w:color w:val="000000" w:themeColor="text1"/>
          <w:szCs w:val="21"/>
          <w14:textFill>
            <w14:solidFill>
              <w14:schemeClr w14:val="tx1"/>
            </w14:solidFill>
          </w14:textFill>
        </w:rPr>
        <w:t>截止</w:t>
      </w:r>
      <w:r>
        <w:rPr>
          <w:rFonts w:hint="eastAsia" w:ascii="宋体" w:hAnsi="宋体"/>
          <w:color w:val="000000" w:themeColor="text1"/>
          <w:szCs w:val="21"/>
          <w14:textFill>
            <w14:solidFill>
              <w14:schemeClr w14:val="tx1"/>
            </w14:solidFill>
          </w14:textFill>
        </w:rPr>
        <w:t>及开标时间：</w:t>
      </w:r>
      <w:r>
        <w:rPr>
          <w:rFonts w:hint="eastAsia" w:ascii="宋体" w:hAnsi="宋体" w:cs="宋体"/>
          <w:color w:val="000000" w:themeColor="text1"/>
          <w:szCs w:val="21"/>
          <w14:textFill>
            <w14:solidFill>
              <w14:schemeClr w14:val="tx1"/>
            </w14:solidFill>
          </w14:textFill>
        </w:rPr>
        <w:t>202</w:t>
      </w: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6 </w:t>
      </w:r>
      <w:r>
        <w:rPr>
          <w:rFonts w:hint="eastAsia" w:ascii="宋体" w:hAnsi="宋体" w:cs="宋体"/>
          <w:color w:val="000000" w:themeColor="text1"/>
          <w:szCs w:val="21"/>
          <w14:textFill>
            <w14:solidFill>
              <w14:schemeClr w14:val="tx1"/>
            </w14:solidFill>
          </w14:textFill>
        </w:rPr>
        <w:t>月</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22</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日</w:t>
      </w:r>
      <w:r>
        <w:rPr>
          <w:rFonts w:hint="eastAsia" w:ascii="宋体" w:hAnsi="宋体"/>
          <w:color w:val="000000" w:themeColor="text1"/>
          <w:szCs w:val="21"/>
          <w:u w:val="single"/>
          <w:lang w:val="en-US" w:eastAsia="zh-CN"/>
          <w14:textFill>
            <w14:solidFill>
              <w14:schemeClr w14:val="tx1"/>
            </w14:solidFill>
          </w14:textFill>
        </w:rPr>
        <w:t xml:space="preserve"> 14 </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u w:val="single"/>
          <w:lang w:val="en-US" w:eastAsia="zh-CN"/>
          <w14:textFill>
            <w14:solidFill>
              <w14:schemeClr w14:val="tx1"/>
            </w14:solidFill>
          </w14:textFill>
        </w:rPr>
        <w:t xml:space="preserve"> 30 </w:t>
      </w:r>
      <w:r>
        <w:rPr>
          <w:rFonts w:hint="eastAsia" w:ascii="宋体" w:hAnsi="宋体"/>
          <w:color w:val="000000" w:themeColor="text1"/>
          <w:szCs w:val="21"/>
          <w14:textFill>
            <w14:solidFill>
              <w14:schemeClr w14:val="tx1"/>
            </w14:solidFill>
          </w14:textFill>
        </w:rPr>
        <w:t>（北京时间），所有投标文件应于截止时间之前递交，迟交或以电报、传真形式的投标文件将拒绝接收。</w:t>
      </w:r>
    </w:p>
    <w:p w14:paraId="05280C93">
      <w:pPr>
        <w:keepNext w:val="0"/>
        <w:keepLines w:val="0"/>
        <w:pageBreakBefore w:val="0"/>
        <w:widowControl/>
        <w:kinsoku/>
        <w:overflowPunct/>
        <w:topLinePunct w:val="0"/>
        <w:autoSpaceDE/>
        <w:autoSpaceDN/>
        <w:bidi w:val="0"/>
        <w:spacing w:line="384" w:lineRule="exact"/>
        <w:ind w:left="0" w:leftChars="0" w:right="-21" w:rightChars="-10" w:firstLine="218" w:firstLineChars="104"/>
        <w:textAlignment w:val="auto"/>
        <w:rPr>
          <w:rFonts w:hint="eastAsia"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3、</w:t>
      </w:r>
      <w:r>
        <w:rPr>
          <w:rFonts w:ascii="宋体" w:hAnsi="宋体"/>
          <w:color w:val="000000" w:themeColor="text1"/>
          <w:szCs w:val="21"/>
          <w14:textFill>
            <w14:solidFill>
              <w14:schemeClr w14:val="tx1"/>
            </w14:solidFill>
          </w14:textFill>
        </w:rPr>
        <w:t>开标地点</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lang w:eastAsia="zh-CN"/>
          <w14:textFill>
            <w14:solidFill>
              <w14:schemeClr w14:val="tx1"/>
            </w14:solidFill>
          </w14:textFill>
        </w:rPr>
        <w:t>广东省东莞市南城街道宏图路105号1栋313室</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 xml:space="preserve"> </w:t>
      </w:r>
    </w:p>
    <w:p w14:paraId="0FB173CF">
      <w:pPr>
        <w:ind w:firstLine="210" w:firstLineChars="1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4、开标事宜：</w:t>
      </w:r>
      <w:r>
        <w:rPr>
          <w:rFonts w:hint="eastAsia" w:ascii="宋体" w:hAnsi="宋体"/>
          <w:b/>
          <w:bCs/>
          <w:color w:val="000000" w:themeColor="text1"/>
          <w:szCs w:val="21"/>
          <w14:textFill>
            <w14:solidFill>
              <w14:schemeClr w14:val="tx1"/>
            </w14:solidFill>
          </w14:textFill>
        </w:rPr>
        <w:t>届时请投标人的法定代表人或其授权代表务必携带有效身份证明出席开标会</w:t>
      </w:r>
      <w:r>
        <w:rPr>
          <w:rFonts w:hint="eastAsia" w:ascii="宋体" w:hAnsi="宋体"/>
          <w:bCs/>
          <w:color w:val="000000" w:themeColor="text1"/>
          <w:szCs w:val="21"/>
          <w14:textFill>
            <w14:solidFill>
              <w14:schemeClr w14:val="tx1"/>
            </w14:solidFill>
          </w14:textFill>
        </w:rPr>
        <w:t>。</w:t>
      </w:r>
    </w:p>
    <w:p w14:paraId="627F0BF8">
      <w:pPr>
        <w:spacing w:line="384" w:lineRule="exact"/>
        <w:ind w:right="-21" w:rightChars="-10" w:firstLine="218" w:firstLineChars="104"/>
        <w:rPr>
          <w:rFonts w:hint="eastAsia" w:ascii="宋体" w:hAnsi="宋体" w:cs="宋体"/>
          <w:color w:val="000000" w:themeColor="text1"/>
          <w:sz w:val="21"/>
          <w:szCs w:val="21"/>
          <w:u w:val="single"/>
          <w14:textFill>
            <w14:solidFill>
              <w14:schemeClr w14:val="tx1"/>
            </w14:solidFill>
          </w14:textFill>
        </w:rPr>
      </w:pPr>
      <w:r>
        <w:rPr>
          <w:rFonts w:hint="eastAsia" w:ascii="宋体" w:hAnsi="宋体" w:cs="宋体"/>
          <w:color w:val="000000" w:themeColor="text1"/>
          <w:sz w:val="21"/>
          <w:szCs w:val="21"/>
          <w:u w:val="single"/>
          <w14:textFill>
            <w14:solidFill>
              <w14:schemeClr w14:val="tx1"/>
            </w14:solidFill>
          </w14:textFill>
        </w:rPr>
        <w:t>5、出现以下情形时，采购代理机构不予接收投标（响应）文件：</w:t>
      </w:r>
    </w:p>
    <w:p w14:paraId="28A48D86">
      <w:pPr>
        <w:spacing w:line="384" w:lineRule="exact"/>
        <w:ind w:right="-21" w:rightChars="-10" w:firstLine="218" w:firstLineChars="104"/>
        <w:rPr>
          <w:rFonts w:hint="eastAsia" w:ascii="宋体" w:hAnsi="宋体" w:cs="宋体"/>
          <w:color w:val="000000" w:themeColor="text1"/>
          <w:sz w:val="21"/>
          <w:szCs w:val="21"/>
          <w:u w:val="single"/>
          <w14:textFill>
            <w14:solidFill>
              <w14:schemeClr w14:val="tx1"/>
            </w14:solidFill>
          </w14:textFill>
        </w:rPr>
      </w:pPr>
      <w:r>
        <w:rPr>
          <w:rFonts w:hint="eastAsia" w:ascii="宋体" w:hAnsi="宋体" w:cs="宋体"/>
          <w:color w:val="000000" w:themeColor="text1"/>
          <w:sz w:val="21"/>
          <w:szCs w:val="21"/>
          <w:u w:val="single"/>
          <w14:textFill>
            <w14:solidFill>
              <w14:schemeClr w14:val="tx1"/>
            </w14:solidFill>
          </w14:textFill>
        </w:rPr>
        <w:t>（1）逾期送达或者未送达指定地点的；</w:t>
      </w:r>
    </w:p>
    <w:p w14:paraId="4E785BAC">
      <w:pPr>
        <w:spacing w:line="384" w:lineRule="exact"/>
        <w:ind w:right="-21" w:rightChars="-10" w:firstLine="218" w:firstLineChars="104"/>
        <w:rPr>
          <w:rFonts w:hint="eastAsia" w:ascii="宋体" w:hAnsi="宋体" w:cs="宋体"/>
          <w:color w:val="000000" w:themeColor="text1"/>
          <w:sz w:val="21"/>
          <w:szCs w:val="21"/>
          <w:u w:val="single"/>
          <w14:textFill>
            <w14:solidFill>
              <w14:schemeClr w14:val="tx1"/>
            </w14:solidFill>
          </w14:textFill>
        </w:rPr>
      </w:pPr>
      <w:r>
        <w:rPr>
          <w:rFonts w:hint="eastAsia" w:ascii="宋体" w:hAnsi="宋体" w:cs="宋体"/>
          <w:color w:val="000000" w:themeColor="text1"/>
          <w:sz w:val="21"/>
          <w:szCs w:val="21"/>
          <w:u w:val="single"/>
          <w14:textFill>
            <w14:solidFill>
              <w14:schemeClr w14:val="tx1"/>
            </w14:solidFill>
          </w14:textFill>
        </w:rPr>
        <w:t>（2）未按采购文件要求密封的。</w:t>
      </w:r>
    </w:p>
    <w:p w14:paraId="14B0056F">
      <w:pPr>
        <w:pStyle w:val="40"/>
        <w:ind w:firstLine="400"/>
        <w:rPr>
          <w:color w:val="000000" w:themeColor="text1"/>
          <w14:textFill>
            <w14:solidFill>
              <w14:schemeClr w14:val="tx1"/>
            </w14:solidFill>
          </w14:textFill>
        </w:rPr>
      </w:pPr>
    </w:p>
    <w:p w14:paraId="216B16D9">
      <w:pPr>
        <w:pStyle w:val="40"/>
        <w:ind w:firstLine="422"/>
        <w:rPr>
          <w:rFonts w:ascii="宋体" w:hAnsi="宋体" w:eastAsia="宋体" w:cstheme="minorBidi"/>
          <w:b/>
          <w:color w:val="000000" w:themeColor="text1"/>
          <w:sz w:val="21"/>
          <w:szCs w:val="21"/>
          <w14:textFill>
            <w14:solidFill>
              <w14:schemeClr w14:val="tx1"/>
            </w14:solidFill>
          </w14:textFill>
        </w:rPr>
      </w:pPr>
      <w:r>
        <w:rPr>
          <w:rFonts w:hint="eastAsia" w:ascii="宋体" w:hAnsi="宋体" w:eastAsia="宋体" w:cstheme="minorBidi"/>
          <w:b/>
          <w:color w:val="000000" w:themeColor="text1"/>
          <w:sz w:val="21"/>
          <w:szCs w:val="21"/>
          <w14:textFill>
            <w14:solidFill>
              <w14:schemeClr w14:val="tx1"/>
            </w14:solidFill>
          </w14:textFill>
        </w:rPr>
        <w:t>五</w:t>
      </w:r>
      <w:r>
        <w:rPr>
          <w:rFonts w:ascii="宋体" w:hAnsi="宋体" w:eastAsia="宋体" w:cstheme="minorBidi"/>
          <w:b/>
          <w:color w:val="000000" w:themeColor="text1"/>
          <w:sz w:val="21"/>
          <w:szCs w:val="21"/>
          <w14:textFill>
            <w14:solidFill>
              <w14:schemeClr w14:val="tx1"/>
            </w14:solidFill>
          </w14:textFill>
        </w:rPr>
        <w:t>、发布公告的媒介</w:t>
      </w:r>
    </w:p>
    <w:p w14:paraId="25877B7F">
      <w:pPr>
        <w:pStyle w:val="40"/>
        <w:spacing w:line="360" w:lineRule="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1、采购公告发布媒介：</w:t>
      </w:r>
    </w:p>
    <w:p w14:paraId="022C9F98">
      <w:pPr>
        <w:wordWrap w:val="0"/>
        <w:ind w:firstLine="420" w:firstLineChars="200"/>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u w:val="single"/>
          <w14:textFill>
            <w14:solidFill>
              <w14:schemeClr w14:val="tx1"/>
            </w14:solidFill>
          </w14:textFill>
        </w:rPr>
        <w:t>中国招标投标公共服务平台（http</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://www.cebpubservice.com/）、东莞实业投资控股集团有限公司-招标采购栏目（http://www.dgsy.com.cn/）、</w:t>
      </w:r>
      <w:r>
        <w:rPr>
          <w:rFonts w:hint="eastAsia" w:asciiTheme="minorEastAsia" w:hAnsiTheme="minorEastAsia" w:eastAsiaTheme="minorEastAsia" w:cstheme="minorEastAsia"/>
          <w:color w:val="000000" w:themeColor="text1"/>
          <w:szCs w:val="21"/>
          <w:u w:val="single"/>
          <w14:textFill>
            <w14:solidFill>
              <w14:schemeClr w14:val="tx1"/>
            </w14:solidFill>
          </w14:textFill>
        </w:rPr>
        <w:t>东莞市能源投资集团有限公司（http://www.dg-energy.com/cn/list/30.html）</w:t>
      </w:r>
      <w:r>
        <w:rPr>
          <w:rFonts w:hint="eastAsia" w:asciiTheme="minorEastAsia" w:hAnsiTheme="minorEastAsia" w:eastAsiaTheme="minorEastAsia" w:cstheme="minorEastAsia"/>
          <w:color w:val="000000" w:themeColor="text1"/>
          <w:szCs w:val="21"/>
          <w:u w:val="singl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代理公司官网（</w:t>
      </w:r>
      <w:r>
        <w:rPr>
          <w:rFonts w:hint="eastAsia" w:asciiTheme="minorEastAsia" w:hAnsiTheme="minorEastAsia" w:eastAsiaTheme="minorEastAsia" w:cstheme="minorEastAsia"/>
          <w:bCs w:val="0"/>
          <w:color w:val="000000" w:themeColor="text1"/>
          <w:sz w:val="21"/>
          <w:szCs w:val="21"/>
          <w:u w:val="single"/>
          <w:lang w:eastAsia="zh-CN"/>
          <w14:textFill>
            <w14:solidFill>
              <w14:schemeClr w14:val="tx1"/>
            </w14:solidFill>
          </w14:textFill>
        </w:rPr>
        <w:t>http://www.wangtat.com.cn/</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w:t>
      </w:r>
    </w:p>
    <w:p w14:paraId="42859B79">
      <w:pPr>
        <w:pStyle w:val="40"/>
        <w:spacing w:line="360" w:lineRule="auto"/>
        <w:rPr>
          <w:rFonts w:hint="eastAsia" w:asciiTheme="minorEastAsia" w:hAnsiTheme="minorEastAsia" w:eastAsiaTheme="minorEastAsia" w:cstheme="minorEastAsia"/>
          <w:bCs/>
          <w:color w:val="000000" w:themeColor="text1"/>
          <w:sz w:val="21"/>
          <w:szCs w:val="21"/>
          <w:u w:val="none"/>
          <w14:textFill>
            <w14:solidFill>
              <w14:schemeClr w14:val="tx1"/>
            </w14:solidFill>
          </w14:textFill>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2、结果公告发布媒介：</w:t>
      </w:r>
    </w:p>
    <w:p w14:paraId="47128040">
      <w:pPr>
        <w:pStyle w:val="40"/>
        <w:spacing w:line="360" w:lineRule="auto"/>
        <w:rPr>
          <w:rFonts w:hint="eastAsia" w:asciiTheme="minorEastAsia" w:hAnsiTheme="minorEastAsia" w:eastAsiaTheme="minorEastAsia" w:cstheme="minorEastAsia"/>
          <w:bCs/>
          <w:color w:val="000000" w:themeColor="text1"/>
          <w:sz w:val="21"/>
          <w:szCs w:val="21"/>
          <w:u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u w:val="none"/>
          <w14:textFill>
            <w14:solidFill>
              <w14:schemeClr w14:val="tx1"/>
            </w14:solidFill>
          </w14:textFill>
        </w:rPr>
        <w:t>东莞实业投资控股集团有限公司-招标采购栏目（http://www.dgsy.com.cn/）、东莞市能源投资集团有限公司（http://www.dg-energy.com/cn/list/30.html）。</w:t>
      </w:r>
    </w:p>
    <w:p w14:paraId="18DB3F67">
      <w:pPr>
        <w:ind w:firstLine="413" w:firstLineChars="196"/>
        <w:rPr>
          <w:rFonts w:ascii="宋体" w:hAnsi="宋体"/>
          <w:bCs/>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六、采购人及采购代理机构的名称、地址和联系方法：</w:t>
      </w:r>
    </w:p>
    <w:p w14:paraId="3E56A599">
      <w:pPr>
        <w:ind w:firstLine="420" w:firstLineChars="200"/>
        <w:rPr>
          <w:rFonts w:hint="eastAsia" w:ascii="宋体" w:hAnsi="宋体" w:eastAsia="宋体"/>
          <w:bCs/>
          <w:color w:val="000000" w:themeColor="text1"/>
          <w:szCs w:val="21"/>
          <w:lang w:eastAsia="zh-CN"/>
          <w14:textFill>
            <w14:solidFill>
              <w14:schemeClr w14:val="tx1"/>
            </w14:solidFill>
          </w14:textFill>
        </w:rPr>
      </w:pPr>
      <w:r>
        <w:rPr>
          <w:rFonts w:hint="eastAsia" w:ascii="宋体" w:hAnsi="宋体"/>
          <w:bCs/>
          <w:color w:val="000000" w:themeColor="text1"/>
          <w:szCs w:val="21"/>
          <w14:textFill>
            <w14:solidFill>
              <w14:schemeClr w14:val="tx1"/>
            </w14:solidFill>
          </w14:textFill>
        </w:rPr>
        <w:t>采购人</w:t>
      </w:r>
      <w:r>
        <w:rPr>
          <w:rFonts w:ascii="宋体" w:hAnsi="宋体"/>
          <w:bCs/>
          <w:color w:val="000000" w:themeColor="text1"/>
          <w:szCs w:val="21"/>
          <w14:textFill>
            <w14:solidFill>
              <w14:schemeClr w14:val="tx1"/>
            </w14:solidFill>
          </w14:textFill>
        </w:rPr>
        <w:t>名称</w:t>
      </w:r>
      <w:r>
        <w:rPr>
          <w:rFonts w:hint="eastAsia" w:ascii="宋体" w:hAnsi="宋体"/>
          <w:bCs/>
          <w:color w:val="000000" w:themeColor="text1"/>
          <w:szCs w:val="21"/>
          <w14:textFill>
            <w14:solidFill>
              <w14:schemeClr w14:val="tx1"/>
            </w14:solidFill>
          </w14:textFill>
        </w:rPr>
        <w:t>：</w:t>
      </w:r>
      <w:r>
        <w:rPr>
          <w:rFonts w:hint="eastAsia" w:ascii="宋体" w:hAnsi="宋体"/>
          <w:bCs/>
          <w:color w:val="000000" w:themeColor="text1"/>
          <w:szCs w:val="21"/>
          <w:lang w:eastAsia="zh-CN"/>
          <w14:textFill>
            <w14:solidFill>
              <w14:schemeClr w14:val="tx1"/>
            </w14:solidFill>
          </w14:textFill>
        </w:rPr>
        <w:t>东莞市能源投资集团有限公司</w:t>
      </w:r>
    </w:p>
    <w:p w14:paraId="401EF477">
      <w:pPr>
        <w:ind w:firstLine="420" w:firstLineChars="200"/>
        <w:rPr>
          <w:rFonts w:hint="default" w:ascii="宋体" w:hAnsi="宋体" w:eastAsia="宋体"/>
          <w:bCs/>
          <w:color w:val="000000" w:themeColor="text1"/>
          <w:szCs w:val="21"/>
          <w:lang w:val="en-US" w:eastAsia="zh-CN"/>
          <w14:textFill>
            <w14:solidFill>
              <w14:schemeClr w14:val="tx1"/>
            </w14:solidFill>
          </w14:textFill>
        </w:rPr>
      </w:pPr>
      <w:r>
        <w:rPr>
          <w:rFonts w:hint="eastAsia" w:ascii="宋体" w:hAnsi="宋体"/>
          <w:bCs/>
          <w:color w:val="000000" w:themeColor="text1"/>
          <w:szCs w:val="21"/>
          <w14:textFill>
            <w14:solidFill>
              <w14:schemeClr w14:val="tx1"/>
            </w14:solidFill>
          </w14:textFill>
        </w:rPr>
        <w:t>采购人联系人：</w:t>
      </w:r>
      <w:r>
        <w:rPr>
          <w:rFonts w:hint="eastAsia" w:ascii="宋体" w:hAnsi="宋体"/>
          <w:bCs/>
          <w:color w:val="000000" w:themeColor="text1"/>
          <w:szCs w:val="21"/>
          <w:lang w:val="en-US" w:eastAsia="zh-CN"/>
          <w14:textFill>
            <w14:solidFill>
              <w14:schemeClr w14:val="tx1"/>
            </w14:solidFill>
          </w14:textFill>
        </w:rPr>
        <w:t>梅先生</w:t>
      </w:r>
    </w:p>
    <w:p w14:paraId="42C2B899">
      <w:pPr>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采购人地址：广东省东莞市松山湖园区新城路5号4栋</w:t>
      </w:r>
    </w:p>
    <w:p w14:paraId="7AF2590F">
      <w:pPr>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采购人联系电话：</w:t>
      </w:r>
      <w:r>
        <w:rPr>
          <w:rFonts w:hint="eastAsia" w:ascii="宋体" w:hAnsi="宋体" w:cs="宋体"/>
          <w:color w:val="000000" w:themeColor="text1"/>
          <w:sz w:val="22"/>
          <w14:textFill>
            <w14:solidFill>
              <w14:schemeClr w14:val="tx1"/>
            </w14:solidFill>
          </w14:textFill>
        </w:rPr>
        <w:t>0769-23328000</w:t>
      </w:r>
    </w:p>
    <w:p w14:paraId="0E541BFC">
      <w:pPr>
        <w:ind w:firstLine="420" w:firstLineChars="200"/>
        <w:rPr>
          <w:rFonts w:ascii="宋体" w:hAnsi="宋体"/>
          <w:color w:val="000000" w:themeColor="text1"/>
          <w:szCs w:val="21"/>
          <w14:textFill>
            <w14:solidFill>
              <w14:schemeClr w14:val="tx1"/>
            </w14:solidFill>
          </w14:textFill>
        </w:rPr>
      </w:pPr>
    </w:p>
    <w:p w14:paraId="313B2E18">
      <w:pPr>
        <w:keepNext w:val="0"/>
        <w:keepLines w:val="0"/>
        <w:pageBreakBefore w:val="0"/>
        <w:widowControl/>
        <w:kinsoku/>
        <w:overflowPunct/>
        <w:topLinePunct w:val="0"/>
        <w:autoSpaceDE/>
        <w:autoSpaceDN/>
        <w:bidi w:val="0"/>
        <w:spacing w:line="384" w:lineRule="exact"/>
        <w:ind w:left="0" w:leftChars="0" w:right="-21" w:rightChars="-10" w:firstLine="420" w:firstLineChars="200"/>
        <w:textAlignment w:val="auto"/>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采购代理机构名称：</w:t>
      </w:r>
      <w:r>
        <w:rPr>
          <w:rFonts w:hint="eastAsia" w:ascii="宋体" w:hAnsi="宋体"/>
          <w:color w:val="000000" w:themeColor="text1"/>
          <w:szCs w:val="21"/>
          <w:lang w:eastAsia="zh-CN"/>
          <w14:textFill>
            <w14:solidFill>
              <w14:schemeClr w14:val="tx1"/>
            </w14:solidFill>
          </w14:textFill>
        </w:rPr>
        <w:t>广州宏达工程顾问集团有限公司</w:t>
      </w:r>
    </w:p>
    <w:p w14:paraId="2A5B5071">
      <w:pPr>
        <w:keepNext w:val="0"/>
        <w:keepLines w:val="0"/>
        <w:pageBreakBefore w:val="0"/>
        <w:widowControl/>
        <w:kinsoku/>
        <w:overflowPunct/>
        <w:topLinePunct w:val="0"/>
        <w:autoSpaceDE/>
        <w:autoSpaceDN/>
        <w:bidi w:val="0"/>
        <w:spacing w:line="384" w:lineRule="exact"/>
        <w:ind w:left="0" w:leftChars="0" w:right="-21" w:rightChars="-10" w:firstLine="420" w:firstLineChars="200"/>
        <w:textAlignment w:val="auto"/>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采购代理机构地址：</w:t>
      </w:r>
      <w:r>
        <w:rPr>
          <w:rFonts w:hint="eastAsia" w:ascii="宋体" w:hAnsi="宋体"/>
          <w:color w:val="000000" w:themeColor="text1"/>
          <w:szCs w:val="21"/>
          <w:lang w:eastAsia="zh-CN"/>
          <w14:textFill>
            <w14:solidFill>
              <w14:schemeClr w14:val="tx1"/>
            </w14:solidFill>
          </w14:textFill>
        </w:rPr>
        <w:t>广东省东莞市南城街道宏图路105号1栋313室</w:t>
      </w:r>
    </w:p>
    <w:p w14:paraId="28368B80">
      <w:pPr>
        <w:keepNext w:val="0"/>
        <w:keepLines w:val="0"/>
        <w:pageBreakBefore w:val="0"/>
        <w:widowControl/>
        <w:kinsoku/>
        <w:overflowPunct/>
        <w:topLinePunct w:val="0"/>
        <w:autoSpaceDE/>
        <w:autoSpaceDN/>
        <w:bidi w:val="0"/>
        <w:spacing w:line="384" w:lineRule="exact"/>
        <w:ind w:left="0" w:leftChars="0" w:right="-21" w:rightChars="-10" w:firstLine="420" w:firstLineChars="200"/>
        <w:textAlignment w:val="auto"/>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采购代理机构联系人：</w:t>
      </w:r>
      <w:r>
        <w:rPr>
          <w:rFonts w:hint="eastAsia" w:ascii="宋体" w:hAnsi="宋体"/>
          <w:color w:val="000000" w:themeColor="text1"/>
          <w:szCs w:val="21"/>
          <w:lang w:val="en-US" w:eastAsia="zh-CN"/>
          <w14:textFill>
            <w14:solidFill>
              <w14:schemeClr w14:val="tx1"/>
            </w14:solidFill>
          </w14:textFill>
        </w:rPr>
        <w:t>李先生</w:t>
      </w:r>
    </w:p>
    <w:p w14:paraId="4680077E">
      <w:pPr>
        <w:keepNext w:val="0"/>
        <w:keepLines w:val="0"/>
        <w:pageBreakBefore w:val="0"/>
        <w:widowControl/>
        <w:kinsoku/>
        <w:overflowPunct/>
        <w:topLinePunct w:val="0"/>
        <w:autoSpaceDE/>
        <w:autoSpaceDN/>
        <w:bidi w:val="0"/>
        <w:spacing w:line="384" w:lineRule="exact"/>
        <w:ind w:left="0" w:leftChars="0" w:right="-21" w:rightChars="-10" w:firstLine="420" w:firstLineChars="200"/>
        <w:textAlignment w:val="auto"/>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采购代理机构联系电话：</w:t>
      </w:r>
      <w:r>
        <w:rPr>
          <w:rFonts w:hint="eastAsia" w:ascii="宋体" w:hAnsi="宋体"/>
          <w:color w:val="000000" w:themeColor="text1"/>
          <w:szCs w:val="21"/>
          <w:lang w:eastAsia="zh-CN"/>
          <w14:textFill>
            <w14:solidFill>
              <w14:schemeClr w14:val="tx1"/>
            </w14:solidFill>
          </w14:textFill>
        </w:rPr>
        <w:t>0769-28056866</w:t>
      </w:r>
      <w:r>
        <w:rPr>
          <w:rFonts w:hint="eastAsia" w:ascii="宋体" w:hAnsi="宋体"/>
          <w:color w:val="000000" w:themeColor="text1"/>
          <w:szCs w:val="21"/>
          <w:lang w:val="en-US" w:eastAsia="zh-CN"/>
          <w14:textFill>
            <w14:solidFill>
              <w14:schemeClr w14:val="tx1"/>
            </w14:solidFill>
          </w14:textFill>
        </w:rPr>
        <w:t>-807</w:t>
      </w:r>
    </w:p>
    <w:p w14:paraId="360CE951">
      <w:pPr>
        <w:keepNext w:val="0"/>
        <w:keepLines w:val="0"/>
        <w:pageBreakBefore w:val="0"/>
        <w:widowControl/>
        <w:kinsoku/>
        <w:overflowPunct/>
        <w:topLinePunct w:val="0"/>
        <w:autoSpaceDE/>
        <w:autoSpaceDN/>
        <w:bidi w:val="0"/>
        <w:spacing w:line="384" w:lineRule="exact"/>
        <w:ind w:left="0" w:leftChars="0" w:right="-21" w:rightChars="-10" w:firstLine="420" w:firstLineChars="200"/>
        <w:textAlignment w:val="auto"/>
        <w:rPr>
          <w:rFonts w:hint="eastAsia" w:ascii="宋体" w:hAnsi="宋体"/>
          <w:color w:val="000000" w:themeColor="text1"/>
          <w:szCs w:val="21"/>
          <w:u w:val="none"/>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采购代理机构邮箱：</w:t>
      </w:r>
      <w:r>
        <w:rPr>
          <w:rFonts w:hint="eastAsia" w:ascii="宋体" w:hAnsi="宋体"/>
          <w:color w:val="000000" w:themeColor="text1"/>
          <w:szCs w:val="21"/>
          <w:u w:val="none"/>
          <w:lang w:eastAsia="zh-CN"/>
          <w14:textFill>
            <w14:solidFill>
              <w14:schemeClr w14:val="tx1"/>
            </w14:solidFill>
          </w14:textFill>
        </w:rPr>
        <w:t>dgwangtat@163.com</w:t>
      </w:r>
    </w:p>
    <w:p w14:paraId="6C55E6FB">
      <w:pPr>
        <w:ind w:firstLine="420" w:firstLineChars="200"/>
        <w:rPr>
          <w:color w:val="000000" w:themeColor="text1"/>
          <w14:textFill>
            <w14:solidFill>
              <w14:schemeClr w14:val="tx1"/>
            </w14:solidFill>
          </w14:textFill>
        </w:rPr>
      </w:pPr>
    </w:p>
    <w:p w14:paraId="6F70A57A">
      <w:pPr>
        <w:ind w:right="752" w:rightChars="358"/>
        <w:jc w:val="right"/>
        <w:rPr>
          <w:color w:val="000000" w:themeColor="text1"/>
          <w14:textFill>
            <w14:solidFill>
              <w14:schemeClr w14:val="tx1"/>
            </w14:solidFill>
          </w14:textFill>
        </w:rPr>
      </w:pPr>
    </w:p>
    <w:p w14:paraId="2ED1329E">
      <w:pPr>
        <w:ind w:right="752" w:rightChars="358"/>
        <w:jc w:val="right"/>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广州宏达工程顾问集团有限公司</w:t>
      </w:r>
    </w:p>
    <w:p w14:paraId="536C3051">
      <w:pPr>
        <w:ind w:right="752" w:rightChars="358"/>
        <w:jc w:val="right"/>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20</w:t>
      </w:r>
      <w:r>
        <w:rPr>
          <w:rFonts w:hint="eastAsia" w:ascii="宋体" w:hAnsi="宋体" w:cs="宋体"/>
          <w:color w:val="000000" w:themeColor="text1"/>
          <w:szCs w:val="21"/>
          <w:lang w:val="en-US" w:eastAsia="zh-CN"/>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lang w:val="en-US" w:eastAsia="zh-CN"/>
          <w14:textFill>
            <w14:solidFill>
              <w14:schemeClr w14:val="tx1"/>
            </w14:solidFill>
          </w14:textFill>
        </w:rPr>
        <w:t xml:space="preserve"> 5 </w:t>
      </w:r>
      <w:r>
        <w:rPr>
          <w:rFonts w:hint="eastAsia" w:ascii="宋体" w:hAnsi="宋体" w:cs="宋体"/>
          <w:color w:val="000000" w:themeColor="text1"/>
          <w:szCs w:val="21"/>
          <w14:textFill>
            <w14:solidFill>
              <w14:schemeClr w14:val="tx1"/>
            </w14:solidFill>
          </w14:textFill>
        </w:rPr>
        <w:t>月</w:t>
      </w:r>
      <w:r>
        <w:rPr>
          <w:rFonts w:hint="eastAsia" w:ascii="宋体" w:hAnsi="宋体" w:cs="宋体"/>
          <w:color w:val="000000" w:themeColor="text1"/>
          <w:szCs w:val="21"/>
          <w:lang w:val="en-US" w:eastAsia="zh-CN"/>
          <w14:textFill>
            <w14:solidFill>
              <w14:schemeClr w14:val="tx1"/>
            </w14:solidFill>
          </w14:textFill>
        </w:rPr>
        <w:t xml:space="preserve"> 29 日</w:t>
      </w:r>
    </w:p>
    <w:p w14:paraId="79F4AED0">
      <w:pPr>
        <w:ind w:left="6205" w:leftChars="2755" w:hanging="420" w:hangingChars="200"/>
        <w:rPr>
          <w:rFonts w:ascii="黑体" w:hAnsi="宋体" w:eastAsia="黑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br w:type="page"/>
      </w:r>
    </w:p>
    <w:p w14:paraId="64F55952">
      <w:pPr>
        <w:pStyle w:val="2"/>
        <w:spacing w:before="0" w:after="0" w:line="240" w:lineRule="auto"/>
        <w:rPr>
          <w:color w:val="000000" w:themeColor="text1"/>
          <w:sz w:val="28"/>
          <w:szCs w:val="28"/>
          <w14:textFill>
            <w14:solidFill>
              <w14:schemeClr w14:val="tx1"/>
            </w14:solidFill>
          </w14:textFill>
        </w:rPr>
      </w:pPr>
      <w:bookmarkStart w:id="4" w:name="_Toc10132"/>
      <w:bookmarkStart w:id="5" w:name="_Toc9418"/>
      <w:r>
        <w:rPr>
          <w:rFonts w:hint="eastAsia"/>
          <w:color w:val="000000" w:themeColor="text1"/>
          <w:sz w:val="28"/>
          <w:szCs w:val="28"/>
          <w14:textFill>
            <w14:solidFill>
              <w14:schemeClr w14:val="tx1"/>
            </w14:solidFill>
          </w14:textFill>
        </w:rPr>
        <w:t>第二部分相关资料表格</w:t>
      </w:r>
      <w:bookmarkEnd w:id="4"/>
      <w:bookmarkEnd w:id="5"/>
    </w:p>
    <w:p w14:paraId="05F09FBE">
      <w:pPr>
        <w:pStyle w:val="3"/>
        <w:spacing w:before="0" w:after="0" w:line="240" w:lineRule="auto"/>
        <w:jc w:val="center"/>
        <w:rPr>
          <w:rFonts w:ascii="宋体" w:hAnsi="宋体" w:cs="宋体"/>
          <w:color w:val="000000" w:themeColor="text1"/>
          <w:sz w:val="24"/>
          <w:szCs w:val="24"/>
          <w14:textFill>
            <w14:solidFill>
              <w14:schemeClr w14:val="tx1"/>
            </w14:solidFill>
          </w14:textFill>
        </w:rPr>
      </w:pPr>
      <w:bookmarkStart w:id="6" w:name="_Toc5534"/>
      <w:bookmarkStart w:id="7" w:name="_Toc13439"/>
      <w:r>
        <w:rPr>
          <w:rFonts w:hint="eastAsia" w:ascii="宋体" w:hAnsi="宋体" w:cs="宋体"/>
          <w:color w:val="000000" w:themeColor="text1"/>
          <w:sz w:val="24"/>
          <w:szCs w:val="24"/>
          <w14:textFill>
            <w14:solidFill>
              <w14:schemeClr w14:val="tx1"/>
            </w14:solidFill>
          </w14:textFill>
        </w:rPr>
        <w:t>附表一：投标资料表</w:t>
      </w:r>
      <w:bookmarkEnd w:id="6"/>
      <w:bookmarkEnd w:id="7"/>
    </w:p>
    <w:tbl>
      <w:tblPr>
        <w:tblStyle w:val="31"/>
        <w:tblW w:w="8410" w:type="dxa"/>
        <w:tblInd w:w="-23"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8"/>
        <w:gridCol w:w="2608"/>
        <w:gridCol w:w="4924"/>
      </w:tblGrid>
      <w:tr w14:paraId="7C0008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78" w:type="dxa"/>
            <w:tcBorders>
              <w:tl2br w:val="nil"/>
              <w:tr2bl w:val="nil"/>
            </w:tcBorders>
            <w:vAlign w:val="center"/>
          </w:tcPr>
          <w:p w14:paraId="26A4E1A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7532" w:type="dxa"/>
            <w:gridSpan w:val="2"/>
            <w:tcBorders>
              <w:tl2br w:val="nil"/>
              <w:tr2bl w:val="nil"/>
            </w:tcBorders>
            <w:vAlign w:val="center"/>
          </w:tcPr>
          <w:p w14:paraId="5F5044A7">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内容</w:t>
            </w:r>
          </w:p>
        </w:tc>
      </w:tr>
      <w:tr w14:paraId="6FE6B6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cantSplit/>
          <w:trHeight w:val="551" w:hRule="atLeast"/>
        </w:trPr>
        <w:tc>
          <w:tcPr>
            <w:tcW w:w="8410" w:type="dxa"/>
            <w:gridSpan w:val="3"/>
            <w:tcBorders>
              <w:tl2br w:val="nil"/>
              <w:tr2bl w:val="nil"/>
            </w:tcBorders>
            <w:vAlign w:val="center"/>
          </w:tcPr>
          <w:p w14:paraId="4A102A15">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一、说明</w:t>
            </w:r>
          </w:p>
        </w:tc>
      </w:tr>
      <w:tr w14:paraId="53DE44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1D9C8081">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7532" w:type="dxa"/>
            <w:gridSpan w:val="2"/>
            <w:tcBorders>
              <w:tl2br w:val="nil"/>
              <w:tr2bl w:val="nil"/>
            </w:tcBorders>
            <w:vAlign w:val="center"/>
          </w:tcPr>
          <w:p w14:paraId="08885C96">
            <w:pP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项目最高限价（</w:t>
            </w:r>
            <w:r>
              <w:rPr>
                <w:rFonts w:hint="eastAsia" w:ascii="宋体" w:hAnsi="宋体"/>
                <w:b/>
                <w:bCs/>
                <w:color w:val="000000" w:themeColor="text1"/>
                <w:szCs w:val="21"/>
                <w:highlight w:val="none"/>
                <w:u w:val="single"/>
                <w14:textFill>
                  <w14:solidFill>
                    <w14:schemeClr w14:val="tx1"/>
                  </w14:solidFill>
                </w14:textFill>
              </w:rPr>
              <w:t>单位：元</w:t>
            </w:r>
            <w:r>
              <w:rPr>
                <w:rFonts w:hint="eastAsia" w:ascii="宋体" w:hAnsi="宋体"/>
                <w:b/>
                <w:bCs/>
                <w:color w:val="000000" w:themeColor="text1"/>
                <w:szCs w:val="21"/>
                <w:highlight w:val="none"/>
                <w14:textFill>
                  <w14:solidFill>
                    <w14:schemeClr w14:val="tx1"/>
                  </w14:solidFill>
                </w14:textFill>
              </w:rPr>
              <w:t>）</w:t>
            </w:r>
          </w:p>
        </w:tc>
      </w:tr>
      <w:tr w14:paraId="297FD6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5A2C1141">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4B0E95A1">
            <w:pPr>
              <w:rPr>
                <w:rFonts w:hint="default" w:ascii="宋体" w:hAnsi="宋体" w:eastAsia="宋体"/>
                <w:b/>
                <w:bCs/>
                <w:color w:val="000000" w:themeColor="text1"/>
                <w:szCs w:val="21"/>
                <w:lang w:val="en-US" w:eastAsia="zh-CN"/>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与项目预算一致</w:t>
            </w:r>
            <w:r>
              <w:rPr>
                <w:rFonts w:hint="eastAsia" w:ascii="宋体" w:hAnsi="宋体"/>
                <w:b w:val="0"/>
                <w:bCs w:val="0"/>
                <w:color w:val="000000" w:themeColor="text1"/>
                <w:sz w:val="21"/>
                <w:szCs w:val="21"/>
                <w:highlight w:val="none"/>
                <w:lang w:eastAsia="zh-CN"/>
                <w14:textFill>
                  <w14:solidFill>
                    <w14:schemeClr w14:val="tx1"/>
                  </w14:solidFill>
                </w14:textFill>
              </w:rPr>
              <w:t>。</w:t>
            </w:r>
          </w:p>
        </w:tc>
      </w:tr>
      <w:tr w14:paraId="555918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tcBorders>
              <w:tl2br w:val="nil"/>
              <w:tr2bl w:val="nil"/>
            </w:tcBorders>
            <w:vAlign w:val="center"/>
          </w:tcPr>
          <w:p w14:paraId="0807507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7532" w:type="dxa"/>
            <w:gridSpan w:val="2"/>
            <w:tcBorders>
              <w:tl2br w:val="nil"/>
              <w:tr2bl w:val="nil"/>
            </w:tcBorders>
            <w:vAlign w:val="center"/>
          </w:tcPr>
          <w:p w14:paraId="08124F00">
            <w:pP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发包方式</w:t>
            </w:r>
          </w:p>
        </w:tc>
      </w:tr>
      <w:tr w14:paraId="7CE247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303F3D3D">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42E243B3">
            <w:pPr>
              <w:rPr>
                <w:rFonts w:ascii="宋体" w:hAnsi="宋体"/>
                <w:b/>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sym w:font="Wingdings 2" w:char="0052"/>
            </w:r>
            <w:r>
              <w:rPr>
                <w:rFonts w:hint="eastAsia" w:ascii="宋体" w:hAnsi="宋体"/>
                <w:b/>
                <w:bCs/>
                <w:color w:val="000000" w:themeColor="text1"/>
                <w:szCs w:val="21"/>
                <w14:textFill>
                  <w14:solidFill>
                    <w14:schemeClr w14:val="tx1"/>
                  </w14:solidFill>
                </w14:textFill>
              </w:rPr>
              <w:t>固定总价包干；</w:t>
            </w:r>
          </w:p>
          <w:p w14:paraId="092A3F06">
            <w:pPr>
              <w:rPr>
                <w:rFonts w:ascii="宋体" w:hAnsi="宋体"/>
                <w:b/>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sym w:font="Wingdings 2" w:char="00A3"/>
            </w:r>
            <w:r>
              <w:rPr>
                <w:rFonts w:hint="eastAsia" w:ascii="宋体" w:hAnsi="宋体"/>
                <w:b/>
                <w:bCs/>
                <w:color w:val="000000" w:themeColor="text1"/>
                <w:szCs w:val="21"/>
                <w14:textFill>
                  <w14:solidFill>
                    <w14:schemeClr w14:val="tx1"/>
                  </w14:solidFill>
                </w14:textFill>
              </w:rPr>
              <w:t>固定单价暂定总价包干；</w:t>
            </w:r>
          </w:p>
          <w:p w14:paraId="7E5C8F79">
            <w:pPr>
              <w:rPr>
                <w:rFonts w:ascii="宋体" w:hAnsi="宋体"/>
                <w:b/>
                <w:bCs/>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sym w:font="Wingdings 2" w:char="00A3"/>
            </w:r>
            <w:r>
              <w:rPr>
                <w:rFonts w:hint="eastAsia" w:ascii="宋体" w:hAnsi="宋体"/>
                <w:b/>
                <w:bCs/>
                <w:color w:val="000000" w:themeColor="text1"/>
                <w:szCs w:val="21"/>
                <w14:textFill>
                  <w14:solidFill>
                    <w14:schemeClr w14:val="tx1"/>
                  </w14:solidFill>
                </w14:textFill>
              </w:rPr>
              <w:t>费率</w:t>
            </w:r>
            <w:r>
              <w:rPr>
                <w:rFonts w:hint="eastAsia" w:ascii="宋体" w:hAnsi="宋体"/>
                <w:b/>
                <w:bCs/>
                <w:color w:val="000000" w:themeColor="text1"/>
                <w:szCs w:val="21"/>
                <w:u w:val="single"/>
                <w14:textFill>
                  <w14:solidFill>
                    <w14:schemeClr w14:val="tx1"/>
                  </w14:solidFill>
                </w14:textFill>
              </w:rPr>
              <w:t xml:space="preserve">         ；</w:t>
            </w:r>
          </w:p>
          <w:p w14:paraId="68BB1976">
            <w:pPr>
              <w:rPr>
                <w:rFonts w:ascii="宋体" w:hAnsi="宋体"/>
                <w:b/>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sym w:font="Wingdings 2" w:char="00A3"/>
            </w:r>
            <w:r>
              <w:rPr>
                <w:rFonts w:hint="eastAsia" w:ascii="宋体" w:hAnsi="宋体"/>
                <w:b/>
                <w:bCs/>
                <w:color w:val="000000" w:themeColor="text1"/>
                <w:szCs w:val="21"/>
                <w14:textFill>
                  <w14:solidFill>
                    <w14:schemeClr w14:val="tx1"/>
                  </w14:solidFill>
                </w14:textFill>
              </w:rPr>
              <w:t>其他</w:t>
            </w:r>
            <w:r>
              <w:rPr>
                <w:rFonts w:hint="eastAsia" w:ascii="宋体" w:hAnsi="宋体"/>
                <w:b/>
                <w:bCs/>
                <w:color w:val="000000" w:themeColor="text1"/>
                <w:szCs w:val="21"/>
                <w:u w:val="single"/>
                <w14:textFill>
                  <w14:solidFill>
                    <w14:schemeClr w14:val="tx1"/>
                  </w14:solidFill>
                </w14:textFill>
              </w:rPr>
              <w:t xml:space="preserve">           </w:t>
            </w:r>
            <w:r>
              <w:rPr>
                <w:rFonts w:hint="eastAsia" w:ascii="宋体" w:hAnsi="宋体"/>
                <w:b/>
                <w:bCs/>
                <w:color w:val="000000" w:themeColor="text1"/>
                <w:szCs w:val="21"/>
                <w14:textFill>
                  <w14:solidFill>
                    <w14:schemeClr w14:val="tx1"/>
                  </w14:solidFill>
                </w14:textFill>
              </w:rPr>
              <w:t>；</w:t>
            </w:r>
          </w:p>
        </w:tc>
      </w:tr>
      <w:tr w14:paraId="060666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tcBorders>
              <w:tl2br w:val="nil"/>
              <w:tr2bl w:val="nil"/>
            </w:tcBorders>
            <w:vAlign w:val="center"/>
          </w:tcPr>
          <w:p w14:paraId="754AEBC8">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7532" w:type="dxa"/>
            <w:gridSpan w:val="2"/>
            <w:tcBorders>
              <w:tl2br w:val="nil"/>
              <w:tr2bl w:val="nil"/>
            </w:tcBorders>
            <w:vAlign w:val="center"/>
          </w:tcPr>
          <w:p w14:paraId="585DAEBC">
            <w:pP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是否接受联合体投标</w:t>
            </w:r>
          </w:p>
        </w:tc>
      </w:tr>
      <w:tr w14:paraId="500D27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7423331B">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3ECC45BD">
            <w:pPr>
              <w:pStyle w:val="43"/>
              <w:ind w:firstLine="0" w:firstLineChars="0"/>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sym w:font="Wingdings 2" w:char="00A3"/>
            </w:r>
            <w:r>
              <w:rPr>
                <w:rFonts w:hint="eastAsia" w:ascii="宋体" w:hAnsi="宋体" w:cs="宋体"/>
                <w:color w:val="000000" w:themeColor="text1"/>
                <w:szCs w:val="21"/>
                <w14:textFill>
                  <w14:solidFill>
                    <w14:schemeClr w14:val="tx1"/>
                  </w14:solidFill>
                </w14:textFill>
              </w:rPr>
              <w:t>是，</w:t>
            </w:r>
            <w:r>
              <w:rPr>
                <w:rFonts w:hint="eastAsia" w:ascii="宋体" w:hAnsi="宋体"/>
                <w:color w:val="000000" w:themeColor="text1"/>
                <w:szCs w:val="21"/>
                <w14:textFill>
                  <w14:solidFill>
                    <w14:schemeClr w14:val="tx1"/>
                  </w14:solidFill>
                </w14:textFill>
              </w:rPr>
              <w:t>联合体投标的，应满足下列要求：</w:t>
            </w:r>
            <w:r>
              <w:rPr>
                <w:rFonts w:ascii="宋体" w:hAnsi="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w:t>
            </w:r>
          </w:p>
          <w:p w14:paraId="1248A9DF">
            <w:pPr>
              <w:rPr>
                <w:rFonts w:ascii="宋体" w:hAnsi="宋体"/>
                <w:b/>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sym w:font="Wingdings 2" w:char="0052"/>
            </w:r>
            <w:r>
              <w:rPr>
                <w:rFonts w:hint="eastAsia" w:ascii="宋体" w:hAnsi="宋体" w:cs="宋体"/>
                <w:color w:val="000000" w:themeColor="text1"/>
                <w:szCs w:val="21"/>
                <w14:textFill>
                  <w14:solidFill>
                    <w14:schemeClr w14:val="tx1"/>
                  </w14:solidFill>
                </w14:textFill>
              </w:rPr>
              <w:t>否；</w:t>
            </w:r>
          </w:p>
        </w:tc>
      </w:tr>
      <w:tr w14:paraId="2D65D6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6C51AFF1">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p>
        </w:tc>
        <w:tc>
          <w:tcPr>
            <w:tcW w:w="7532" w:type="dxa"/>
            <w:gridSpan w:val="2"/>
            <w:tcBorders>
              <w:tl2br w:val="nil"/>
              <w:tr2bl w:val="nil"/>
            </w:tcBorders>
            <w:vAlign w:val="center"/>
          </w:tcPr>
          <w:p w14:paraId="110EE81F">
            <w:pP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资金来源</w:t>
            </w:r>
          </w:p>
        </w:tc>
      </w:tr>
      <w:tr w14:paraId="3AA862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3F8444F3">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6B0E4939">
            <w:pPr>
              <w:rPr>
                <w:rFonts w:ascii="宋体" w:hAnsi="宋体"/>
                <w:b/>
                <w:bCs/>
                <w:color w:val="000000" w:themeColor="text1"/>
                <w:szCs w:val="2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自筹资金。</w:t>
            </w:r>
          </w:p>
        </w:tc>
      </w:tr>
      <w:tr w14:paraId="1004CA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05A36666">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c>
          <w:tcPr>
            <w:tcW w:w="7532" w:type="dxa"/>
            <w:gridSpan w:val="2"/>
            <w:tcBorders>
              <w:tl2br w:val="nil"/>
              <w:tr2bl w:val="nil"/>
            </w:tcBorders>
            <w:vAlign w:val="center"/>
          </w:tcPr>
          <w:p w14:paraId="3AB95BB8">
            <w:pP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踏勘现场</w:t>
            </w:r>
          </w:p>
        </w:tc>
      </w:tr>
      <w:tr w14:paraId="3A5ABC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3B97753D">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1C50D241">
            <w:pP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lang w:eastAsia="zh-CN"/>
                <w14:textFill>
                  <w14:solidFill>
                    <w14:schemeClr w14:val="tx1"/>
                  </w14:solidFill>
                </w14:textFill>
              </w:rPr>
              <w:t>☑</w:t>
            </w:r>
            <w:r>
              <w:rPr>
                <w:rFonts w:hint="eastAsia" w:ascii="宋体" w:hAnsi="宋体"/>
                <w:bCs/>
                <w:color w:val="000000" w:themeColor="text1"/>
                <w:szCs w:val="21"/>
                <w14:textFill>
                  <w14:solidFill>
                    <w14:schemeClr w14:val="tx1"/>
                  </w14:solidFill>
                </w14:textFill>
              </w:rPr>
              <w:t>不组织 。</w:t>
            </w:r>
          </w:p>
          <w:p w14:paraId="62AE05BA">
            <w:pPr>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□组织，踏勘现场时间、地点：</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 xml:space="preserve">。 </w:t>
            </w:r>
          </w:p>
        </w:tc>
      </w:tr>
      <w:tr w14:paraId="08344C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cantSplit/>
          <w:trHeight w:val="629" w:hRule="atLeast"/>
        </w:trPr>
        <w:tc>
          <w:tcPr>
            <w:tcW w:w="8410" w:type="dxa"/>
            <w:gridSpan w:val="3"/>
            <w:tcBorders>
              <w:tl2br w:val="nil"/>
              <w:tr2bl w:val="nil"/>
            </w:tcBorders>
            <w:vAlign w:val="center"/>
          </w:tcPr>
          <w:p w14:paraId="4ADDF54A">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二、投标文件的编制</w:t>
            </w:r>
          </w:p>
        </w:tc>
      </w:tr>
      <w:tr w14:paraId="70DE18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3929F09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p>
        </w:tc>
        <w:tc>
          <w:tcPr>
            <w:tcW w:w="7532" w:type="dxa"/>
            <w:gridSpan w:val="2"/>
            <w:tcBorders>
              <w:tl2br w:val="nil"/>
              <w:tr2bl w:val="nil"/>
            </w:tcBorders>
            <w:vAlign w:val="center"/>
          </w:tcPr>
          <w:p w14:paraId="28A7353A">
            <w:pP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投标语言</w:t>
            </w:r>
          </w:p>
        </w:tc>
      </w:tr>
      <w:tr w14:paraId="29786D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12ABE96D">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39A5C8D1">
            <w:pPr>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中文。</w:t>
            </w:r>
          </w:p>
        </w:tc>
      </w:tr>
      <w:tr w14:paraId="081AAC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7D4C600B">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w:t>
            </w:r>
          </w:p>
        </w:tc>
        <w:tc>
          <w:tcPr>
            <w:tcW w:w="7532" w:type="dxa"/>
            <w:gridSpan w:val="2"/>
            <w:tcBorders>
              <w:tl2br w:val="nil"/>
              <w:tr2bl w:val="nil"/>
            </w:tcBorders>
            <w:vAlign w:val="center"/>
          </w:tcPr>
          <w:p w14:paraId="08CFD6E6">
            <w:pPr>
              <w:jc w:val="both"/>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投标报价</w:t>
            </w:r>
          </w:p>
        </w:tc>
      </w:tr>
      <w:tr w14:paraId="1196E3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3FF60FF3">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46B63AD7">
            <w:pPr>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详见投标人须知。</w:t>
            </w:r>
          </w:p>
        </w:tc>
      </w:tr>
      <w:tr w14:paraId="38F441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0" w:hRule="atLeast"/>
        </w:trPr>
        <w:tc>
          <w:tcPr>
            <w:tcW w:w="878" w:type="dxa"/>
            <w:vMerge w:val="restart"/>
            <w:tcBorders>
              <w:tl2br w:val="nil"/>
              <w:tr2bl w:val="nil"/>
            </w:tcBorders>
            <w:vAlign w:val="center"/>
          </w:tcPr>
          <w:p w14:paraId="0F973527">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w:t>
            </w:r>
          </w:p>
        </w:tc>
        <w:tc>
          <w:tcPr>
            <w:tcW w:w="7532" w:type="dxa"/>
            <w:gridSpan w:val="2"/>
            <w:tcBorders>
              <w:tl2br w:val="nil"/>
              <w:tr2bl w:val="nil"/>
            </w:tcBorders>
            <w:vAlign w:val="center"/>
          </w:tcPr>
          <w:p w14:paraId="44EB28B0">
            <w:pPr>
              <w:jc w:val="both"/>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投标保证金</w:t>
            </w:r>
          </w:p>
        </w:tc>
      </w:tr>
      <w:tr w14:paraId="4FE522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0" w:hRule="atLeast"/>
        </w:trPr>
        <w:tc>
          <w:tcPr>
            <w:tcW w:w="878" w:type="dxa"/>
            <w:vMerge w:val="continue"/>
            <w:tcBorders>
              <w:tl2br w:val="nil"/>
              <w:tr2bl w:val="nil"/>
            </w:tcBorders>
            <w:vAlign w:val="center"/>
          </w:tcPr>
          <w:p w14:paraId="6217870E">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6398C497">
            <w:pPr>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（1）投标保证金金额：人民币</w:t>
            </w:r>
            <w:r>
              <w:rPr>
                <w:rFonts w:hint="eastAsia" w:ascii="宋体" w:hAnsi="宋体"/>
                <w:b/>
                <w:color w:val="000000" w:themeColor="text1"/>
                <w:szCs w:val="21"/>
                <w14:textFill>
                  <w14:solidFill>
                    <w14:schemeClr w14:val="tx1"/>
                  </w14:solidFill>
                </w14:textFill>
              </w:rPr>
              <w:t>（大写）</w:t>
            </w:r>
            <w:r>
              <w:rPr>
                <w:rFonts w:hint="eastAsia" w:ascii="宋体" w:hAnsi="宋体"/>
                <w:b/>
                <w:color w:val="000000" w:themeColor="text1"/>
                <w:szCs w:val="21"/>
                <w:u w:val="single"/>
                <w:lang w:val="en-US" w:eastAsia="zh-CN"/>
                <w14:textFill>
                  <w14:solidFill>
                    <w14:schemeClr w14:val="tx1"/>
                  </w14:solidFill>
                </w14:textFill>
              </w:rPr>
              <w:t>壹万肆仟元整</w:t>
            </w:r>
            <w:r>
              <w:rPr>
                <w:rFonts w:hint="eastAsia" w:ascii="宋体" w:hAnsi="宋体"/>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w:t>
            </w:r>
            <w:r>
              <w:rPr>
                <w:rFonts w:hint="eastAsia" w:ascii="宋体" w:hAnsi="宋体"/>
                <w:b/>
                <w:color w:val="000000" w:themeColor="text1"/>
                <w:szCs w:val="21"/>
                <w:u w:val="single"/>
                <w14:textFill>
                  <w14:solidFill>
                    <w14:schemeClr w14:val="tx1"/>
                  </w14:solidFill>
                </w14:textFill>
              </w:rPr>
              <w:t>14,000</w:t>
            </w:r>
            <w:r>
              <w:rPr>
                <w:rFonts w:hint="eastAsia" w:ascii="宋体" w:hAnsi="宋体"/>
                <w:b/>
                <w:color w:val="000000" w:themeColor="text1"/>
                <w:szCs w:val="21"/>
                <w:u w:val="single"/>
                <w:lang w:val="en-US" w:eastAsia="zh-CN"/>
                <w14:textFill>
                  <w14:solidFill>
                    <w14:schemeClr w14:val="tx1"/>
                  </w14:solidFill>
                </w14:textFill>
              </w:rPr>
              <w:t>.00</w:t>
            </w:r>
            <w:r>
              <w:rPr>
                <w:rFonts w:hint="eastAsia" w:ascii="宋体" w:hAnsi="宋体"/>
                <w:b/>
                <w:color w:val="000000" w:themeColor="text1"/>
                <w:szCs w:val="21"/>
                <w:u w:val="single"/>
                <w14:textFill>
                  <w14:solidFill>
                    <w14:schemeClr w14:val="tx1"/>
                  </w14:solidFill>
                </w14:textFill>
              </w:rPr>
              <w:t>元</w:t>
            </w:r>
            <w:r>
              <w:rPr>
                <w:rFonts w:hint="eastAsia" w:ascii="宋体" w:hAnsi="宋体"/>
                <w:color w:val="000000" w:themeColor="text1"/>
                <w:szCs w:val="21"/>
                <w14:textFill>
                  <w14:solidFill>
                    <w14:schemeClr w14:val="tx1"/>
                  </w14:solidFill>
                </w14:textFill>
              </w:rPr>
              <w:t>）。</w:t>
            </w:r>
          </w:p>
        </w:tc>
      </w:tr>
      <w:tr w14:paraId="37DB2F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273" w:hRule="atLeast"/>
        </w:trPr>
        <w:tc>
          <w:tcPr>
            <w:tcW w:w="878" w:type="dxa"/>
            <w:vMerge w:val="continue"/>
            <w:tcBorders>
              <w:tl2br w:val="nil"/>
              <w:tr2bl w:val="nil"/>
            </w:tcBorders>
            <w:vAlign w:val="center"/>
          </w:tcPr>
          <w:p w14:paraId="73D91741">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3719D2C8">
            <w:pPr>
              <w:tabs>
                <w:tab w:val="left" w:pos="567"/>
              </w:tabs>
              <w:jc w:val="both"/>
              <w:rPr>
                <w:rFonts w:hAnsi="宋体"/>
                <w:color w:val="000000" w:themeColor="text1"/>
                <w:kern w:val="2"/>
                <w:szCs w:val="21"/>
                <w:lang w:val="zh-CN"/>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hAnsi="宋体"/>
                <w:color w:val="000000" w:themeColor="text1"/>
                <w:kern w:val="2"/>
                <w:szCs w:val="21"/>
                <w:lang w:val="zh-CN"/>
                <w14:textFill>
                  <w14:solidFill>
                    <w14:schemeClr w14:val="tx1"/>
                  </w14:solidFill>
                </w14:textFill>
              </w:rPr>
              <w:t>投标保证金采用转账、电汇方式提交，应符合以下要求：采用银行转账、电汇方式提交的，保证金汇入以下投标保证金专用账户，不接收由以投标人分支机构、私人账户和其他单位转入的保证金。投标保证金必须在投标文件递交截止前到账，投标保证金未按规定时间到达指定账户或提交金额不足的，将被视为无效投标。且在备注或用途中注明本项目的项目编号。</w:t>
            </w:r>
          </w:p>
          <w:p w14:paraId="3EDA139A">
            <w:pPr>
              <w:tabs>
                <w:tab w:val="left" w:pos="567"/>
              </w:tabs>
              <w:ind w:left="567" w:hanging="567"/>
              <w:jc w:val="both"/>
              <w:rPr>
                <w:rFonts w:hAnsi="宋体"/>
                <w:color w:val="000000" w:themeColor="text1"/>
                <w:kern w:val="2"/>
                <w:szCs w:val="21"/>
                <w:highlight w:val="none"/>
                <w:lang w:val="zh-CN"/>
                <w14:textFill>
                  <w14:solidFill>
                    <w14:schemeClr w14:val="tx1"/>
                  </w14:solidFill>
                </w14:textFill>
              </w:rPr>
            </w:pPr>
            <w:r>
              <w:rPr>
                <w:rFonts w:hint="eastAsia" w:hAnsi="宋体"/>
                <w:color w:val="000000" w:themeColor="text1"/>
                <w:kern w:val="2"/>
                <w:szCs w:val="21"/>
                <w:lang w:val="zh-CN"/>
                <w14:textFill>
                  <w14:solidFill>
                    <w14:schemeClr w14:val="tx1"/>
                  </w14:solidFill>
                </w14:textFill>
              </w:rPr>
              <w:t>投</w:t>
            </w:r>
            <w:r>
              <w:rPr>
                <w:rFonts w:hint="eastAsia" w:hAnsi="宋体"/>
                <w:color w:val="000000" w:themeColor="text1"/>
                <w:kern w:val="2"/>
                <w:szCs w:val="21"/>
                <w:highlight w:val="none"/>
                <w:lang w:val="zh-CN"/>
                <w14:textFill>
                  <w14:solidFill>
                    <w14:schemeClr w14:val="tx1"/>
                  </w14:solidFill>
                </w14:textFill>
              </w:rPr>
              <w:t>标保证金专用账户如下：</w:t>
            </w:r>
          </w:p>
          <w:p w14:paraId="0AED8FBC">
            <w:pPr>
              <w:shd w:val="clear"/>
              <w:tabs>
                <w:tab w:val="left" w:pos="567"/>
              </w:tabs>
              <w:ind w:firstLine="420" w:firstLineChars="200"/>
              <w:jc w:val="both"/>
              <w:rPr>
                <w:rFonts w:hAnsi="宋体" w:cs="宋体"/>
                <w:color w:val="000000" w:themeColor="text1"/>
                <w:kern w:val="2"/>
                <w:sz w:val="21"/>
                <w:szCs w:val="21"/>
                <w:highlight w:val="none"/>
                <w:lang w:val="zh-CN"/>
                <w14:textFill>
                  <w14:solidFill>
                    <w14:schemeClr w14:val="tx1"/>
                  </w14:solidFill>
                </w14:textFill>
              </w:rPr>
            </w:pPr>
            <w:r>
              <w:rPr>
                <w:rFonts w:hint="eastAsia" w:hAnsi="宋体" w:cs="宋体"/>
                <w:color w:val="000000" w:themeColor="text1"/>
                <w:kern w:val="2"/>
                <w:sz w:val="21"/>
                <w:szCs w:val="21"/>
                <w:highlight w:val="none"/>
                <w:lang w:val="zh-CN"/>
                <w14:textFill>
                  <w14:solidFill>
                    <w14:schemeClr w14:val="tx1"/>
                  </w14:solidFill>
                </w14:textFill>
              </w:rPr>
              <w:t>账户名称：</w:t>
            </w:r>
            <w:r>
              <w:rPr>
                <w:rFonts w:hint="eastAsia" w:hAnsi="宋体" w:cs="宋体"/>
                <w:color w:val="000000" w:themeColor="text1"/>
                <w:kern w:val="2"/>
                <w:sz w:val="21"/>
                <w:szCs w:val="21"/>
                <w:highlight w:val="none"/>
                <w:u w:val="single"/>
                <w:lang w:eastAsia="zh-CN"/>
                <w14:textFill>
                  <w14:solidFill>
                    <w14:schemeClr w14:val="tx1"/>
                  </w14:solidFill>
                </w14:textFill>
              </w:rPr>
              <w:t>广州宏达工程顾问集团有限公司东莞分公司</w:t>
            </w:r>
            <w:r>
              <w:rPr>
                <w:rFonts w:hint="eastAsia" w:hAnsi="宋体" w:cs="宋体"/>
                <w:color w:val="000000" w:themeColor="text1"/>
                <w:kern w:val="2"/>
                <w:sz w:val="21"/>
                <w:szCs w:val="21"/>
                <w:highlight w:val="none"/>
                <w:lang w:val="zh-CN"/>
                <w14:textFill>
                  <w14:solidFill>
                    <w14:schemeClr w14:val="tx1"/>
                  </w14:solidFill>
                </w14:textFill>
              </w:rPr>
              <w:t>；</w:t>
            </w:r>
          </w:p>
          <w:p w14:paraId="7CE26981">
            <w:pPr>
              <w:shd w:val="clear"/>
              <w:tabs>
                <w:tab w:val="left" w:pos="567"/>
              </w:tabs>
              <w:ind w:firstLine="420" w:firstLineChars="200"/>
              <w:jc w:val="both"/>
              <w:rPr>
                <w:rFonts w:hAnsi="宋体" w:cs="宋体"/>
                <w:color w:val="000000" w:themeColor="text1"/>
                <w:kern w:val="2"/>
                <w:sz w:val="21"/>
                <w:szCs w:val="21"/>
                <w:highlight w:val="none"/>
                <w:lang w:val="zh-CN"/>
                <w14:textFill>
                  <w14:solidFill>
                    <w14:schemeClr w14:val="tx1"/>
                  </w14:solidFill>
                </w14:textFill>
              </w:rPr>
            </w:pPr>
            <w:r>
              <w:rPr>
                <w:rFonts w:hint="eastAsia" w:hAnsi="宋体" w:cs="宋体"/>
                <w:color w:val="000000" w:themeColor="text1"/>
                <w:kern w:val="2"/>
                <w:sz w:val="21"/>
                <w:szCs w:val="21"/>
                <w:highlight w:val="none"/>
                <w:lang w:val="zh-CN"/>
                <w14:textFill>
                  <w14:solidFill>
                    <w14:schemeClr w14:val="tx1"/>
                  </w14:solidFill>
                </w14:textFill>
              </w:rPr>
              <w:t>开户银行：</w:t>
            </w:r>
            <w:r>
              <w:rPr>
                <w:rFonts w:hint="eastAsia" w:hAnsi="宋体" w:cs="宋体"/>
                <w:color w:val="000000" w:themeColor="text1"/>
                <w:kern w:val="2"/>
                <w:sz w:val="21"/>
                <w:szCs w:val="21"/>
                <w:highlight w:val="none"/>
                <w:u w:val="single"/>
                <w14:textFill>
                  <w14:solidFill>
                    <w14:schemeClr w14:val="tx1"/>
                  </w14:solidFill>
                </w14:textFill>
              </w:rPr>
              <w:t>广发银行股份有限公司东莞城区支行</w:t>
            </w:r>
            <w:r>
              <w:rPr>
                <w:rFonts w:hint="eastAsia" w:hAnsi="宋体" w:cs="宋体"/>
                <w:color w:val="000000" w:themeColor="text1"/>
                <w:kern w:val="2"/>
                <w:sz w:val="21"/>
                <w:szCs w:val="21"/>
                <w:highlight w:val="none"/>
                <w:lang w:val="zh-CN"/>
                <w14:textFill>
                  <w14:solidFill>
                    <w14:schemeClr w14:val="tx1"/>
                  </w14:solidFill>
                </w14:textFill>
              </w:rPr>
              <w:t>；</w:t>
            </w:r>
          </w:p>
          <w:p w14:paraId="148FBBED">
            <w:pPr>
              <w:shd w:val="clear"/>
              <w:tabs>
                <w:tab w:val="left" w:pos="567"/>
              </w:tabs>
              <w:ind w:firstLine="420" w:firstLineChars="200"/>
              <w:jc w:val="both"/>
              <w:rPr>
                <w:rFonts w:hAnsi="宋体" w:cs="宋体"/>
                <w:color w:val="000000" w:themeColor="text1"/>
                <w:kern w:val="2"/>
                <w:sz w:val="21"/>
                <w:szCs w:val="21"/>
                <w:highlight w:val="none"/>
                <w:lang w:val="zh-CN"/>
                <w14:textFill>
                  <w14:solidFill>
                    <w14:schemeClr w14:val="tx1"/>
                  </w14:solidFill>
                </w14:textFill>
              </w:rPr>
            </w:pPr>
            <w:r>
              <w:rPr>
                <w:rFonts w:hint="eastAsia" w:hAnsi="宋体" w:cs="宋体"/>
                <w:color w:val="000000" w:themeColor="text1"/>
                <w:kern w:val="2"/>
                <w:sz w:val="21"/>
                <w:szCs w:val="21"/>
                <w:highlight w:val="none"/>
                <w:lang w:val="zh-CN"/>
                <w14:textFill>
                  <w14:solidFill>
                    <w14:schemeClr w14:val="tx1"/>
                  </w14:solidFill>
                </w14:textFill>
              </w:rPr>
              <w:t>银行账号：</w:t>
            </w:r>
            <w:r>
              <w:rPr>
                <w:rFonts w:hint="eastAsia" w:ascii="宋体" w:hAnsi="宋体" w:eastAsia="宋体" w:cs="宋体"/>
                <w:color w:val="000000" w:themeColor="text1"/>
                <w:kern w:val="2"/>
                <w:sz w:val="21"/>
                <w:szCs w:val="21"/>
                <w:highlight w:val="none"/>
                <w:u w:val="single"/>
                <w:lang w:val="en-US" w:eastAsia="zh-CN"/>
                <w14:textFill>
                  <w14:solidFill>
                    <w14:schemeClr w14:val="tx1"/>
                  </w14:solidFill>
                </w14:textFill>
              </w:rPr>
              <w:t>6232590699051018727</w:t>
            </w:r>
            <w:r>
              <w:rPr>
                <w:rFonts w:hint="eastAsia" w:hAnsi="宋体" w:cs="宋体"/>
                <w:color w:val="000000" w:themeColor="text1"/>
                <w:kern w:val="2"/>
                <w:sz w:val="21"/>
                <w:szCs w:val="21"/>
                <w:highlight w:val="none"/>
                <w:lang w:val="zh-CN"/>
                <w14:textFill>
                  <w14:solidFill>
                    <w14:schemeClr w14:val="tx1"/>
                  </w14:solidFill>
                </w14:textFill>
              </w:rPr>
              <w:t>；</w:t>
            </w:r>
          </w:p>
          <w:p w14:paraId="28752F19">
            <w:pPr>
              <w:tabs>
                <w:tab w:val="left" w:pos="567"/>
              </w:tabs>
              <w:ind w:firstLine="422" w:firstLineChars="200"/>
              <w:jc w:val="both"/>
              <w:rPr>
                <w:rFonts w:ascii="宋体" w:hAnsi="宋体"/>
                <w:b/>
                <w:color w:val="000000" w:themeColor="text1"/>
                <w:szCs w:val="21"/>
                <w14:textFill>
                  <w14:solidFill>
                    <w14:schemeClr w14:val="tx1"/>
                  </w14:solidFill>
                </w14:textFill>
              </w:rPr>
            </w:pPr>
            <w:r>
              <w:rPr>
                <w:rFonts w:hint="eastAsia" w:hAnsi="宋体" w:cs="宋体"/>
                <w:b/>
                <w:color w:val="000000" w:themeColor="text1"/>
                <w:szCs w:val="21"/>
                <w14:textFill>
                  <w14:solidFill>
                    <w14:schemeClr w14:val="tx1"/>
                  </w14:solidFill>
                </w14:textFill>
              </w:rPr>
              <w:t>（注：各投标人在转</w:t>
            </w:r>
            <w:r>
              <w:rPr>
                <w:rFonts w:hint="eastAsia" w:hAnsi="宋体" w:cs="宋体"/>
                <w:b/>
                <w:color w:val="000000" w:themeColor="text1"/>
                <w:szCs w:val="21"/>
                <w:lang w:eastAsia="zh-CN"/>
                <w14:textFill>
                  <w14:solidFill>
                    <w14:schemeClr w14:val="tx1"/>
                  </w14:solidFill>
                </w14:textFill>
              </w:rPr>
              <w:t>账</w:t>
            </w:r>
            <w:r>
              <w:rPr>
                <w:rFonts w:hint="eastAsia" w:hAnsi="宋体" w:cs="宋体"/>
                <w:b/>
                <w:color w:val="000000" w:themeColor="text1"/>
                <w:szCs w:val="21"/>
                <w14:textFill>
                  <w14:solidFill>
                    <w14:schemeClr w14:val="tx1"/>
                  </w14:solidFill>
                </w14:textFill>
              </w:rPr>
              <w:t>或电汇时须在用途栏上备注项目编号，及项目名称，如有字数限制项目名称可简写。）</w:t>
            </w:r>
          </w:p>
        </w:tc>
      </w:tr>
      <w:tr w14:paraId="0EEB4B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878" w:type="dxa"/>
            <w:vMerge w:val="restart"/>
            <w:tcBorders>
              <w:tl2br w:val="nil"/>
              <w:tr2bl w:val="nil"/>
            </w:tcBorders>
            <w:vAlign w:val="center"/>
          </w:tcPr>
          <w:p w14:paraId="06BEFE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w:t>
            </w:r>
          </w:p>
        </w:tc>
        <w:tc>
          <w:tcPr>
            <w:tcW w:w="7532" w:type="dxa"/>
            <w:gridSpan w:val="2"/>
            <w:tcBorders>
              <w:tl2br w:val="nil"/>
              <w:tr2bl w:val="nil"/>
            </w:tcBorders>
            <w:vAlign w:val="center"/>
          </w:tcPr>
          <w:p w14:paraId="73BDC8C2">
            <w:pPr>
              <w:jc w:val="both"/>
              <w:rPr>
                <w:rFonts w:ascii="宋体" w:hAnsi="宋体"/>
                <w:b/>
                <w:bCs/>
                <w:color w:val="000000" w:themeColor="text1"/>
                <w:szCs w:val="21"/>
                <w:lang w:val="zh-CN"/>
                <w14:textFill>
                  <w14:solidFill>
                    <w14:schemeClr w14:val="tx1"/>
                  </w14:solidFill>
                </w14:textFill>
              </w:rPr>
            </w:pPr>
            <w:r>
              <w:rPr>
                <w:rFonts w:hint="eastAsia" w:ascii="宋体" w:hAnsi="宋体"/>
                <w:b/>
                <w:bCs/>
                <w:color w:val="000000" w:themeColor="text1"/>
                <w:szCs w:val="21"/>
                <w:lang w:val="zh-CN"/>
                <w14:textFill>
                  <w14:solidFill>
                    <w14:schemeClr w14:val="tx1"/>
                  </w14:solidFill>
                </w14:textFill>
              </w:rPr>
              <w:t>投标保证金退还</w:t>
            </w:r>
          </w:p>
        </w:tc>
      </w:tr>
      <w:tr w14:paraId="6EE0AD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1535" w:hRule="atLeast"/>
        </w:trPr>
        <w:tc>
          <w:tcPr>
            <w:tcW w:w="878" w:type="dxa"/>
            <w:vMerge w:val="continue"/>
            <w:tcBorders>
              <w:tl2br w:val="nil"/>
              <w:tr2bl w:val="nil"/>
            </w:tcBorders>
            <w:vAlign w:val="center"/>
          </w:tcPr>
          <w:p w14:paraId="4C62EDEB">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746E3EBD">
            <w:pPr>
              <w:jc w:val="both"/>
              <w:rPr>
                <w:rFonts w:ascii="宋体" w:hAnsi="宋体"/>
                <w:color w:val="000000" w:themeColor="text1"/>
                <w:szCs w:val="21"/>
                <w:lang w:val="zh-CN"/>
                <w14:textFill>
                  <w14:solidFill>
                    <w14:schemeClr w14:val="tx1"/>
                  </w14:solidFill>
                </w14:textFill>
              </w:rPr>
            </w:pPr>
            <w:r>
              <w:rPr>
                <w:rFonts w:hint="eastAsia" w:ascii="宋体" w:hAnsi="宋体"/>
                <w:color w:val="000000" w:themeColor="text1"/>
                <w:szCs w:val="21"/>
                <w:lang w:val="zh-CN"/>
                <w14:textFill>
                  <w14:solidFill>
                    <w14:schemeClr w14:val="tx1"/>
                  </w14:solidFill>
                </w14:textFill>
              </w:rPr>
              <w:t>（</w:t>
            </w:r>
            <w:r>
              <w:rPr>
                <w:rFonts w:hint="eastAsia" w:ascii="宋体" w:hAnsi="宋体"/>
                <w:color w:val="000000" w:themeColor="text1"/>
                <w:szCs w:val="21"/>
                <w14:textFill>
                  <w14:solidFill>
                    <w14:schemeClr w14:val="tx1"/>
                  </w14:solidFill>
                </w14:textFill>
              </w:rPr>
              <w:t>1</w:t>
            </w:r>
            <w:r>
              <w:rPr>
                <w:rFonts w:hint="eastAsia" w:ascii="宋体" w:hAnsi="宋体"/>
                <w:color w:val="000000" w:themeColor="text1"/>
                <w:szCs w:val="21"/>
                <w:lang w:val="zh-CN"/>
                <w14:textFill>
                  <w14:solidFill>
                    <w14:schemeClr w14:val="tx1"/>
                  </w14:solidFill>
                </w14:textFill>
              </w:rPr>
              <w:t>）未中标的投标人的保证金应当在中标通知书发出后退还，中标</w:t>
            </w:r>
            <w:r>
              <w:rPr>
                <w:rFonts w:hint="eastAsia" w:ascii="宋体" w:hAnsi="宋体"/>
                <w:color w:val="000000" w:themeColor="text1"/>
                <w:szCs w:val="21"/>
                <w14:textFill>
                  <w14:solidFill>
                    <w14:schemeClr w14:val="tx1"/>
                  </w14:solidFill>
                </w14:textFill>
              </w:rPr>
              <w:t>的</w:t>
            </w:r>
            <w:r>
              <w:rPr>
                <w:rFonts w:hint="eastAsia" w:ascii="宋体" w:hAnsi="宋体"/>
                <w:color w:val="000000" w:themeColor="text1"/>
                <w:szCs w:val="21"/>
                <w:lang w:val="zh-CN"/>
                <w14:textFill>
                  <w14:solidFill>
                    <w14:schemeClr w14:val="tx1"/>
                  </w14:solidFill>
                </w14:textFill>
              </w:rPr>
              <w:t>投标人的保证金应当在采购合同签订</w:t>
            </w:r>
            <w:r>
              <w:rPr>
                <w:rFonts w:hint="eastAsia" w:ascii="宋体" w:hAnsi="宋体"/>
                <w:color w:val="000000" w:themeColor="text1"/>
                <w:szCs w:val="21"/>
                <w14:textFill>
                  <w14:solidFill>
                    <w14:schemeClr w14:val="tx1"/>
                  </w14:solidFill>
                </w14:textFill>
              </w:rPr>
              <w:t>并缴纳履约保证金</w:t>
            </w:r>
            <w:r>
              <w:rPr>
                <w:rFonts w:hint="eastAsia" w:ascii="宋体" w:hAnsi="宋体"/>
                <w:color w:val="000000" w:themeColor="text1"/>
                <w:szCs w:val="21"/>
                <w:lang w:val="zh-CN"/>
                <w14:textFill>
                  <w14:solidFill>
                    <w14:schemeClr w14:val="tx1"/>
                  </w14:solidFill>
                </w14:textFill>
              </w:rPr>
              <w:t>后退还。</w:t>
            </w:r>
          </w:p>
          <w:p w14:paraId="61394D85">
            <w:pPr>
              <w:jc w:val="both"/>
              <w:rPr>
                <w:color w:val="000000" w:themeColor="text1"/>
                <w14:textFill>
                  <w14:solidFill>
                    <w14:schemeClr w14:val="tx1"/>
                  </w14:solidFill>
                </w14:textFill>
              </w:rPr>
            </w:pPr>
            <w:r>
              <w:rPr>
                <w:rFonts w:hint="eastAsia" w:ascii="宋体" w:hAnsi="宋体"/>
                <w:color w:val="000000" w:themeColor="text1"/>
                <w:szCs w:val="21"/>
                <w:lang w:val="zh-CN"/>
                <w14:textFill>
                  <w14:solidFill>
                    <w14:schemeClr w14:val="tx1"/>
                  </w14:solidFill>
                </w14:textFill>
              </w:rPr>
              <w:t>（</w:t>
            </w:r>
            <w:r>
              <w:rPr>
                <w:rFonts w:hint="eastAsia" w:ascii="宋体" w:hAnsi="宋体"/>
                <w:color w:val="000000" w:themeColor="text1"/>
                <w:szCs w:val="21"/>
                <w14:textFill>
                  <w14:solidFill>
                    <w14:schemeClr w14:val="tx1"/>
                  </w14:solidFill>
                </w14:textFill>
              </w:rPr>
              <w:t>2</w:t>
            </w:r>
            <w:r>
              <w:rPr>
                <w:rFonts w:hint="eastAsia" w:ascii="宋体" w:hAnsi="宋体"/>
                <w:color w:val="000000" w:themeColor="text1"/>
                <w:szCs w:val="21"/>
                <w:lang w:val="zh-CN"/>
                <w14:textFill>
                  <w14:solidFill>
                    <w14:schemeClr w14:val="tx1"/>
                  </w14:solidFill>
                </w14:textFill>
              </w:rPr>
              <w:t>）为方便退还未中标的投标人的保证金，投标人应制作《投标保证金汇入情况说明》随唱标信封一并递交。</w:t>
            </w:r>
          </w:p>
        </w:tc>
      </w:tr>
      <w:tr w14:paraId="0A79B4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5EDED20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w:t>
            </w:r>
          </w:p>
        </w:tc>
        <w:tc>
          <w:tcPr>
            <w:tcW w:w="7532" w:type="dxa"/>
            <w:gridSpan w:val="2"/>
            <w:tcBorders>
              <w:tl2br w:val="nil"/>
              <w:tr2bl w:val="nil"/>
            </w:tcBorders>
            <w:vAlign w:val="center"/>
          </w:tcPr>
          <w:p w14:paraId="4210366D">
            <w:pPr>
              <w:jc w:val="both"/>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投标有效期</w:t>
            </w:r>
          </w:p>
        </w:tc>
      </w:tr>
      <w:tr w14:paraId="25E893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3F266735">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1819FBDB">
            <w:pPr>
              <w:jc w:val="both"/>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九十天。</w:t>
            </w:r>
          </w:p>
        </w:tc>
      </w:tr>
      <w:tr w14:paraId="4B1666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restart"/>
            <w:tcBorders>
              <w:tl2br w:val="nil"/>
              <w:tr2bl w:val="nil"/>
            </w:tcBorders>
            <w:vAlign w:val="center"/>
          </w:tcPr>
          <w:p w14:paraId="549E729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w:t>
            </w:r>
          </w:p>
        </w:tc>
        <w:tc>
          <w:tcPr>
            <w:tcW w:w="7532" w:type="dxa"/>
            <w:gridSpan w:val="2"/>
            <w:tcBorders>
              <w:tl2br w:val="nil"/>
              <w:tr2bl w:val="nil"/>
            </w:tcBorders>
            <w:vAlign w:val="center"/>
          </w:tcPr>
          <w:p w14:paraId="7886C64E">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投标人应提交以下投标文件（投标文件由唱标信封、价格文件、商务文件、技术文件、电子文档五部分组成；价格文件、商务文件、技术文件分别单独装订成册，电子文档装入唱标信封一同封装；具体编制和封装要求详见第四部分投标人须知）</w:t>
            </w:r>
          </w:p>
        </w:tc>
      </w:tr>
      <w:tr w14:paraId="2EFA86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494" w:hRule="atLeast"/>
        </w:trPr>
        <w:tc>
          <w:tcPr>
            <w:tcW w:w="878" w:type="dxa"/>
            <w:vMerge w:val="continue"/>
            <w:tcBorders>
              <w:tl2br w:val="nil"/>
              <w:tr2bl w:val="nil"/>
            </w:tcBorders>
            <w:vAlign w:val="center"/>
          </w:tcPr>
          <w:p w14:paraId="5299D378">
            <w:pPr>
              <w:jc w:val="center"/>
              <w:rPr>
                <w:rFonts w:ascii="宋体" w:hAnsi="宋体"/>
                <w:color w:val="000000" w:themeColor="text1"/>
                <w:szCs w:val="21"/>
                <w14:textFill>
                  <w14:solidFill>
                    <w14:schemeClr w14:val="tx1"/>
                  </w14:solidFill>
                </w14:textFill>
              </w:rPr>
            </w:pPr>
          </w:p>
        </w:tc>
        <w:tc>
          <w:tcPr>
            <w:tcW w:w="2608" w:type="dxa"/>
            <w:tcBorders>
              <w:tl2br w:val="nil"/>
              <w:tr2bl w:val="nil"/>
            </w:tcBorders>
            <w:vAlign w:val="center"/>
          </w:tcPr>
          <w:p w14:paraId="391A43E1">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投标文件类型</w:t>
            </w:r>
          </w:p>
        </w:tc>
        <w:tc>
          <w:tcPr>
            <w:tcW w:w="4924" w:type="dxa"/>
            <w:tcBorders>
              <w:tl2br w:val="nil"/>
              <w:tr2bl w:val="nil"/>
            </w:tcBorders>
            <w:vAlign w:val="center"/>
          </w:tcPr>
          <w:p w14:paraId="2EC8477B">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份数</w:t>
            </w:r>
          </w:p>
        </w:tc>
      </w:tr>
      <w:tr w14:paraId="61DA80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tcBorders>
              <w:tl2br w:val="nil"/>
              <w:tr2bl w:val="nil"/>
            </w:tcBorders>
            <w:vAlign w:val="center"/>
          </w:tcPr>
          <w:p w14:paraId="2C9DB083">
            <w:pPr>
              <w:jc w:val="center"/>
              <w:rPr>
                <w:rFonts w:ascii="宋体" w:hAnsi="宋体"/>
                <w:color w:val="000000" w:themeColor="text1"/>
                <w:szCs w:val="21"/>
                <w14:textFill>
                  <w14:solidFill>
                    <w14:schemeClr w14:val="tx1"/>
                  </w14:solidFill>
                </w14:textFill>
              </w:rPr>
            </w:pPr>
          </w:p>
        </w:tc>
        <w:tc>
          <w:tcPr>
            <w:tcW w:w="2608" w:type="dxa"/>
            <w:tcBorders>
              <w:tl2br w:val="nil"/>
              <w:tr2bl w:val="nil"/>
            </w:tcBorders>
            <w:vAlign w:val="center"/>
          </w:tcPr>
          <w:p w14:paraId="5FF131FD">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唱标信封</w:t>
            </w:r>
          </w:p>
        </w:tc>
        <w:tc>
          <w:tcPr>
            <w:tcW w:w="4924" w:type="dxa"/>
            <w:tcBorders>
              <w:tl2br w:val="nil"/>
              <w:tr2bl w:val="nil"/>
            </w:tcBorders>
            <w:vAlign w:val="center"/>
          </w:tcPr>
          <w:p w14:paraId="166CF78D">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1</w:t>
            </w:r>
          </w:p>
        </w:tc>
      </w:tr>
      <w:tr w14:paraId="41C167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tcBorders>
              <w:tl2br w:val="nil"/>
              <w:tr2bl w:val="nil"/>
            </w:tcBorders>
            <w:vAlign w:val="center"/>
          </w:tcPr>
          <w:p w14:paraId="0C768318">
            <w:pPr>
              <w:jc w:val="center"/>
              <w:rPr>
                <w:rFonts w:ascii="宋体" w:hAnsi="宋体"/>
                <w:color w:val="000000" w:themeColor="text1"/>
                <w:szCs w:val="21"/>
                <w14:textFill>
                  <w14:solidFill>
                    <w14:schemeClr w14:val="tx1"/>
                  </w14:solidFill>
                </w14:textFill>
              </w:rPr>
            </w:pPr>
          </w:p>
        </w:tc>
        <w:tc>
          <w:tcPr>
            <w:tcW w:w="2608" w:type="dxa"/>
            <w:tcBorders>
              <w:tl2br w:val="nil"/>
              <w:tr2bl w:val="nil"/>
            </w:tcBorders>
            <w:vAlign w:val="center"/>
          </w:tcPr>
          <w:p w14:paraId="5F3C938F">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投标文件正本</w:t>
            </w:r>
          </w:p>
        </w:tc>
        <w:tc>
          <w:tcPr>
            <w:tcW w:w="4924" w:type="dxa"/>
            <w:tcBorders>
              <w:tl2br w:val="nil"/>
              <w:tr2bl w:val="nil"/>
            </w:tcBorders>
            <w:vAlign w:val="center"/>
          </w:tcPr>
          <w:p w14:paraId="75276E92">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1</w:t>
            </w:r>
          </w:p>
        </w:tc>
      </w:tr>
      <w:tr w14:paraId="416AD5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37" w:hRule="atLeast"/>
        </w:trPr>
        <w:tc>
          <w:tcPr>
            <w:tcW w:w="878" w:type="dxa"/>
            <w:vMerge w:val="continue"/>
            <w:tcBorders>
              <w:tl2br w:val="nil"/>
              <w:tr2bl w:val="nil"/>
            </w:tcBorders>
            <w:vAlign w:val="center"/>
          </w:tcPr>
          <w:p w14:paraId="2178017E">
            <w:pPr>
              <w:jc w:val="center"/>
              <w:rPr>
                <w:rFonts w:ascii="宋体" w:hAnsi="宋体"/>
                <w:color w:val="000000" w:themeColor="text1"/>
                <w:szCs w:val="21"/>
                <w14:textFill>
                  <w14:solidFill>
                    <w14:schemeClr w14:val="tx1"/>
                  </w14:solidFill>
                </w14:textFill>
              </w:rPr>
            </w:pPr>
          </w:p>
        </w:tc>
        <w:tc>
          <w:tcPr>
            <w:tcW w:w="2608" w:type="dxa"/>
            <w:tcBorders>
              <w:tl2br w:val="nil"/>
              <w:tr2bl w:val="nil"/>
            </w:tcBorders>
            <w:vAlign w:val="center"/>
          </w:tcPr>
          <w:p w14:paraId="0707EA47">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投标文件副本</w:t>
            </w:r>
          </w:p>
        </w:tc>
        <w:tc>
          <w:tcPr>
            <w:tcW w:w="4924" w:type="dxa"/>
            <w:tcBorders>
              <w:tl2br w:val="nil"/>
              <w:tr2bl w:val="nil"/>
            </w:tcBorders>
            <w:vAlign w:val="center"/>
          </w:tcPr>
          <w:p w14:paraId="1A3B0189">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sym w:font="Wingdings 2" w:char="0052"/>
            </w:r>
            <w:r>
              <w:rPr>
                <w:rFonts w:hint="eastAsia" w:ascii="宋体" w:hAnsi="宋体"/>
                <w:b/>
                <w:color w:val="000000" w:themeColor="text1"/>
                <w:szCs w:val="21"/>
                <w14:textFill>
                  <w14:solidFill>
                    <w14:schemeClr w14:val="tx1"/>
                  </w14:solidFill>
                </w14:textFill>
              </w:rPr>
              <w:t xml:space="preserve">5  </w:t>
            </w:r>
            <w:r>
              <w:rPr>
                <w:rFonts w:hint="eastAsia" w:ascii="宋体" w:hAnsi="宋体"/>
                <w:b/>
                <w:color w:val="000000" w:themeColor="text1"/>
                <w:szCs w:val="21"/>
                <w14:textFill>
                  <w14:solidFill>
                    <w14:schemeClr w14:val="tx1"/>
                  </w14:solidFill>
                </w14:textFill>
              </w:rPr>
              <w:sym w:font="Wingdings 2" w:char="00A3"/>
            </w:r>
            <w:r>
              <w:rPr>
                <w:rFonts w:hint="eastAsia" w:ascii="宋体" w:hAnsi="宋体"/>
                <w:b/>
                <w:color w:val="000000" w:themeColor="text1"/>
                <w:szCs w:val="21"/>
                <w14:textFill>
                  <w14:solidFill>
                    <w14:schemeClr w14:val="tx1"/>
                  </w14:solidFill>
                </w14:textFill>
              </w:rPr>
              <w:t>7</w:t>
            </w:r>
          </w:p>
        </w:tc>
      </w:tr>
      <w:tr w14:paraId="607EF1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tcBorders>
              <w:tl2br w:val="nil"/>
              <w:tr2bl w:val="nil"/>
            </w:tcBorders>
            <w:vAlign w:val="center"/>
          </w:tcPr>
          <w:p w14:paraId="40CC3C9B">
            <w:pPr>
              <w:jc w:val="center"/>
              <w:rPr>
                <w:rFonts w:ascii="宋体" w:hAnsi="宋体"/>
                <w:color w:val="000000" w:themeColor="text1"/>
                <w:szCs w:val="21"/>
                <w14:textFill>
                  <w14:solidFill>
                    <w14:schemeClr w14:val="tx1"/>
                  </w14:solidFill>
                </w14:textFill>
              </w:rPr>
            </w:pPr>
          </w:p>
        </w:tc>
        <w:tc>
          <w:tcPr>
            <w:tcW w:w="2608" w:type="dxa"/>
            <w:vMerge w:val="restart"/>
            <w:tcBorders>
              <w:tl2br w:val="nil"/>
              <w:tr2bl w:val="nil"/>
            </w:tcBorders>
            <w:vAlign w:val="center"/>
          </w:tcPr>
          <w:p w14:paraId="2A0B1926">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电子文档</w:t>
            </w:r>
          </w:p>
        </w:tc>
        <w:tc>
          <w:tcPr>
            <w:tcW w:w="4924" w:type="dxa"/>
            <w:tcBorders>
              <w:tl2br w:val="nil"/>
              <w:tr2bl w:val="nil"/>
            </w:tcBorders>
            <w:vAlign w:val="center"/>
          </w:tcPr>
          <w:p w14:paraId="3E7FB091">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1</w:t>
            </w:r>
          </w:p>
        </w:tc>
      </w:tr>
      <w:tr w14:paraId="626D1D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tcBorders>
              <w:tl2br w:val="nil"/>
              <w:tr2bl w:val="nil"/>
            </w:tcBorders>
            <w:vAlign w:val="center"/>
          </w:tcPr>
          <w:p w14:paraId="1C3AC5E3">
            <w:pPr>
              <w:jc w:val="center"/>
              <w:rPr>
                <w:rFonts w:ascii="宋体" w:hAnsi="宋体"/>
                <w:color w:val="000000" w:themeColor="text1"/>
                <w:szCs w:val="21"/>
                <w14:textFill>
                  <w14:solidFill>
                    <w14:schemeClr w14:val="tx1"/>
                  </w14:solidFill>
                </w14:textFill>
              </w:rPr>
            </w:pPr>
          </w:p>
        </w:tc>
        <w:tc>
          <w:tcPr>
            <w:tcW w:w="2608" w:type="dxa"/>
            <w:vMerge w:val="continue"/>
            <w:tcBorders>
              <w:tl2br w:val="nil"/>
              <w:tr2bl w:val="nil"/>
            </w:tcBorders>
            <w:vAlign w:val="center"/>
          </w:tcPr>
          <w:p w14:paraId="43B7793C">
            <w:pPr>
              <w:jc w:val="center"/>
              <w:rPr>
                <w:rFonts w:ascii="宋体" w:hAnsi="宋体"/>
                <w:b/>
                <w:color w:val="000000" w:themeColor="text1"/>
                <w:szCs w:val="21"/>
                <w14:textFill>
                  <w14:solidFill>
                    <w14:schemeClr w14:val="tx1"/>
                  </w14:solidFill>
                </w14:textFill>
              </w:rPr>
            </w:pPr>
          </w:p>
        </w:tc>
        <w:tc>
          <w:tcPr>
            <w:tcW w:w="4924" w:type="dxa"/>
            <w:tcBorders>
              <w:tl2br w:val="nil"/>
              <w:tr2bl w:val="nil"/>
            </w:tcBorders>
            <w:vAlign w:val="center"/>
          </w:tcPr>
          <w:p w14:paraId="49E4F060">
            <w:pPr>
              <w:jc w:val="center"/>
              <w:rPr>
                <w:rFonts w:ascii="宋体" w:hAnsi="宋体"/>
                <w:b/>
                <w:color w:val="000000" w:themeColor="text1"/>
                <w:szCs w:val="21"/>
                <w14:textFill>
                  <w14:solidFill>
                    <w14:schemeClr w14:val="tx1"/>
                  </w14:solidFill>
                </w14:textFill>
              </w:rPr>
            </w:pPr>
            <w:r>
              <w:rPr>
                <w:rFonts w:hint="eastAsia" w:ascii="宋体" w:hAnsi="宋体" w:cs="Times New Roman"/>
                <w:b/>
                <w:color w:val="000000" w:themeColor="text1"/>
                <w:szCs w:val="21"/>
                <w14:textFill>
                  <w14:solidFill>
                    <w14:schemeClr w14:val="tx1"/>
                  </w14:solidFill>
                </w14:textFill>
              </w:rPr>
              <w:t>U盘，须含盖章版PDF投标文件和WORD版投标文件各一版，文字采用WORD文档，计算表格采用 EXCEL文档。</w:t>
            </w:r>
          </w:p>
        </w:tc>
      </w:tr>
      <w:tr w14:paraId="5E5A7B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857" w:hRule="atLeast"/>
        </w:trPr>
        <w:tc>
          <w:tcPr>
            <w:tcW w:w="8410" w:type="dxa"/>
            <w:gridSpan w:val="3"/>
            <w:tcBorders>
              <w:tl2br w:val="nil"/>
              <w:tr2bl w:val="nil"/>
            </w:tcBorders>
            <w:vAlign w:val="center"/>
          </w:tcPr>
          <w:p w14:paraId="61D93C05">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三、开标与评标</w:t>
            </w:r>
          </w:p>
        </w:tc>
      </w:tr>
      <w:tr w14:paraId="2472F9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745B1D3D">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w:t>
            </w:r>
          </w:p>
        </w:tc>
        <w:tc>
          <w:tcPr>
            <w:tcW w:w="7532" w:type="dxa"/>
            <w:gridSpan w:val="2"/>
            <w:tcBorders>
              <w:tl2br w:val="nil"/>
              <w:tr2bl w:val="nil"/>
            </w:tcBorders>
            <w:vAlign w:val="center"/>
          </w:tcPr>
          <w:p w14:paraId="1F11AA39">
            <w:pPr>
              <w:jc w:val="both"/>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本项目评标方法</w:t>
            </w:r>
          </w:p>
        </w:tc>
      </w:tr>
      <w:tr w14:paraId="50340C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207A51C0">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77FD7337">
            <w:pPr>
              <w:jc w:val="both"/>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综合评分法。</w:t>
            </w:r>
          </w:p>
        </w:tc>
      </w:tr>
      <w:tr w14:paraId="02367E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5A37FCD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w:t>
            </w:r>
          </w:p>
        </w:tc>
        <w:tc>
          <w:tcPr>
            <w:tcW w:w="7532" w:type="dxa"/>
            <w:gridSpan w:val="2"/>
            <w:tcBorders>
              <w:tl2br w:val="nil"/>
              <w:tr2bl w:val="nil"/>
            </w:tcBorders>
            <w:vAlign w:val="center"/>
          </w:tcPr>
          <w:p w14:paraId="76EF99A6">
            <w:pPr>
              <w:jc w:val="both"/>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综合评分法评分因素和权重分值</w:t>
            </w:r>
          </w:p>
        </w:tc>
      </w:tr>
      <w:tr w14:paraId="0CB169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7D386019">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6C27C867">
            <w:pPr>
              <w:jc w:val="both"/>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见附表二。</w:t>
            </w:r>
          </w:p>
        </w:tc>
      </w:tr>
      <w:tr w14:paraId="30FBBF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tcBorders>
              <w:tl2br w:val="nil"/>
              <w:tr2bl w:val="nil"/>
            </w:tcBorders>
            <w:vAlign w:val="center"/>
          </w:tcPr>
          <w:p w14:paraId="2DDD1A1B">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14</w:t>
            </w:r>
          </w:p>
        </w:tc>
        <w:tc>
          <w:tcPr>
            <w:tcW w:w="7532" w:type="dxa"/>
            <w:gridSpan w:val="2"/>
            <w:tcBorders>
              <w:tl2br w:val="nil"/>
              <w:tr2bl w:val="nil"/>
            </w:tcBorders>
            <w:vAlign w:val="center"/>
          </w:tcPr>
          <w:p w14:paraId="354E8872">
            <w:pPr>
              <w:jc w:val="both"/>
              <w:rPr>
                <w:rFonts w:ascii="宋体" w:hAnsi="宋体"/>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评标委员会</w:t>
            </w:r>
          </w:p>
        </w:tc>
      </w:tr>
      <w:tr w14:paraId="1E2498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492ECDA3">
            <w:pPr>
              <w:jc w:val="center"/>
              <w:rPr>
                <w:rFonts w:ascii="宋体" w:hAnsi="宋体"/>
                <w:color w:val="000000" w:themeColor="text1"/>
                <w:szCs w:val="21"/>
                <w:highlight w:val="none"/>
                <w14:textFill>
                  <w14:solidFill>
                    <w14:schemeClr w14:val="tx1"/>
                  </w14:solidFill>
                </w14:textFill>
              </w:rPr>
            </w:pPr>
          </w:p>
        </w:tc>
        <w:tc>
          <w:tcPr>
            <w:tcW w:w="7532" w:type="dxa"/>
            <w:gridSpan w:val="2"/>
            <w:tcBorders>
              <w:tl2br w:val="nil"/>
              <w:tr2bl w:val="nil"/>
            </w:tcBorders>
            <w:vAlign w:val="center"/>
          </w:tcPr>
          <w:p w14:paraId="4228F15D">
            <w:pPr>
              <w:jc w:val="both"/>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评标委员会成员共</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lang w:val="en-US" w:eastAsia="zh-CN"/>
                <w14:textFill>
                  <w14:solidFill>
                    <w14:schemeClr w14:val="tx1"/>
                  </w14:solidFill>
                </w14:textFill>
              </w:rPr>
              <w:t>五</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lang w:val="zh-CN"/>
                <w14:textFill>
                  <w14:solidFill>
                    <w14:schemeClr w14:val="tx1"/>
                  </w14:solidFill>
                </w14:textFill>
              </w:rPr>
              <w:t>评标委员会由采购人</w:t>
            </w:r>
            <w:r>
              <w:rPr>
                <w:rFonts w:hint="eastAsia" w:ascii="宋体" w:hAnsi="宋体"/>
                <w:color w:val="000000" w:themeColor="text1"/>
                <w:szCs w:val="21"/>
                <w:highlight w:val="none"/>
                <w14:textFill>
                  <w14:solidFill>
                    <w14:schemeClr w14:val="tx1"/>
                  </w14:solidFill>
                </w14:textFill>
              </w:rPr>
              <w:t>的</w:t>
            </w:r>
            <w:r>
              <w:rPr>
                <w:rFonts w:hint="eastAsia" w:ascii="宋体" w:hAnsi="宋体"/>
                <w:color w:val="000000" w:themeColor="text1"/>
                <w:szCs w:val="21"/>
                <w:highlight w:val="none"/>
                <w:lang w:val="zh-CN"/>
                <w14:textFill>
                  <w14:solidFill>
                    <w14:schemeClr w14:val="tx1"/>
                  </w14:solidFill>
                </w14:textFill>
              </w:rPr>
              <w:t>代表和</w:t>
            </w:r>
            <w:r>
              <w:rPr>
                <w:rFonts w:hint="eastAsia" w:ascii="宋体" w:hAnsi="宋体"/>
                <w:color w:val="000000" w:themeColor="text1"/>
                <w:szCs w:val="21"/>
                <w:highlight w:val="none"/>
                <w14:textFill>
                  <w14:solidFill>
                    <w14:schemeClr w14:val="tx1"/>
                  </w14:solidFill>
                </w14:textFill>
              </w:rPr>
              <w:t>有关方面的</w:t>
            </w:r>
            <w:r>
              <w:rPr>
                <w:rFonts w:hint="eastAsia" w:ascii="宋体" w:hAnsi="宋体"/>
                <w:color w:val="000000" w:themeColor="text1"/>
                <w:szCs w:val="21"/>
                <w:highlight w:val="none"/>
                <w:lang w:val="zh-CN"/>
                <w14:textFill>
                  <w14:solidFill>
                    <w14:schemeClr w14:val="tx1"/>
                  </w14:solidFill>
                </w14:textFill>
              </w:rPr>
              <w:t>专家组成，</w:t>
            </w:r>
            <w:r>
              <w:rPr>
                <w:rFonts w:hint="eastAsia" w:ascii="宋体" w:hAnsi="宋体"/>
                <w:color w:val="000000" w:themeColor="text1"/>
                <w:szCs w:val="21"/>
                <w:highlight w:val="none"/>
                <w14:textFill>
                  <w14:solidFill>
                    <w14:schemeClr w14:val="tx1"/>
                  </w14:solidFill>
                </w14:textFill>
              </w:rPr>
              <w:t>成员人数为五人或五人以上单数</w:t>
            </w:r>
            <w:r>
              <w:rPr>
                <w:rFonts w:hint="eastAsia" w:ascii="宋体" w:hAnsi="宋体"/>
                <w:color w:val="000000" w:themeColor="text1"/>
                <w:szCs w:val="21"/>
                <w:highlight w:val="none"/>
                <w:lang w:val="zh-CN"/>
                <w14:textFill>
                  <w14:solidFill>
                    <w14:schemeClr w14:val="tx1"/>
                  </w14:solidFill>
                </w14:textFill>
              </w:rPr>
              <w:t>，其中专家不得少于成员总数的三分之二。</w:t>
            </w:r>
          </w:p>
        </w:tc>
      </w:tr>
      <w:tr w14:paraId="05433A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cantSplit/>
          <w:trHeight w:val="748" w:hRule="atLeast"/>
        </w:trPr>
        <w:tc>
          <w:tcPr>
            <w:tcW w:w="8410" w:type="dxa"/>
            <w:gridSpan w:val="3"/>
            <w:tcBorders>
              <w:tl2br w:val="nil"/>
              <w:tr2bl w:val="nil"/>
            </w:tcBorders>
            <w:vAlign w:val="center"/>
          </w:tcPr>
          <w:p w14:paraId="042094C9">
            <w:pPr>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四、授予合同</w:t>
            </w:r>
          </w:p>
        </w:tc>
      </w:tr>
      <w:tr w14:paraId="282110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878" w:type="dxa"/>
            <w:vMerge w:val="restart"/>
            <w:tcBorders>
              <w:tl2br w:val="nil"/>
              <w:tr2bl w:val="nil"/>
            </w:tcBorders>
            <w:vAlign w:val="center"/>
          </w:tcPr>
          <w:p w14:paraId="44C28F1A">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w:t>
            </w:r>
          </w:p>
        </w:tc>
        <w:tc>
          <w:tcPr>
            <w:tcW w:w="7532" w:type="dxa"/>
            <w:gridSpan w:val="2"/>
            <w:tcBorders>
              <w:tl2br w:val="nil"/>
              <w:tr2bl w:val="nil"/>
            </w:tcBorders>
            <w:shd w:val="clear" w:color="auto" w:fill="auto"/>
            <w:vAlign w:val="center"/>
          </w:tcPr>
          <w:p w14:paraId="5EADC56E">
            <w:pPr>
              <w:jc w:val="both"/>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履约担保</w:t>
            </w:r>
          </w:p>
        </w:tc>
      </w:tr>
      <w:tr w14:paraId="54CA82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40" w:hRule="atLeast"/>
        </w:trPr>
        <w:tc>
          <w:tcPr>
            <w:tcW w:w="878" w:type="dxa"/>
            <w:vMerge w:val="continue"/>
            <w:tcBorders>
              <w:tl2br w:val="nil"/>
              <w:tr2bl w:val="nil"/>
            </w:tcBorders>
            <w:vAlign w:val="center"/>
          </w:tcPr>
          <w:p w14:paraId="03220BD9">
            <w:pPr>
              <w:jc w:val="center"/>
              <w:rPr>
                <w:rFonts w:ascii="宋体" w:hAnsi="宋体"/>
                <w:color w:val="000000" w:themeColor="text1"/>
                <w:szCs w:val="21"/>
                <w:highlight w:val="none"/>
                <w14:textFill>
                  <w14:solidFill>
                    <w14:schemeClr w14:val="tx1"/>
                  </w14:solidFill>
                </w14:textFill>
              </w:rPr>
            </w:pPr>
          </w:p>
        </w:tc>
        <w:tc>
          <w:tcPr>
            <w:tcW w:w="7532" w:type="dxa"/>
            <w:gridSpan w:val="2"/>
            <w:tcBorders>
              <w:tl2br w:val="nil"/>
              <w:tr2bl w:val="nil"/>
            </w:tcBorders>
            <w:shd w:val="clear" w:color="auto" w:fill="auto"/>
            <w:vAlign w:val="center"/>
          </w:tcPr>
          <w:p w14:paraId="618663C1">
            <w:pPr>
              <w:shd w:val="clear"/>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1.履约担保金额为：</w:t>
            </w:r>
            <w:r>
              <w:rPr>
                <w:rFonts w:hint="eastAsia" w:ascii="宋体" w:hAnsi="宋体"/>
                <w:color w:val="000000" w:themeColor="text1"/>
                <w:sz w:val="21"/>
                <w:szCs w:val="21"/>
                <w:highlight w:val="none"/>
                <w:u w:val="single"/>
                <w14:textFill>
                  <w14:solidFill>
                    <w14:schemeClr w14:val="tx1"/>
                  </w14:solidFill>
                </w14:textFill>
              </w:rPr>
              <w:t xml:space="preserve"> 合同金额的10% 。</w:t>
            </w:r>
          </w:p>
          <w:p w14:paraId="6B300DFA">
            <w:pPr>
              <w:shd w:val="clear"/>
              <w:jc w:val="both"/>
              <w:rPr>
                <w:rFonts w:hint="eastAsia" w:ascii="宋体" w:hAnsi="宋体" w:eastAsia="宋体"/>
                <w:color w:val="000000" w:themeColor="text1"/>
                <w:sz w:val="21"/>
                <w:szCs w:val="21"/>
                <w:highlight w:val="none"/>
                <w:lang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w:t>
            </w:r>
            <w:r>
              <w:rPr>
                <w:rFonts w:ascii="宋体" w:hAnsi="宋体"/>
                <w:color w:val="000000" w:themeColor="text1"/>
                <w:sz w:val="21"/>
                <w:szCs w:val="21"/>
                <w:highlight w:val="none"/>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履约保证金账户信息</w:t>
            </w:r>
            <w:r>
              <w:rPr>
                <w:rFonts w:hint="eastAsia" w:ascii="宋体" w:hAnsi="宋体"/>
                <w:color w:val="000000" w:themeColor="text1"/>
                <w:sz w:val="21"/>
                <w:szCs w:val="21"/>
                <w:highlight w:val="none"/>
                <w:lang w:eastAsia="zh-CN"/>
                <w14:textFill>
                  <w14:solidFill>
                    <w14:schemeClr w14:val="tx1"/>
                  </w14:solidFill>
                </w14:textFill>
              </w:rPr>
              <w:t>（中标结果公示后待中标单位与采购人协商确认）</w:t>
            </w:r>
          </w:p>
          <w:p w14:paraId="40AD8335">
            <w:pPr>
              <w:jc w:val="both"/>
              <w:rPr>
                <w:rFonts w:ascii="宋体" w:hAnsi="宋体"/>
                <w:b/>
                <w:color w:val="000000" w:themeColor="text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中标人应于本合同签订之日起7个日历日内，按合同总价的10%向采购人缴纳履约保证金。其中人民币50万元整（含本数），须以电汇或银行转账方式支付至采购人指定账户；剩余部分可选择电汇、银行转账方式支付至采购人指定账户，或提交银行机构出具的履约保函（担保公司出具的保函不予接受）。待本工程全部竣工验收合格且中标人无任何违约行为的，采购人应在工程竣工结算完成后，无息全额退还乙方已缴纳的履约保证金。</w:t>
            </w:r>
          </w:p>
        </w:tc>
      </w:tr>
      <w:tr w14:paraId="14A654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52" w:hRule="atLeast"/>
        </w:trPr>
        <w:tc>
          <w:tcPr>
            <w:tcW w:w="878" w:type="dxa"/>
            <w:vMerge w:val="restart"/>
            <w:tcBorders>
              <w:tl2br w:val="nil"/>
              <w:tr2bl w:val="nil"/>
            </w:tcBorders>
            <w:vAlign w:val="center"/>
          </w:tcPr>
          <w:p w14:paraId="601E0616">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w:t>
            </w:r>
          </w:p>
        </w:tc>
        <w:tc>
          <w:tcPr>
            <w:tcW w:w="7532" w:type="dxa"/>
            <w:gridSpan w:val="2"/>
            <w:tcBorders>
              <w:tl2br w:val="nil"/>
              <w:tr2bl w:val="nil"/>
            </w:tcBorders>
            <w:vAlign w:val="center"/>
          </w:tcPr>
          <w:p w14:paraId="237D696E">
            <w:pPr>
              <w:jc w:val="both"/>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中标服务费</w:t>
            </w:r>
          </w:p>
        </w:tc>
      </w:tr>
      <w:tr w14:paraId="1BF51C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52" w:hRule="atLeast"/>
        </w:trPr>
        <w:tc>
          <w:tcPr>
            <w:tcW w:w="878" w:type="dxa"/>
            <w:vMerge w:val="continue"/>
            <w:tcBorders>
              <w:tl2br w:val="nil"/>
              <w:tr2bl w:val="nil"/>
            </w:tcBorders>
            <w:vAlign w:val="center"/>
          </w:tcPr>
          <w:p w14:paraId="4F2ABB17">
            <w:pPr>
              <w:jc w:val="center"/>
              <w:rPr>
                <w:rFonts w:ascii="宋体" w:hAnsi="宋体"/>
                <w:color w:val="000000" w:themeColor="text1"/>
                <w:szCs w:val="21"/>
                <w:highlight w:val="none"/>
                <w14:textFill>
                  <w14:solidFill>
                    <w14:schemeClr w14:val="tx1"/>
                  </w14:solidFill>
                </w14:textFill>
              </w:rPr>
            </w:pPr>
          </w:p>
        </w:tc>
        <w:tc>
          <w:tcPr>
            <w:tcW w:w="7532" w:type="dxa"/>
            <w:gridSpan w:val="2"/>
            <w:tcBorders>
              <w:tl2br w:val="nil"/>
              <w:tr2bl w:val="nil"/>
            </w:tcBorders>
            <w:vAlign w:val="center"/>
          </w:tcPr>
          <w:p w14:paraId="3A496B7A">
            <w:pPr>
              <w:keepNext w:val="0"/>
              <w:keepLines w:val="0"/>
              <w:pageBreakBefore w:val="0"/>
              <w:widowControl w:val="0"/>
              <w:shd w:val="clear"/>
              <w:tabs>
                <w:tab w:val="left" w:pos="907"/>
              </w:tabs>
              <w:kinsoku/>
              <w:wordWrap/>
              <w:overflowPunct/>
              <w:topLinePunct w:val="0"/>
              <w:autoSpaceDE/>
              <w:autoSpaceDN/>
              <w:bidi w:val="0"/>
              <w:adjustRightInd/>
              <w:snapToGrid/>
              <w:spacing w:after="0" w:line="360" w:lineRule="auto"/>
              <w:jc w:val="both"/>
              <w:textAlignment w:val="auto"/>
              <w:rPr>
                <w:rFonts w:ascii="宋体" w:hAnsi="宋体"/>
                <w:color w:val="000000" w:themeColor="text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（1）中标服务费</w:t>
            </w:r>
            <w:r>
              <w:rPr>
                <w:rFonts w:hint="eastAsia" w:ascii="宋体" w:hAnsi="宋体" w:eastAsia="宋体"/>
                <w:color w:val="000000" w:themeColor="text1"/>
                <w:sz w:val="21"/>
                <w:szCs w:val="21"/>
                <w:highlight w:val="none"/>
                <w:lang w:eastAsia="zh-CN"/>
                <w14:textFill>
                  <w14:solidFill>
                    <w14:schemeClr w14:val="tx1"/>
                  </w14:solidFill>
                </w14:textFill>
              </w:rPr>
              <w:t>参照</w:t>
            </w:r>
            <w:r>
              <w:rPr>
                <w:rFonts w:hint="eastAsia" w:ascii="宋体" w:hAnsi="宋体" w:eastAsia="宋体"/>
                <w:color w:val="000000" w:themeColor="text1"/>
                <w:sz w:val="21"/>
                <w:szCs w:val="21"/>
                <w:highlight w:val="none"/>
                <w14:textFill>
                  <w14:solidFill>
                    <w14:schemeClr w14:val="tx1"/>
                  </w14:solidFill>
                </w14:textFill>
              </w:rPr>
              <w:t>国家计委[计价格[2002]1980号]文和国家发改委[发改价格[2011]534号]文及相关规定</w:t>
            </w:r>
            <w:r>
              <w:rPr>
                <w:rFonts w:hint="eastAsia" w:ascii="宋体" w:hAnsi="宋体" w:eastAsia="宋体"/>
                <w:color w:val="000000" w:themeColor="text1"/>
                <w:sz w:val="21"/>
                <w:szCs w:val="21"/>
                <w:highlight w:val="none"/>
                <w:lang w:eastAsia="zh-CN"/>
                <w14:textFill>
                  <w14:solidFill>
                    <w14:schemeClr w14:val="tx1"/>
                  </w14:solidFill>
                </w14:textFill>
              </w:rPr>
              <w:t>并下浮</w:t>
            </w:r>
            <w:r>
              <w:rPr>
                <w:rFonts w:hint="eastAsia" w:ascii="宋体" w:hAnsi="宋体"/>
                <w:color w:val="000000" w:themeColor="text1"/>
                <w:sz w:val="21"/>
                <w:szCs w:val="21"/>
                <w:highlight w:val="none"/>
                <w:lang w:val="en-US" w:eastAsia="zh-CN"/>
                <w14:textFill>
                  <w14:solidFill>
                    <w14:schemeClr w14:val="tx1"/>
                  </w14:solidFill>
                </w14:textFill>
              </w:rPr>
              <w:t>3</w:t>
            </w:r>
            <w:r>
              <w:rPr>
                <w:rFonts w:hint="eastAsia" w:ascii="宋体" w:hAnsi="宋体" w:eastAsia="宋体"/>
                <w:color w:val="000000" w:themeColor="text1"/>
                <w:sz w:val="21"/>
                <w:szCs w:val="21"/>
                <w:highlight w:val="none"/>
                <w:lang w:val="en-US" w:eastAsia="zh-CN"/>
                <w14:textFill>
                  <w14:solidFill>
                    <w14:schemeClr w14:val="tx1"/>
                  </w14:solidFill>
                </w14:textFill>
              </w:rPr>
              <w:t>0%</w:t>
            </w:r>
            <w:r>
              <w:rPr>
                <w:rFonts w:hint="eastAsia" w:ascii="宋体" w:hAnsi="宋体" w:eastAsia="宋体"/>
                <w:b/>
                <w:bCs/>
                <w:color w:val="000000" w:themeColor="text1"/>
                <w:sz w:val="21"/>
                <w:szCs w:val="21"/>
                <w:highlight w:val="none"/>
                <w:u w:val="single"/>
                <w14:textFill>
                  <w14:solidFill>
                    <w14:schemeClr w14:val="tx1"/>
                  </w14:solidFill>
                </w14:textFill>
              </w:rPr>
              <w:t>向中标单位收取</w:t>
            </w:r>
            <w:r>
              <w:rPr>
                <w:rFonts w:hint="eastAsia" w:ascii="宋体" w:hAnsi="宋体" w:eastAsia="宋体"/>
                <w:color w:val="000000" w:themeColor="text1"/>
                <w:sz w:val="21"/>
                <w:szCs w:val="21"/>
                <w:highlight w:val="none"/>
                <w14:textFill>
                  <w14:solidFill>
                    <w14:schemeClr w14:val="tx1"/>
                  </w14:solidFill>
                </w14:textFill>
              </w:rPr>
              <w:t>，按差额定率累进法计算，以中标通知书中确定的中标总金额作为收费的计算</w:t>
            </w:r>
            <w:r>
              <w:rPr>
                <w:rFonts w:hint="eastAsia" w:ascii="宋体" w:hAnsi="宋体" w:eastAsia="宋体"/>
                <w:color w:val="000000" w:themeColor="text1"/>
                <w:sz w:val="21"/>
                <w:szCs w:val="21"/>
                <w:highlight w:val="none"/>
                <w:lang w:eastAsia="zh-CN"/>
                <w14:textFill>
                  <w14:solidFill>
                    <w14:schemeClr w14:val="tx1"/>
                  </w14:solidFill>
                </w14:textFill>
              </w:rPr>
              <w:t>参照</w:t>
            </w:r>
            <w:r>
              <w:rPr>
                <w:rFonts w:hint="eastAsia" w:ascii="宋体" w:hAnsi="宋体" w:eastAsia="宋体"/>
                <w:color w:val="000000" w:themeColor="text1"/>
                <w:sz w:val="21"/>
                <w:szCs w:val="21"/>
                <w:highlight w:val="none"/>
                <w14:textFill>
                  <w14:solidFill>
                    <w14:schemeClr w14:val="tx1"/>
                  </w14:solidFill>
                </w14:textFill>
              </w:rPr>
              <w:t>。</w:t>
            </w:r>
          </w:p>
        </w:tc>
      </w:tr>
      <w:tr w14:paraId="4AD645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684" w:hRule="atLeast"/>
        </w:trPr>
        <w:tc>
          <w:tcPr>
            <w:tcW w:w="878" w:type="dxa"/>
            <w:vMerge w:val="continue"/>
            <w:tcBorders>
              <w:tl2br w:val="nil"/>
              <w:tr2bl w:val="nil"/>
            </w:tcBorders>
            <w:vAlign w:val="center"/>
          </w:tcPr>
          <w:p w14:paraId="55816FFB">
            <w:pPr>
              <w:jc w:val="center"/>
              <w:rPr>
                <w:rFonts w:ascii="宋体" w:hAnsi="宋体"/>
                <w:color w:val="000000" w:themeColor="text1"/>
                <w:szCs w:val="21"/>
                <w14:textFill>
                  <w14:solidFill>
                    <w14:schemeClr w14:val="tx1"/>
                  </w14:solidFill>
                </w14:textFill>
              </w:rPr>
            </w:pPr>
          </w:p>
        </w:tc>
        <w:tc>
          <w:tcPr>
            <w:tcW w:w="7532" w:type="dxa"/>
            <w:gridSpan w:val="2"/>
            <w:tcBorders>
              <w:tl2br w:val="nil"/>
              <w:tr2bl w:val="nil"/>
            </w:tcBorders>
            <w:vAlign w:val="center"/>
          </w:tcPr>
          <w:p w14:paraId="20144D4B">
            <w:pPr>
              <w:shd w:val="clear"/>
              <w:jc w:val="both"/>
              <w:rPr>
                <w:rFonts w:hint="eastAsia"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（2）中标服务费以转账或现金的形式支付。</w:t>
            </w:r>
            <w:r>
              <w:rPr>
                <w:rFonts w:hint="eastAsia" w:ascii="宋体" w:hAnsi="宋体" w:eastAsia="宋体"/>
                <w:color w:val="000000" w:themeColor="text1"/>
                <w:sz w:val="21"/>
                <w:szCs w:val="21"/>
                <w:highlight w:val="none"/>
                <w:lang w:eastAsia="zh-CN"/>
                <w14:textFill>
                  <w14:solidFill>
                    <w14:schemeClr w14:val="tx1"/>
                  </w14:solidFill>
                </w14:textFill>
              </w:rPr>
              <w:t>招标代理机构</w:t>
            </w:r>
            <w:r>
              <w:rPr>
                <w:rFonts w:hint="eastAsia" w:ascii="宋体" w:hAnsi="宋体" w:eastAsia="宋体"/>
                <w:color w:val="000000" w:themeColor="text1"/>
                <w:sz w:val="21"/>
                <w:szCs w:val="21"/>
                <w:highlight w:val="none"/>
                <w14:textFill>
                  <w14:solidFill>
                    <w14:schemeClr w14:val="tx1"/>
                  </w14:solidFill>
                </w14:textFill>
              </w:rPr>
              <w:t>服务费汇入账号：</w:t>
            </w:r>
          </w:p>
          <w:p w14:paraId="06A9E874">
            <w:pPr>
              <w:jc w:val="both"/>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收 款 人：</w:t>
            </w:r>
            <w:r>
              <w:rPr>
                <w:rFonts w:hint="eastAsia" w:ascii="宋体" w:hAnsi="宋体"/>
                <w:color w:val="000000" w:themeColor="text1"/>
                <w:szCs w:val="21"/>
                <w:lang w:eastAsia="zh-CN"/>
                <w14:textFill>
                  <w14:solidFill>
                    <w14:schemeClr w14:val="tx1"/>
                  </w14:solidFill>
                </w14:textFill>
              </w:rPr>
              <w:t>广州宏达工程顾问集团有限公司</w:t>
            </w:r>
            <w:r>
              <w:rPr>
                <w:rFonts w:hint="eastAsia" w:ascii="宋体" w:hAnsi="宋体"/>
                <w:color w:val="000000" w:themeColor="text1"/>
                <w:szCs w:val="21"/>
                <w14:textFill>
                  <w14:solidFill>
                    <w14:schemeClr w14:val="tx1"/>
                  </w14:solidFill>
                </w14:textFill>
              </w:rPr>
              <w:t>东莞分公司</w:t>
            </w:r>
          </w:p>
          <w:p w14:paraId="1AD9878D">
            <w:pPr>
              <w:jc w:val="both"/>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开户银行：</w:t>
            </w:r>
            <w:r>
              <w:rPr>
                <w:rFonts w:hint="eastAsia" w:ascii="宋体" w:hAnsi="宋体"/>
                <w:color w:val="000000" w:themeColor="text1"/>
                <w:szCs w:val="21"/>
                <w:lang w:eastAsia="zh-CN"/>
                <w14:textFill>
                  <w14:solidFill>
                    <w14:schemeClr w14:val="tx1"/>
                  </w14:solidFill>
                </w14:textFill>
              </w:rPr>
              <w:t>招商银行东莞分行营业部</w:t>
            </w:r>
          </w:p>
          <w:p w14:paraId="115B7384">
            <w:pPr>
              <w:shd w:val="clear"/>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账　　号：</w:t>
            </w:r>
            <w:r>
              <w:rPr>
                <w:rFonts w:hint="eastAsia" w:ascii="宋体" w:hAnsi="宋体"/>
                <w:color w:val="000000" w:themeColor="text1"/>
                <w:szCs w:val="21"/>
                <w:lang w:eastAsia="zh-CN"/>
                <w14:textFill>
                  <w14:solidFill>
                    <w14:schemeClr w14:val="tx1"/>
                  </w14:solidFill>
                </w14:textFill>
              </w:rPr>
              <w:t>769911939210000</w:t>
            </w:r>
          </w:p>
        </w:tc>
      </w:tr>
      <w:tr w14:paraId="43891B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820" w:hRule="atLeast"/>
        </w:trPr>
        <w:tc>
          <w:tcPr>
            <w:tcW w:w="8410" w:type="dxa"/>
            <w:gridSpan w:val="3"/>
            <w:tcBorders>
              <w:tl2br w:val="nil"/>
              <w:tr2bl w:val="nil"/>
            </w:tcBorders>
            <w:vAlign w:val="center"/>
          </w:tcPr>
          <w:p w14:paraId="5A300859">
            <w:pPr>
              <w:widowControl w:val="0"/>
              <w:tabs>
                <w:tab w:val="left" w:pos="907"/>
              </w:tabs>
              <w:adjustRightInd/>
              <w:snapToGrid/>
              <w:ind w:firstLine="420" w:firstLineChars="200"/>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注：本表关于要采购项目的具体资料，是对投标人须知的具体补充和修改，如有矛盾，应以本资料表为准。不满足采购文件中 “★”条款的投标文件将作无效投标处理。</w:t>
            </w:r>
          </w:p>
        </w:tc>
      </w:tr>
    </w:tbl>
    <w:p w14:paraId="57828579">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0AFB89E6">
      <w:pPr>
        <w:pStyle w:val="3"/>
        <w:spacing w:before="0" w:after="0" w:line="240" w:lineRule="auto"/>
        <w:jc w:val="center"/>
        <w:rPr>
          <w:rFonts w:hAnsi="宋体" w:cs="宋体"/>
          <w:color w:val="000000" w:themeColor="text1"/>
          <w:sz w:val="21"/>
          <w:szCs w:val="21"/>
          <w14:textFill>
            <w14:solidFill>
              <w14:schemeClr w14:val="tx1"/>
            </w14:solidFill>
          </w14:textFill>
        </w:rPr>
      </w:pPr>
      <w:bookmarkStart w:id="8" w:name="_Toc15830"/>
      <w:bookmarkStart w:id="9" w:name="_Toc8826"/>
      <w:r>
        <w:rPr>
          <w:rFonts w:hint="eastAsia" w:ascii="宋体" w:hAnsi="宋体" w:cs="宋体"/>
          <w:color w:val="000000" w:themeColor="text1"/>
          <w:sz w:val="24"/>
          <w:szCs w:val="24"/>
          <w14:textFill>
            <w14:solidFill>
              <w14:schemeClr w14:val="tx1"/>
            </w14:solidFill>
          </w14:textFill>
        </w:rPr>
        <w:t>附表二：商务技术评分及价格权重表（满分100分）</w:t>
      </w:r>
      <w:bookmarkEnd w:id="8"/>
      <w:bookmarkEnd w:id="9"/>
    </w:p>
    <w:tbl>
      <w:tblPr>
        <w:tblStyle w:val="3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609"/>
        <w:gridCol w:w="734"/>
        <w:gridCol w:w="28"/>
        <w:gridCol w:w="5461"/>
      </w:tblGrid>
      <w:tr w14:paraId="2316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10677FAB">
            <w:pPr>
              <w:pStyle w:val="46"/>
              <w:spacing w:line="360" w:lineRule="auto"/>
              <w:ind w:firstLine="0" w:firstLineChars="0"/>
              <w:jc w:val="center"/>
              <w:rPr>
                <w:rFonts w:ascii="宋体" w:eastAsia="宋体" w:cs="宋体"/>
                <w:b/>
                <w:bCs/>
                <w:color w:val="000000" w:themeColor="text1"/>
                <w:sz w:val="21"/>
                <w:szCs w:val="21"/>
                <w14:textFill>
                  <w14:solidFill>
                    <w14:schemeClr w14:val="tx1"/>
                  </w14:solidFill>
                </w14:textFill>
              </w:rPr>
            </w:pPr>
            <w:r>
              <w:rPr>
                <w:rFonts w:hint="eastAsia" w:ascii="宋体" w:eastAsia="宋体" w:cs="宋体"/>
                <w:b/>
                <w:bCs/>
                <w:color w:val="000000" w:themeColor="text1"/>
                <w:sz w:val="21"/>
                <w:szCs w:val="21"/>
                <w14:textFill>
                  <w14:solidFill>
                    <w14:schemeClr w14:val="tx1"/>
                  </w14:solidFill>
                </w14:textFill>
              </w:rPr>
              <w:t>序号</w:t>
            </w:r>
          </w:p>
        </w:tc>
        <w:tc>
          <w:tcPr>
            <w:tcW w:w="1609" w:type="dxa"/>
            <w:tcBorders>
              <w:top w:val="single" w:color="auto" w:sz="4" w:space="0"/>
              <w:left w:val="single" w:color="auto" w:sz="4" w:space="0"/>
              <w:bottom w:val="single" w:color="auto" w:sz="4" w:space="0"/>
              <w:right w:val="single" w:color="auto" w:sz="4" w:space="0"/>
            </w:tcBorders>
            <w:vAlign w:val="center"/>
          </w:tcPr>
          <w:p w14:paraId="260ECCC9">
            <w:pPr>
              <w:pStyle w:val="46"/>
              <w:spacing w:line="360" w:lineRule="auto"/>
              <w:ind w:firstLine="0" w:firstLineChars="0"/>
              <w:jc w:val="center"/>
              <w:rPr>
                <w:rFonts w:ascii="宋体" w:eastAsia="宋体" w:cs="宋体"/>
                <w:b/>
                <w:bCs/>
                <w:color w:val="000000" w:themeColor="text1"/>
                <w:sz w:val="21"/>
                <w:szCs w:val="21"/>
                <w14:textFill>
                  <w14:solidFill>
                    <w14:schemeClr w14:val="tx1"/>
                  </w14:solidFill>
                </w14:textFill>
              </w:rPr>
            </w:pPr>
            <w:r>
              <w:rPr>
                <w:rFonts w:hint="eastAsia" w:ascii="宋体" w:eastAsia="宋体" w:cs="宋体"/>
                <w:b/>
                <w:bCs/>
                <w:color w:val="000000" w:themeColor="text1"/>
                <w:sz w:val="21"/>
                <w:szCs w:val="21"/>
                <w14:textFill>
                  <w14:solidFill>
                    <w14:schemeClr w14:val="tx1"/>
                  </w14:solidFill>
                </w14:textFill>
              </w:rPr>
              <w:t>评审项目</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51F51A81">
            <w:pPr>
              <w:pStyle w:val="46"/>
              <w:spacing w:line="360" w:lineRule="auto"/>
              <w:ind w:firstLine="0" w:firstLineChars="0"/>
              <w:jc w:val="center"/>
              <w:rPr>
                <w:rFonts w:ascii="宋体" w:eastAsia="宋体" w:cs="宋体"/>
                <w:b/>
                <w:bCs/>
                <w:color w:val="000000" w:themeColor="text1"/>
                <w:sz w:val="21"/>
                <w:szCs w:val="21"/>
                <w14:textFill>
                  <w14:solidFill>
                    <w14:schemeClr w14:val="tx1"/>
                  </w14:solidFill>
                </w14:textFill>
              </w:rPr>
            </w:pPr>
            <w:r>
              <w:rPr>
                <w:rFonts w:hint="eastAsia" w:ascii="宋体" w:eastAsia="宋体" w:cs="宋体"/>
                <w:b/>
                <w:bCs/>
                <w:color w:val="000000" w:themeColor="text1"/>
                <w:sz w:val="21"/>
                <w:szCs w:val="21"/>
                <w14:textFill>
                  <w14:solidFill>
                    <w14:schemeClr w14:val="tx1"/>
                  </w14:solidFill>
                </w14:textFill>
              </w:rPr>
              <w:t>分值</w:t>
            </w:r>
          </w:p>
        </w:tc>
        <w:tc>
          <w:tcPr>
            <w:tcW w:w="5461" w:type="dxa"/>
            <w:tcBorders>
              <w:top w:val="single" w:color="auto" w:sz="4" w:space="0"/>
              <w:left w:val="single" w:color="auto" w:sz="4" w:space="0"/>
              <w:bottom w:val="single" w:color="auto" w:sz="4" w:space="0"/>
              <w:right w:val="single" w:color="auto" w:sz="4" w:space="0"/>
            </w:tcBorders>
            <w:vAlign w:val="center"/>
          </w:tcPr>
          <w:p w14:paraId="2433964E">
            <w:pPr>
              <w:pStyle w:val="46"/>
              <w:spacing w:line="360" w:lineRule="auto"/>
              <w:ind w:firstLine="0" w:firstLineChars="0"/>
              <w:jc w:val="center"/>
              <w:rPr>
                <w:rFonts w:ascii="宋体" w:eastAsia="宋体" w:cs="宋体"/>
                <w:b/>
                <w:bCs/>
                <w:color w:val="000000" w:themeColor="text1"/>
                <w:sz w:val="21"/>
                <w:szCs w:val="21"/>
                <w14:textFill>
                  <w14:solidFill>
                    <w14:schemeClr w14:val="tx1"/>
                  </w14:solidFill>
                </w14:textFill>
              </w:rPr>
            </w:pPr>
            <w:r>
              <w:rPr>
                <w:rFonts w:hint="eastAsia" w:ascii="宋体" w:eastAsia="宋体" w:cs="宋体"/>
                <w:b/>
                <w:bCs/>
                <w:color w:val="000000" w:themeColor="text1"/>
                <w:sz w:val="21"/>
                <w:szCs w:val="21"/>
                <w14:textFill>
                  <w14:solidFill>
                    <w14:schemeClr w14:val="tx1"/>
                  </w14:solidFill>
                </w14:textFill>
              </w:rPr>
              <w:t>评审细则</w:t>
            </w:r>
          </w:p>
        </w:tc>
      </w:tr>
      <w:tr w14:paraId="48F5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14:paraId="10FE99D2">
            <w:pPr>
              <w:pStyle w:val="46"/>
              <w:spacing w:line="360" w:lineRule="auto"/>
              <w:ind w:firstLine="0" w:firstLineChars="0"/>
              <w:jc w:val="center"/>
              <w:rPr>
                <w:rFonts w:ascii="宋体" w:eastAsia="宋体" w:cs="宋体"/>
                <w:b/>
                <w:bCs/>
                <w:color w:val="000000" w:themeColor="text1"/>
                <w:sz w:val="21"/>
                <w:szCs w:val="21"/>
                <w14:textFill>
                  <w14:solidFill>
                    <w14:schemeClr w14:val="tx1"/>
                  </w14:solidFill>
                </w14:textFill>
              </w:rPr>
            </w:pPr>
            <w:r>
              <w:rPr>
                <w:rFonts w:hint="eastAsia" w:ascii="宋体" w:eastAsia="宋体" w:cs="宋体"/>
                <w:b/>
                <w:bCs/>
                <w:color w:val="000000" w:themeColor="text1"/>
                <w:sz w:val="21"/>
                <w:szCs w:val="21"/>
                <w14:textFill>
                  <w14:solidFill>
                    <w14:schemeClr w14:val="tx1"/>
                  </w14:solidFill>
                </w14:textFill>
              </w:rPr>
              <w:t>商务评审（</w:t>
            </w:r>
            <w:r>
              <w:rPr>
                <w:rFonts w:hint="eastAsia" w:ascii="宋体" w:eastAsia="宋体" w:cs="宋体"/>
                <w:b/>
                <w:bCs/>
                <w:color w:val="000000" w:themeColor="text1"/>
                <w:sz w:val="21"/>
                <w:szCs w:val="21"/>
                <w:lang w:val="en-US" w:eastAsia="zh-CN"/>
                <w14:textFill>
                  <w14:solidFill>
                    <w14:schemeClr w14:val="tx1"/>
                  </w14:solidFill>
                </w14:textFill>
              </w:rPr>
              <w:t>40</w:t>
            </w:r>
            <w:r>
              <w:rPr>
                <w:rFonts w:hint="eastAsia" w:ascii="宋体" w:eastAsia="宋体" w:cs="宋体"/>
                <w:b/>
                <w:bCs/>
                <w:color w:val="000000" w:themeColor="text1"/>
                <w:sz w:val="21"/>
                <w:szCs w:val="21"/>
                <w14:textFill>
                  <w14:solidFill>
                    <w14:schemeClr w14:val="tx1"/>
                  </w14:solidFill>
                </w14:textFill>
              </w:rPr>
              <w:t>分）</w:t>
            </w:r>
          </w:p>
        </w:tc>
      </w:tr>
      <w:tr w14:paraId="4FF6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right w:val="single" w:color="auto" w:sz="4" w:space="0"/>
            </w:tcBorders>
            <w:vAlign w:val="center"/>
          </w:tcPr>
          <w:p w14:paraId="4F560ED0">
            <w:pPr>
              <w:pStyle w:val="46"/>
              <w:spacing w:line="360" w:lineRule="auto"/>
              <w:ind w:firstLine="0" w:firstLineChars="0"/>
              <w:jc w:val="center"/>
              <w:rPr>
                <w:rFonts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1</w:t>
            </w:r>
          </w:p>
        </w:tc>
        <w:tc>
          <w:tcPr>
            <w:tcW w:w="1609" w:type="dxa"/>
            <w:tcBorders>
              <w:top w:val="single" w:color="auto" w:sz="4" w:space="0"/>
              <w:left w:val="single" w:color="auto" w:sz="4" w:space="0"/>
              <w:right w:val="single" w:color="auto" w:sz="4" w:space="0"/>
            </w:tcBorders>
            <w:vAlign w:val="center"/>
          </w:tcPr>
          <w:p w14:paraId="1AB8C0EE">
            <w:pPr>
              <w:pStyle w:val="46"/>
              <w:spacing w:line="360" w:lineRule="auto"/>
              <w:ind w:firstLine="0" w:firstLineChars="0"/>
              <w:jc w:val="center"/>
              <w:rPr>
                <w:rFonts w:ascii="宋体" w:eastAsia="宋体" w:cs="宋体"/>
                <w:color w:val="000000" w:themeColor="text1"/>
                <w:sz w:val="21"/>
                <w:szCs w:val="21"/>
                <w:u w:val="none"/>
                <w14:textFill>
                  <w14:solidFill>
                    <w14:schemeClr w14:val="tx1"/>
                  </w14:solidFill>
                </w14:textFill>
              </w:rPr>
            </w:pPr>
            <w:r>
              <w:rPr>
                <w:rFonts w:hint="eastAsia" w:ascii="宋体" w:eastAsia="宋体" w:cs="宋体"/>
                <w:color w:val="000000" w:themeColor="text1"/>
                <w:sz w:val="21"/>
                <w:szCs w:val="21"/>
                <w:u w:val="none"/>
                <w14:textFill>
                  <w14:solidFill>
                    <w14:schemeClr w14:val="tx1"/>
                  </w14:solidFill>
                </w14:textFill>
              </w:rPr>
              <w:t>企业管理体系</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70370710">
            <w:pPr>
              <w:pStyle w:val="46"/>
              <w:spacing w:line="360" w:lineRule="auto"/>
              <w:ind w:firstLine="0" w:firstLineChars="0"/>
              <w:jc w:val="center"/>
              <w:rPr>
                <w:rFonts w:hint="eastAsia" w:ascii="宋体" w:eastAsia="宋体" w:cs="宋体"/>
                <w:color w:val="000000" w:themeColor="text1"/>
                <w:sz w:val="21"/>
                <w:szCs w:val="21"/>
                <w:u w:val="none"/>
                <w:lang w:val="en-US" w:eastAsia="zh-CN"/>
                <w14:textFill>
                  <w14:solidFill>
                    <w14:schemeClr w14:val="tx1"/>
                  </w14:solidFill>
                </w14:textFill>
              </w:rPr>
            </w:pPr>
            <w:r>
              <w:rPr>
                <w:rFonts w:hint="eastAsia" w:ascii="宋体" w:eastAsia="宋体" w:cs="宋体"/>
                <w:color w:val="000000" w:themeColor="text1"/>
                <w:sz w:val="21"/>
                <w:szCs w:val="21"/>
                <w:u w:val="none"/>
                <w:lang w:val="en-US" w:eastAsia="zh-CN"/>
                <w14:textFill>
                  <w14:solidFill>
                    <w14:schemeClr w14:val="tx1"/>
                  </w14:solidFill>
                </w14:textFill>
              </w:rPr>
              <w:t>3</w:t>
            </w:r>
          </w:p>
        </w:tc>
        <w:tc>
          <w:tcPr>
            <w:tcW w:w="5461" w:type="dxa"/>
            <w:tcBorders>
              <w:top w:val="single" w:color="auto" w:sz="4" w:space="0"/>
              <w:left w:val="single" w:color="auto" w:sz="4" w:space="0"/>
              <w:bottom w:val="single" w:color="auto" w:sz="4" w:space="0"/>
              <w:right w:val="single" w:color="auto" w:sz="4" w:space="0"/>
            </w:tcBorders>
            <w:vAlign w:val="center"/>
          </w:tcPr>
          <w:p w14:paraId="400F251E">
            <w:pPr>
              <w:pStyle w:val="46"/>
              <w:spacing w:line="360" w:lineRule="auto"/>
              <w:ind w:firstLine="420" w:firstLineChars="200"/>
              <w:rPr>
                <w:rFonts w:ascii="宋体" w:eastAsia="宋体" w:cs="宋体"/>
                <w:bCs/>
                <w:color w:val="000000" w:themeColor="text1"/>
                <w:sz w:val="21"/>
                <w:szCs w:val="21"/>
                <w:u w:val="none"/>
                <w14:textFill>
                  <w14:solidFill>
                    <w14:schemeClr w14:val="tx1"/>
                  </w14:solidFill>
                </w14:textFill>
              </w:rPr>
            </w:pPr>
            <w:r>
              <w:rPr>
                <w:rFonts w:hint="eastAsia" w:ascii="宋体" w:eastAsia="宋体" w:cs="宋体"/>
                <w:bCs/>
                <w:color w:val="000000" w:themeColor="text1"/>
                <w:sz w:val="21"/>
                <w:szCs w:val="21"/>
                <w:u w:val="none"/>
                <w14:textFill>
                  <w14:solidFill>
                    <w14:schemeClr w14:val="tx1"/>
                  </w14:solidFill>
                </w14:textFill>
              </w:rPr>
              <w:t>投标人具有由国家认证认可监督管理部门批准设立的认证机构颁发的有效期内认证证书：</w:t>
            </w:r>
          </w:p>
          <w:p w14:paraId="12FD8868">
            <w:pPr>
              <w:pStyle w:val="46"/>
              <w:spacing w:line="360" w:lineRule="auto"/>
              <w:ind w:firstLine="420" w:firstLineChars="200"/>
              <w:rPr>
                <w:rFonts w:ascii="宋体" w:eastAsia="宋体" w:cs="宋体"/>
                <w:bCs/>
                <w:color w:val="000000" w:themeColor="text1"/>
                <w:sz w:val="21"/>
                <w:szCs w:val="21"/>
                <w:u w:val="none"/>
                <w14:textFill>
                  <w14:solidFill>
                    <w14:schemeClr w14:val="tx1"/>
                  </w14:solidFill>
                </w14:textFill>
              </w:rPr>
            </w:pPr>
            <w:r>
              <w:rPr>
                <w:rFonts w:hint="eastAsia" w:ascii="宋体" w:eastAsia="宋体" w:cs="宋体"/>
                <w:bCs/>
                <w:color w:val="000000" w:themeColor="text1"/>
                <w:sz w:val="21"/>
                <w:szCs w:val="21"/>
                <w:u w:val="none"/>
                <w14:textFill>
                  <w14:solidFill>
                    <w14:schemeClr w14:val="tx1"/>
                  </w14:solidFill>
                </w14:textFill>
              </w:rPr>
              <w:t>①质量管理体系认证；</w:t>
            </w:r>
          </w:p>
          <w:p w14:paraId="7454451D">
            <w:pPr>
              <w:pStyle w:val="46"/>
              <w:spacing w:line="360" w:lineRule="auto"/>
              <w:ind w:firstLine="420" w:firstLineChars="200"/>
              <w:rPr>
                <w:rFonts w:ascii="宋体" w:eastAsia="宋体" w:cs="宋体"/>
                <w:bCs/>
                <w:color w:val="000000" w:themeColor="text1"/>
                <w:sz w:val="21"/>
                <w:szCs w:val="21"/>
                <w:u w:val="none"/>
                <w14:textFill>
                  <w14:solidFill>
                    <w14:schemeClr w14:val="tx1"/>
                  </w14:solidFill>
                </w14:textFill>
              </w:rPr>
            </w:pPr>
            <w:r>
              <w:rPr>
                <w:rFonts w:hint="eastAsia" w:ascii="宋体" w:eastAsia="宋体" w:cs="宋体"/>
                <w:bCs/>
                <w:color w:val="000000" w:themeColor="text1"/>
                <w:sz w:val="21"/>
                <w:szCs w:val="21"/>
                <w:u w:val="none"/>
                <w14:textFill>
                  <w14:solidFill>
                    <w14:schemeClr w14:val="tx1"/>
                  </w14:solidFill>
                </w14:textFill>
              </w:rPr>
              <w:t>②环境管理体系认证；</w:t>
            </w:r>
          </w:p>
          <w:p w14:paraId="0450B17E">
            <w:pPr>
              <w:pStyle w:val="46"/>
              <w:spacing w:line="360" w:lineRule="auto"/>
              <w:ind w:firstLine="420" w:firstLineChars="200"/>
              <w:rPr>
                <w:rFonts w:ascii="宋体" w:eastAsia="宋体" w:cs="宋体"/>
                <w:bCs/>
                <w:color w:val="000000" w:themeColor="text1"/>
                <w:sz w:val="21"/>
                <w:szCs w:val="21"/>
                <w:u w:val="none"/>
                <w14:textFill>
                  <w14:solidFill>
                    <w14:schemeClr w14:val="tx1"/>
                  </w14:solidFill>
                </w14:textFill>
              </w:rPr>
            </w:pPr>
            <w:r>
              <w:rPr>
                <w:rFonts w:hint="eastAsia" w:ascii="宋体" w:eastAsia="宋体" w:cs="宋体"/>
                <w:bCs/>
                <w:color w:val="000000" w:themeColor="text1"/>
                <w:sz w:val="21"/>
                <w:szCs w:val="21"/>
                <w:u w:val="none"/>
                <w14:textFill>
                  <w14:solidFill>
                    <w14:schemeClr w14:val="tx1"/>
                  </w14:solidFill>
                </w14:textFill>
              </w:rPr>
              <w:t>③职业健康安全管理体系认证；</w:t>
            </w:r>
          </w:p>
          <w:p w14:paraId="090FF34E">
            <w:pPr>
              <w:pStyle w:val="46"/>
              <w:spacing w:line="360" w:lineRule="auto"/>
              <w:ind w:firstLine="422" w:firstLineChars="200"/>
              <w:rPr>
                <w:rFonts w:ascii="宋体" w:eastAsia="宋体" w:cs="宋体"/>
                <w:bCs/>
                <w:color w:val="000000" w:themeColor="text1"/>
                <w:sz w:val="21"/>
                <w:szCs w:val="21"/>
                <w:u w:val="none"/>
                <w:lang w:val="zh-CN"/>
                <w14:textFill>
                  <w14:solidFill>
                    <w14:schemeClr w14:val="tx1"/>
                  </w14:solidFill>
                </w14:textFill>
              </w:rPr>
            </w:pPr>
            <w:r>
              <w:rPr>
                <w:rFonts w:hint="eastAsia" w:ascii="宋体" w:eastAsia="宋体" w:cs="宋体"/>
                <w:b/>
                <w:bCs w:val="0"/>
                <w:color w:val="000000" w:themeColor="text1"/>
                <w:sz w:val="21"/>
                <w:szCs w:val="21"/>
                <w:highlight w:val="none"/>
                <w:u w:val="none"/>
                <w:lang w:val="zh-CN"/>
                <w14:textFill>
                  <w14:solidFill>
                    <w14:schemeClr w14:val="tx1"/>
                  </w14:solidFill>
                </w14:textFill>
              </w:rPr>
              <w:t>注：投标人</w:t>
            </w:r>
            <w:r>
              <w:rPr>
                <w:rFonts w:hint="eastAsia" w:ascii="宋体" w:eastAsia="宋体" w:cs="宋体"/>
                <w:b/>
                <w:bCs w:val="0"/>
                <w:color w:val="000000" w:themeColor="text1"/>
                <w:sz w:val="21"/>
                <w:szCs w:val="21"/>
                <w:highlight w:val="none"/>
                <w:u w:val="none"/>
                <w:lang w:val="en-US" w:eastAsia="zh-CN"/>
                <w14:textFill>
                  <w14:solidFill>
                    <w14:schemeClr w14:val="tx1"/>
                  </w14:solidFill>
                </w14:textFill>
              </w:rPr>
              <w:t>(或</w:t>
            </w:r>
            <w:r>
              <w:rPr>
                <w:rFonts w:hint="eastAsia" w:ascii="宋体" w:eastAsia="宋体" w:cs="宋体"/>
                <w:b/>
                <w:bCs w:val="0"/>
                <w:color w:val="000000" w:themeColor="text1"/>
                <w:sz w:val="21"/>
                <w:szCs w:val="21"/>
                <w:highlight w:val="none"/>
                <w:u w:val="none"/>
                <w:lang w:val="zh-CN"/>
                <w14:textFill>
                  <w14:solidFill>
                    <w14:schemeClr w14:val="tx1"/>
                  </w14:solidFill>
                </w14:textFill>
              </w:rPr>
              <w:t>联合体任意一方</w:t>
            </w:r>
            <w:r>
              <w:rPr>
                <w:rFonts w:hint="eastAsia" w:ascii="宋体" w:eastAsia="宋体" w:cs="宋体"/>
                <w:b/>
                <w:bCs w:val="0"/>
                <w:color w:val="000000" w:themeColor="text1"/>
                <w:sz w:val="21"/>
                <w:szCs w:val="21"/>
                <w:highlight w:val="none"/>
                <w:u w:val="none"/>
                <w:lang w:val="en-US" w:eastAsia="zh-CN"/>
                <w14:textFill>
                  <w14:solidFill>
                    <w14:schemeClr w14:val="tx1"/>
                  </w14:solidFill>
                </w14:textFill>
              </w:rPr>
              <w:t>)</w:t>
            </w:r>
            <w:r>
              <w:rPr>
                <w:rFonts w:hint="eastAsia" w:ascii="宋体" w:eastAsia="宋体" w:cs="宋体"/>
                <w:b/>
                <w:bCs w:val="0"/>
                <w:color w:val="000000" w:themeColor="text1"/>
                <w:sz w:val="21"/>
                <w:szCs w:val="21"/>
                <w:highlight w:val="none"/>
                <w:u w:val="none"/>
                <w14:textFill>
                  <w14:solidFill>
                    <w14:schemeClr w14:val="tx1"/>
                  </w14:solidFill>
                </w14:textFill>
              </w:rPr>
              <w:t>每提供一项得</w:t>
            </w:r>
            <w:r>
              <w:rPr>
                <w:rFonts w:hint="eastAsia" w:ascii="宋体" w:eastAsia="宋体" w:cs="宋体"/>
                <w:b/>
                <w:bCs w:val="0"/>
                <w:color w:val="000000" w:themeColor="text1"/>
                <w:sz w:val="21"/>
                <w:szCs w:val="21"/>
                <w:highlight w:val="none"/>
                <w:u w:val="none"/>
                <w:lang w:val="en-US" w:eastAsia="zh-CN"/>
                <w14:textFill>
                  <w14:solidFill>
                    <w14:schemeClr w14:val="tx1"/>
                  </w14:solidFill>
                </w14:textFill>
              </w:rPr>
              <w:t>1</w:t>
            </w:r>
            <w:r>
              <w:rPr>
                <w:rFonts w:hint="eastAsia" w:ascii="宋体" w:eastAsia="宋体" w:cs="宋体"/>
                <w:b/>
                <w:bCs w:val="0"/>
                <w:color w:val="000000" w:themeColor="text1"/>
                <w:sz w:val="21"/>
                <w:szCs w:val="21"/>
                <w:highlight w:val="none"/>
                <w:u w:val="none"/>
                <w14:textFill>
                  <w14:solidFill>
                    <w14:schemeClr w14:val="tx1"/>
                  </w14:solidFill>
                </w14:textFill>
              </w:rPr>
              <w:t>分，本项最高得</w:t>
            </w:r>
            <w:r>
              <w:rPr>
                <w:rFonts w:hint="eastAsia" w:ascii="宋体" w:eastAsia="宋体" w:cs="宋体"/>
                <w:b/>
                <w:bCs w:val="0"/>
                <w:color w:val="000000" w:themeColor="text1"/>
                <w:sz w:val="21"/>
                <w:szCs w:val="21"/>
                <w:highlight w:val="none"/>
                <w:u w:val="none"/>
                <w:lang w:val="en-US" w:eastAsia="zh-CN"/>
                <w14:textFill>
                  <w14:solidFill>
                    <w14:schemeClr w14:val="tx1"/>
                  </w14:solidFill>
                </w14:textFill>
              </w:rPr>
              <w:t>3</w:t>
            </w:r>
            <w:r>
              <w:rPr>
                <w:rFonts w:hint="eastAsia" w:ascii="宋体" w:eastAsia="宋体" w:cs="宋体"/>
                <w:b/>
                <w:bCs w:val="0"/>
                <w:color w:val="000000" w:themeColor="text1"/>
                <w:sz w:val="21"/>
                <w:szCs w:val="21"/>
                <w:highlight w:val="none"/>
                <w:u w:val="none"/>
                <w14:textFill>
                  <w14:solidFill>
                    <w14:schemeClr w14:val="tx1"/>
                  </w14:solidFill>
                </w14:textFill>
              </w:rPr>
              <w:t>分</w:t>
            </w:r>
            <w:r>
              <w:rPr>
                <w:rFonts w:hint="eastAsia" w:ascii="宋体" w:eastAsia="宋体" w:cs="宋体"/>
                <w:b/>
                <w:bCs w:val="0"/>
                <w:color w:val="000000" w:themeColor="text1"/>
                <w:sz w:val="21"/>
                <w:szCs w:val="21"/>
                <w:highlight w:val="none"/>
                <w:u w:val="none"/>
                <w:lang w:val="en-US" w:eastAsia="zh-CN"/>
                <w14:textFill>
                  <w14:solidFill>
                    <w14:schemeClr w14:val="tx1"/>
                  </w14:solidFill>
                </w14:textFill>
              </w:rPr>
              <w:t>,</w:t>
            </w:r>
            <w:r>
              <w:rPr>
                <w:rFonts w:hint="eastAsia" w:ascii="宋体" w:eastAsia="宋体" w:cs="宋体"/>
                <w:b/>
                <w:bCs w:val="0"/>
                <w:color w:val="000000" w:themeColor="text1"/>
                <w:sz w:val="21"/>
                <w:szCs w:val="21"/>
                <w:highlight w:val="none"/>
                <w:u w:val="none"/>
                <w:lang w:val="zh-CN"/>
                <w14:textFill>
                  <w14:solidFill>
                    <w14:schemeClr w14:val="tx1"/>
                  </w14:solidFill>
                </w14:textFill>
              </w:rPr>
              <w:t>应提供上述有效证书复印件及能显示证书有效状态的全国认证认可信息公共服务平台（http://cx.cnca.cn/）查询结果凭证[凭证界面需显示有“全国认证认可信息公共服务平台”或“认证证书（需显示网址cx.cnca.cn）”]，否则不得分。</w:t>
            </w:r>
          </w:p>
        </w:tc>
      </w:tr>
      <w:tr w14:paraId="07D39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00CE4C7E">
            <w:pPr>
              <w:pStyle w:val="46"/>
              <w:spacing w:line="360" w:lineRule="auto"/>
              <w:ind w:firstLine="0" w:firstLineChars="0"/>
              <w:jc w:val="center"/>
              <w:rPr>
                <w:rFonts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2</w:t>
            </w:r>
          </w:p>
        </w:tc>
        <w:tc>
          <w:tcPr>
            <w:tcW w:w="1609" w:type="dxa"/>
            <w:tcBorders>
              <w:top w:val="single" w:color="auto" w:sz="4" w:space="0"/>
              <w:left w:val="single" w:color="auto" w:sz="4" w:space="0"/>
              <w:bottom w:val="single" w:color="auto" w:sz="4" w:space="0"/>
              <w:right w:val="single" w:color="auto" w:sz="4" w:space="0"/>
            </w:tcBorders>
            <w:vAlign w:val="center"/>
          </w:tcPr>
          <w:p w14:paraId="0E6FFD07">
            <w:pPr>
              <w:pStyle w:val="46"/>
              <w:spacing w:line="360" w:lineRule="auto"/>
              <w:ind w:firstLine="0" w:firstLineChars="0"/>
              <w:jc w:val="center"/>
              <w:rPr>
                <w:rFonts w:ascii="宋体" w:eastAsia="宋体" w:cs="宋体"/>
                <w:color w:val="000000" w:themeColor="text1"/>
                <w:sz w:val="21"/>
                <w:szCs w:val="21"/>
                <w:u w:val="none"/>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企业实力与信誉</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2B17B68D">
            <w:pPr>
              <w:pStyle w:val="46"/>
              <w:spacing w:line="360" w:lineRule="auto"/>
              <w:ind w:firstLine="0" w:firstLineChars="0"/>
              <w:jc w:val="center"/>
              <w:rPr>
                <w:rFonts w:hint="eastAsia" w:ascii="宋体" w:eastAsia="宋体" w:cs="宋体"/>
                <w:color w:val="000000" w:themeColor="text1"/>
                <w:sz w:val="21"/>
                <w:szCs w:val="21"/>
                <w:u w:val="none"/>
                <w:lang w:val="en-US" w:eastAsia="zh-CN"/>
                <w14:textFill>
                  <w14:solidFill>
                    <w14:schemeClr w14:val="tx1"/>
                  </w14:solidFill>
                </w14:textFill>
              </w:rPr>
            </w:pPr>
            <w:r>
              <w:rPr>
                <w:rFonts w:hint="eastAsia" w:ascii="宋体" w:eastAsia="宋体" w:cs="宋体"/>
                <w:color w:val="000000" w:themeColor="text1"/>
                <w:sz w:val="21"/>
                <w:szCs w:val="21"/>
                <w:u w:val="none"/>
                <w:lang w:val="en-US" w:eastAsia="zh-CN"/>
                <w14:textFill>
                  <w14:solidFill>
                    <w14:schemeClr w14:val="tx1"/>
                  </w14:solidFill>
                </w14:textFill>
              </w:rPr>
              <w:t>8</w:t>
            </w:r>
          </w:p>
        </w:tc>
        <w:tc>
          <w:tcPr>
            <w:tcW w:w="5461" w:type="dxa"/>
            <w:tcBorders>
              <w:top w:val="single" w:color="auto" w:sz="4" w:space="0"/>
              <w:left w:val="single" w:color="auto" w:sz="4" w:space="0"/>
              <w:bottom w:val="single" w:color="auto" w:sz="4" w:space="0"/>
              <w:right w:val="single" w:color="auto" w:sz="4" w:space="0"/>
            </w:tcBorders>
            <w:vAlign w:val="center"/>
          </w:tcPr>
          <w:p w14:paraId="04FE203C">
            <w:pPr>
              <w:pStyle w:val="46"/>
              <w:numPr>
                <w:ilvl w:val="-1"/>
                <w:numId w:val="0"/>
              </w:numPr>
              <w:spacing w:line="360" w:lineRule="auto"/>
              <w:ind w:firstLine="420" w:firstLineChars="200"/>
              <w:rPr>
                <w:rFonts w:hint="eastAsia" w:ascii="宋体" w:eastAsia="宋体" w:cs="宋体"/>
                <w:bCs/>
                <w:color w:val="000000" w:themeColor="text1"/>
                <w:sz w:val="21"/>
                <w:szCs w:val="21"/>
                <w:u w:val="none"/>
                <w14:textFill>
                  <w14:solidFill>
                    <w14:schemeClr w14:val="tx1"/>
                  </w14:solidFill>
                </w14:textFill>
              </w:rPr>
            </w:pPr>
            <w:r>
              <w:rPr>
                <w:rFonts w:hint="eastAsia" w:ascii="宋体" w:eastAsia="宋体" w:cs="宋体"/>
                <w:bCs/>
                <w:color w:val="000000" w:themeColor="text1"/>
                <w:sz w:val="21"/>
                <w:szCs w:val="21"/>
                <w:u w:val="none"/>
                <w14:textFill>
                  <w14:solidFill>
                    <w14:schemeClr w14:val="tx1"/>
                  </w14:solidFill>
                </w14:textFill>
              </w:rPr>
              <w:t>（1）投标人具有第三方信用服务机构出具的有效期内的企业信用等级AAA证书得1分，企业信用等级AA证书得0.5分，最多得1分；</w:t>
            </w:r>
          </w:p>
          <w:p w14:paraId="1511AADF">
            <w:pPr>
              <w:pStyle w:val="46"/>
              <w:spacing w:line="360" w:lineRule="auto"/>
              <w:ind w:firstLine="420" w:firstLineChars="200"/>
              <w:rPr>
                <w:rFonts w:hint="eastAsia" w:ascii="宋体" w:eastAsia="宋体" w:cs="宋体"/>
                <w:bCs/>
                <w:color w:val="000000" w:themeColor="text1"/>
                <w:sz w:val="21"/>
                <w:szCs w:val="21"/>
                <w:u w:val="none"/>
                <w14:textFill>
                  <w14:solidFill>
                    <w14:schemeClr w14:val="tx1"/>
                  </w14:solidFill>
                </w14:textFill>
              </w:rPr>
            </w:pPr>
            <w:r>
              <w:rPr>
                <w:rFonts w:hint="eastAsia" w:ascii="宋体" w:eastAsia="宋体" w:cs="宋体"/>
                <w:bCs/>
                <w:color w:val="000000" w:themeColor="text1"/>
                <w:sz w:val="21"/>
                <w:szCs w:val="21"/>
                <w:u w:val="none"/>
                <w14:textFill>
                  <w14:solidFill>
                    <w14:schemeClr w14:val="tx1"/>
                  </w14:solidFill>
                </w14:textFill>
              </w:rPr>
              <w:t>（2）投标人取得有效期内的CMM或CMMI3级认证的得1分，4级认证得2分，5级认证得4分，最多得4分；</w:t>
            </w:r>
          </w:p>
          <w:p w14:paraId="4609B8B7">
            <w:pPr>
              <w:pStyle w:val="46"/>
              <w:spacing w:line="360" w:lineRule="auto"/>
              <w:ind w:firstLine="420" w:firstLineChars="200"/>
              <w:rPr>
                <w:rFonts w:hint="eastAsia" w:ascii="宋体" w:eastAsia="宋体" w:cs="宋体"/>
                <w:bCs/>
                <w:color w:val="000000" w:themeColor="text1"/>
                <w:sz w:val="21"/>
                <w:szCs w:val="21"/>
                <w:u w:val="none"/>
                <w14:textFill>
                  <w14:solidFill>
                    <w14:schemeClr w14:val="tx1"/>
                  </w14:solidFill>
                </w14:textFill>
              </w:rPr>
            </w:pPr>
            <w:r>
              <w:rPr>
                <w:rFonts w:hint="eastAsia" w:ascii="宋体" w:eastAsia="宋体" w:cs="宋体"/>
                <w:bCs/>
                <w:color w:val="000000" w:themeColor="text1"/>
                <w:sz w:val="21"/>
                <w:szCs w:val="21"/>
                <w:u w:val="none"/>
                <w14:textFill>
                  <w14:solidFill>
                    <w14:schemeClr w14:val="tx1"/>
                  </w14:solidFill>
                </w14:textFill>
              </w:rPr>
              <w:t>（3）投标人具有</w:t>
            </w:r>
            <w:r>
              <w:rPr>
                <w:rFonts w:hint="eastAsia" w:ascii="宋体" w:eastAsia="宋体" w:cs="宋体"/>
                <w:bCs/>
                <w:color w:val="000000" w:themeColor="text1"/>
                <w:sz w:val="21"/>
                <w:szCs w:val="21"/>
                <w:u w:val="none"/>
                <w:lang w:val="en-US" w:eastAsia="zh-CN"/>
                <w14:textFill>
                  <w14:solidFill>
                    <w14:schemeClr w14:val="tx1"/>
                  </w14:solidFill>
                </w14:textFill>
              </w:rPr>
              <w:t>安全</w:t>
            </w:r>
            <w:r>
              <w:rPr>
                <w:rFonts w:hint="eastAsia" w:ascii="宋体" w:eastAsia="宋体" w:cs="宋体"/>
                <w:bCs/>
                <w:color w:val="000000" w:themeColor="text1"/>
                <w:sz w:val="21"/>
                <w:szCs w:val="21"/>
                <w:u w:val="none"/>
                <w14:textFill>
                  <w14:solidFill>
                    <w14:schemeClr w14:val="tx1"/>
                  </w14:solidFill>
                </w14:textFill>
              </w:rPr>
              <w:t>管理系统相关计算机软件著作权登记证书，每提供1个证书得1分，最多得3分。</w:t>
            </w:r>
          </w:p>
          <w:p w14:paraId="77722652">
            <w:pPr>
              <w:pStyle w:val="46"/>
              <w:spacing w:line="360" w:lineRule="auto"/>
              <w:ind w:firstLine="422" w:firstLineChars="200"/>
              <w:rPr>
                <w:rFonts w:hint="eastAsia" w:ascii="宋体" w:eastAsia="宋体" w:cs="宋体"/>
                <w:bCs/>
                <w:color w:val="000000" w:themeColor="text1"/>
                <w:sz w:val="21"/>
                <w:szCs w:val="21"/>
                <w:u w:val="none"/>
                <w14:textFill>
                  <w14:solidFill>
                    <w14:schemeClr w14:val="tx1"/>
                  </w14:solidFill>
                </w14:textFill>
              </w:rPr>
            </w:pPr>
            <w:r>
              <w:rPr>
                <w:rFonts w:hint="eastAsia" w:ascii="宋体" w:eastAsia="宋体" w:cs="宋体"/>
                <w:b/>
                <w:bCs w:val="0"/>
                <w:color w:val="000000" w:themeColor="text1"/>
                <w:sz w:val="21"/>
                <w:szCs w:val="21"/>
                <w:u w:val="none"/>
                <w14:textFill>
                  <w14:solidFill>
                    <w14:schemeClr w14:val="tx1"/>
                  </w14:solidFill>
                </w14:textFill>
              </w:rPr>
              <w:t>注：提供上述投标人有效期内的证书复印件并加盖投标人公章，否则不得分。</w:t>
            </w:r>
          </w:p>
        </w:tc>
      </w:tr>
      <w:tr w14:paraId="5303F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4552DCB9">
            <w:pPr>
              <w:pStyle w:val="46"/>
              <w:spacing w:line="360" w:lineRule="auto"/>
              <w:ind w:firstLine="0" w:firstLineChars="0"/>
              <w:jc w:val="center"/>
              <w:rPr>
                <w:rFonts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3</w:t>
            </w:r>
          </w:p>
        </w:tc>
        <w:tc>
          <w:tcPr>
            <w:tcW w:w="1609" w:type="dxa"/>
            <w:tcBorders>
              <w:top w:val="single" w:color="auto" w:sz="4" w:space="0"/>
              <w:left w:val="single" w:color="auto" w:sz="4" w:space="0"/>
              <w:bottom w:val="single" w:color="auto" w:sz="4" w:space="0"/>
              <w:right w:val="single" w:color="auto" w:sz="4" w:space="0"/>
            </w:tcBorders>
            <w:vAlign w:val="center"/>
          </w:tcPr>
          <w:p w14:paraId="608216F7">
            <w:pPr>
              <w:pStyle w:val="46"/>
              <w:spacing w:line="360" w:lineRule="auto"/>
              <w:ind w:firstLine="0" w:firstLineChars="0"/>
              <w:jc w:val="center"/>
              <w:rPr>
                <w:rFonts w:ascii="宋体" w:eastAsia="宋体" w:cs="宋体"/>
                <w:color w:val="000000" w:themeColor="text1"/>
                <w:sz w:val="21"/>
                <w:szCs w:val="21"/>
                <w:u w:val="none"/>
                <w14:textFill>
                  <w14:solidFill>
                    <w14:schemeClr w14:val="tx1"/>
                  </w14:solidFill>
                </w14:textFill>
              </w:rPr>
            </w:pPr>
            <w:r>
              <w:rPr>
                <w:rFonts w:hint="eastAsia" w:ascii="宋体" w:eastAsia="宋体" w:cs="宋体"/>
                <w:color w:val="000000" w:themeColor="text1"/>
                <w:sz w:val="21"/>
                <w:szCs w:val="21"/>
                <w:u w:val="none"/>
                <w14:textFill>
                  <w14:solidFill>
                    <w14:schemeClr w14:val="tx1"/>
                  </w14:solidFill>
                </w14:textFill>
              </w:rPr>
              <w:t>业绩</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77FE9D71">
            <w:pPr>
              <w:pStyle w:val="46"/>
              <w:spacing w:line="360" w:lineRule="auto"/>
              <w:ind w:firstLine="0" w:firstLineChars="0"/>
              <w:jc w:val="center"/>
              <w:rPr>
                <w:rFonts w:hint="default"/>
                <w:color w:val="000000" w:themeColor="text1"/>
                <w:u w:val="none"/>
                <w:lang w:val="en-US"/>
                <w14:textFill>
                  <w14:solidFill>
                    <w14:schemeClr w14:val="tx1"/>
                  </w14:solidFill>
                </w14:textFill>
              </w:rPr>
            </w:pPr>
            <w:r>
              <w:rPr>
                <w:rFonts w:hint="eastAsia" w:ascii="宋体" w:eastAsia="宋体" w:cs="宋体"/>
                <w:color w:val="000000" w:themeColor="text1"/>
                <w:sz w:val="21"/>
                <w:szCs w:val="21"/>
                <w:u w:val="none"/>
                <w:lang w:val="en-US" w:eastAsia="zh-CN"/>
                <w14:textFill>
                  <w14:solidFill>
                    <w14:schemeClr w14:val="tx1"/>
                  </w14:solidFill>
                </w14:textFill>
              </w:rPr>
              <w:t>15</w:t>
            </w:r>
          </w:p>
        </w:tc>
        <w:tc>
          <w:tcPr>
            <w:tcW w:w="5461" w:type="dxa"/>
            <w:tcBorders>
              <w:top w:val="single" w:color="auto" w:sz="4" w:space="0"/>
              <w:left w:val="single" w:color="auto" w:sz="4" w:space="0"/>
              <w:bottom w:val="single" w:color="auto" w:sz="4" w:space="0"/>
              <w:right w:val="single" w:color="auto" w:sz="4" w:space="0"/>
            </w:tcBorders>
            <w:vAlign w:val="center"/>
          </w:tcPr>
          <w:p w14:paraId="5C9EFDB1">
            <w:pPr>
              <w:pStyle w:val="46"/>
              <w:spacing w:line="360" w:lineRule="auto"/>
              <w:ind w:firstLine="420" w:firstLineChars="200"/>
              <w:rPr>
                <w:rFonts w:ascii="宋体" w:eastAsia="宋体" w:cs="宋体"/>
                <w:bCs/>
                <w:color w:val="000000" w:themeColor="text1"/>
                <w:sz w:val="21"/>
                <w:szCs w:val="21"/>
                <w:highlight w:val="none"/>
                <w:u w:val="none"/>
                <w14:textFill>
                  <w14:solidFill>
                    <w14:schemeClr w14:val="tx1"/>
                  </w14:solidFill>
                </w14:textFill>
              </w:rPr>
            </w:pPr>
            <w:r>
              <w:rPr>
                <w:rFonts w:hint="eastAsia" w:ascii="宋体" w:eastAsia="宋体" w:cs="宋体"/>
                <w:bCs/>
                <w:color w:val="000000" w:themeColor="text1"/>
                <w:sz w:val="21"/>
                <w:szCs w:val="21"/>
                <w:highlight w:val="none"/>
                <w:u w:val="none"/>
                <w14:textFill>
                  <w14:solidFill>
                    <w14:schemeClr w14:val="tx1"/>
                  </w14:solidFill>
                </w14:textFill>
              </w:rPr>
              <w:t>根据投标人完成的</w:t>
            </w:r>
            <w: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t>安全信息化</w:t>
            </w:r>
            <w:r>
              <w:rPr>
                <w:rFonts w:hint="eastAsia" w:ascii="宋体" w:eastAsia="宋体" w:cs="宋体"/>
                <w:bCs/>
                <w:color w:val="000000" w:themeColor="text1"/>
                <w:sz w:val="21"/>
                <w:szCs w:val="21"/>
                <w:highlight w:val="none"/>
                <w:u w:val="none"/>
                <w14:textFill>
                  <w14:solidFill>
                    <w14:schemeClr w14:val="tx1"/>
                  </w14:solidFill>
                </w14:textFill>
              </w:rPr>
              <w:t>项目业绩进行评审，每提供一个得</w:t>
            </w:r>
            <w:r>
              <w:rPr>
                <w:rFonts w:hint="eastAsia" w:ascii="宋体" w:eastAsia="宋体" w:cs="宋体"/>
                <w:bCs/>
                <w:color w:val="000000" w:themeColor="text1"/>
                <w:sz w:val="21"/>
                <w:szCs w:val="21"/>
                <w:highlight w:val="none"/>
                <w:u w:val="none"/>
                <w:lang w:val="en-US" w:eastAsia="zh-CN"/>
                <w14:textFill>
                  <w14:solidFill>
                    <w14:schemeClr w14:val="tx1"/>
                  </w14:solidFill>
                </w14:textFill>
              </w:rPr>
              <w:t>3</w:t>
            </w:r>
            <w:r>
              <w:rPr>
                <w:rFonts w:hint="eastAsia" w:ascii="宋体" w:eastAsia="宋体" w:cs="宋体"/>
                <w:bCs/>
                <w:color w:val="000000" w:themeColor="text1"/>
                <w:sz w:val="21"/>
                <w:szCs w:val="21"/>
                <w:highlight w:val="none"/>
                <w:u w:val="none"/>
                <w14:textFill>
                  <w14:solidFill>
                    <w14:schemeClr w14:val="tx1"/>
                  </w14:solidFill>
                </w14:textFill>
              </w:rPr>
              <w:t>分，本项最高得</w:t>
            </w:r>
            <w:r>
              <w:rPr>
                <w:rFonts w:hint="eastAsia" w:ascii="宋体" w:eastAsia="宋体" w:cs="宋体"/>
                <w:bCs/>
                <w:color w:val="000000" w:themeColor="text1"/>
                <w:sz w:val="21"/>
                <w:szCs w:val="21"/>
                <w:highlight w:val="none"/>
                <w:u w:val="none"/>
                <w:lang w:val="en-US" w:eastAsia="zh-CN"/>
                <w14:textFill>
                  <w14:solidFill>
                    <w14:schemeClr w14:val="tx1"/>
                  </w14:solidFill>
                </w14:textFill>
              </w:rPr>
              <w:t>15</w:t>
            </w:r>
            <w:r>
              <w:rPr>
                <w:rFonts w:hint="eastAsia" w:ascii="宋体" w:eastAsia="宋体" w:cs="宋体"/>
                <w:bCs/>
                <w:color w:val="000000" w:themeColor="text1"/>
                <w:sz w:val="21"/>
                <w:szCs w:val="21"/>
                <w:highlight w:val="none"/>
                <w:u w:val="none"/>
                <w14:textFill>
                  <w14:solidFill>
                    <w14:schemeClr w14:val="tx1"/>
                  </w14:solidFill>
                </w14:textFill>
              </w:rPr>
              <w:t>分。</w:t>
            </w:r>
          </w:p>
          <w:p w14:paraId="3C4FF577">
            <w:pPr>
              <w:pStyle w:val="46"/>
              <w:spacing w:line="360" w:lineRule="auto"/>
              <w:ind w:firstLine="422" w:firstLineChars="200"/>
              <w:rPr>
                <w:rFonts w:ascii="宋体" w:eastAsia="宋体" w:cs="宋体"/>
                <w:bCs/>
                <w:color w:val="000000" w:themeColor="text1"/>
                <w:sz w:val="21"/>
                <w:szCs w:val="21"/>
                <w:u w:val="none"/>
                <w:lang w:val="zh-CN"/>
                <w14:textFill>
                  <w14:solidFill>
                    <w14:schemeClr w14:val="tx1"/>
                  </w14:solidFill>
                </w14:textFill>
              </w:rPr>
            </w:pPr>
            <w:r>
              <w:rPr>
                <w:rFonts w:hint="eastAsia" w:ascii="宋体" w:eastAsia="宋体" w:cs="宋体"/>
                <w:b/>
                <w:color w:val="000000" w:themeColor="text1"/>
                <w:sz w:val="21"/>
                <w:szCs w:val="21"/>
                <w:highlight w:val="none"/>
                <w:u w:val="none"/>
                <w:lang w:val="zh-CN"/>
                <w14:textFill>
                  <w14:solidFill>
                    <w14:schemeClr w14:val="tx1"/>
                  </w14:solidFill>
                </w14:textFill>
              </w:rPr>
              <w:t>注：①须提供合同</w:t>
            </w:r>
            <w:r>
              <w:rPr>
                <w:rFonts w:hint="eastAsia" w:ascii="宋体" w:eastAsia="宋体" w:cs="宋体"/>
                <w:b/>
                <w:color w:val="000000" w:themeColor="text1"/>
                <w:sz w:val="21"/>
                <w:szCs w:val="21"/>
                <w:highlight w:val="none"/>
                <w:u w:val="none"/>
                <w14:textFill>
                  <w14:solidFill>
                    <w14:schemeClr w14:val="tx1"/>
                  </w14:solidFill>
                </w14:textFill>
              </w:rPr>
              <w:t>关键页</w:t>
            </w:r>
            <w:r>
              <w:rPr>
                <w:rFonts w:hint="eastAsia" w:ascii="宋体" w:eastAsia="宋体" w:cs="宋体"/>
                <w:b/>
                <w:color w:val="000000" w:themeColor="text1"/>
                <w:sz w:val="21"/>
                <w:szCs w:val="21"/>
                <w:highlight w:val="none"/>
                <w:u w:val="none"/>
                <w:lang w:val="zh-CN"/>
                <w14:textFill>
                  <w14:solidFill>
                    <w14:schemeClr w14:val="tx1"/>
                  </w14:solidFill>
                </w14:textFill>
              </w:rPr>
              <w:t>复印件（包含但不限于合同首页、合同金额页、合同签字页等）加盖投标人公章，日期以合同签订时间为准；②</w:t>
            </w:r>
            <w:r>
              <w:rPr>
                <w:rFonts w:hint="eastAsia" w:ascii="宋体" w:eastAsia="宋体" w:cs="宋体"/>
                <w:b/>
                <w:color w:val="000000" w:themeColor="text1"/>
                <w:sz w:val="21"/>
                <w:szCs w:val="21"/>
                <w:highlight w:val="none"/>
                <w:u w:val="none"/>
                <w14:textFill>
                  <w14:solidFill>
                    <w14:schemeClr w14:val="tx1"/>
                  </w14:solidFill>
                </w14:textFill>
              </w:rPr>
              <w:t>该合同期内任意一期</w:t>
            </w:r>
            <w:r>
              <w:rPr>
                <w:rFonts w:hint="eastAsia" w:ascii="宋体" w:eastAsia="宋体" w:cs="宋体"/>
                <w:b/>
                <w:color w:val="000000" w:themeColor="text1"/>
                <w:sz w:val="21"/>
                <w:szCs w:val="21"/>
                <w:highlight w:val="none"/>
                <w:u w:val="none"/>
                <w:lang w:val="zh-CN"/>
                <w14:textFill>
                  <w14:solidFill>
                    <w14:schemeClr w14:val="tx1"/>
                  </w14:solidFill>
                </w14:textFill>
              </w:rPr>
              <w:t>发票</w:t>
            </w:r>
            <w:r>
              <w:rPr>
                <w:rFonts w:hint="eastAsia" w:ascii="宋体" w:eastAsia="宋体" w:cs="宋体"/>
                <w:b/>
                <w:color w:val="000000" w:themeColor="text1"/>
                <w:sz w:val="21"/>
                <w:szCs w:val="21"/>
                <w:highlight w:val="none"/>
                <w:u w:val="none"/>
                <w14:textFill>
                  <w14:solidFill>
                    <w14:schemeClr w14:val="tx1"/>
                  </w14:solidFill>
                </w14:textFill>
              </w:rPr>
              <w:t>复印件并加盖投标人公章</w:t>
            </w:r>
            <w:r>
              <w:rPr>
                <w:rFonts w:hint="eastAsia" w:ascii="宋体" w:eastAsia="宋体" w:cs="宋体"/>
                <w:b/>
                <w:color w:val="000000" w:themeColor="text1"/>
                <w:sz w:val="21"/>
                <w:szCs w:val="21"/>
                <w:highlight w:val="none"/>
                <w:u w:val="none"/>
                <w:lang w:val="zh-CN"/>
                <w14:textFill>
                  <w14:solidFill>
                    <w14:schemeClr w14:val="tx1"/>
                  </w14:solidFill>
                </w14:textFill>
              </w:rPr>
              <w:t>。</w:t>
            </w:r>
          </w:p>
        </w:tc>
      </w:tr>
      <w:tr w14:paraId="33C70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jc w:val="center"/>
        </w:trPr>
        <w:tc>
          <w:tcPr>
            <w:tcW w:w="690" w:type="dxa"/>
            <w:vMerge w:val="restart"/>
            <w:tcBorders>
              <w:top w:val="single" w:color="auto" w:sz="4" w:space="0"/>
              <w:left w:val="single" w:color="auto" w:sz="4" w:space="0"/>
              <w:right w:val="single" w:color="auto" w:sz="4" w:space="0"/>
            </w:tcBorders>
            <w:vAlign w:val="center"/>
          </w:tcPr>
          <w:p w14:paraId="6D043199">
            <w:pPr>
              <w:pStyle w:val="46"/>
              <w:spacing w:line="360" w:lineRule="auto"/>
              <w:ind w:firstLine="0" w:firstLineChars="0"/>
              <w:jc w:val="center"/>
              <w:rPr>
                <w:rFonts w:hint="eastAsia" w:ascii="宋体" w:eastAsia="宋体" w:cs="宋体"/>
                <w:color w:val="000000" w:themeColor="text1"/>
                <w:sz w:val="21"/>
                <w:szCs w:val="21"/>
                <w:lang w:eastAsia="zh-CN"/>
                <w14:textFill>
                  <w14:solidFill>
                    <w14:schemeClr w14:val="tx1"/>
                  </w14:solidFill>
                </w14:textFill>
              </w:rPr>
            </w:pPr>
            <w:r>
              <w:rPr>
                <w:rFonts w:hint="eastAsia" w:ascii="宋体" w:eastAsia="宋体" w:cs="宋体"/>
                <w:color w:val="000000" w:themeColor="text1"/>
                <w:sz w:val="21"/>
                <w:szCs w:val="21"/>
                <w:lang w:val="en-US" w:eastAsia="zh-CN"/>
                <w14:textFill>
                  <w14:solidFill>
                    <w14:schemeClr w14:val="tx1"/>
                  </w14:solidFill>
                </w14:textFill>
              </w:rPr>
              <w:t>4</w:t>
            </w:r>
          </w:p>
        </w:tc>
        <w:tc>
          <w:tcPr>
            <w:tcW w:w="1609" w:type="dxa"/>
            <w:vMerge w:val="restart"/>
            <w:tcBorders>
              <w:top w:val="single" w:color="auto" w:sz="4" w:space="0"/>
              <w:left w:val="single" w:color="auto" w:sz="4" w:space="0"/>
              <w:right w:val="single" w:color="auto" w:sz="4" w:space="0"/>
            </w:tcBorders>
            <w:vAlign w:val="center"/>
          </w:tcPr>
          <w:p w14:paraId="6A5EDAD9">
            <w:pPr>
              <w:pStyle w:val="46"/>
              <w:spacing w:line="360" w:lineRule="auto"/>
              <w:ind w:firstLine="0" w:firstLineChars="0"/>
              <w:jc w:val="center"/>
              <w:rPr>
                <w:rFonts w:ascii="宋体" w:eastAsia="宋体" w:cs="宋体"/>
                <w:color w:val="000000" w:themeColor="text1"/>
                <w:sz w:val="21"/>
                <w:szCs w:val="21"/>
                <w:u w:val="none"/>
                <w14:textFill>
                  <w14:solidFill>
                    <w14:schemeClr w14:val="tx1"/>
                  </w14:solidFill>
                </w14:textFill>
              </w:rPr>
            </w:pPr>
            <w:r>
              <w:rPr>
                <w:rFonts w:hint="eastAsia" w:ascii="宋体" w:eastAsia="宋体" w:cs="宋体"/>
                <w:color w:val="000000" w:themeColor="text1"/>
                <w:sz w:val="21"/>
                <w:szCs w:val="21"/>
                <w:u w:val="none"/>
                <w14:textFill>
                  <w14:solidFill>
                    <w14:schemeClr w14:val="tx1"/>
                  </w14:solidFill>
                </w14:textFill>
              </w:rPr>
              <w:t>人员要求</w:t>
            </w:r>
          </w:p>
        </w:tc>
        <w:tc>
          <w:tcPr>
            <w:tcW w:w="762" w:type="dxa"/>
            <w:gridSpan w:val="2"/>
            <w:tcBorders>
              <w:top w:val="single" w:color="auto" w:sz="4" w:space="0"/>
              <w:left w:val="single" w:color="auto" w:sz="4" w:space="0"/>
              <w:right w:val="single" w:color="auto" w:sz="4" w:space="0"/>
            </w:tcBorders>
            <w:vAlign w:val="center"/>
          </w:tcPr>
          <w:p w14:paraId="1354EB7A">
            <w:pPr>
              <w:pStyle w:val="46"/>
              <w:spacing w:line="360" w:lineRule="auto"/>
              <w:ind w:firstLine="0" w:firstLineChars="0"/>
              <w:jc w:val="center"/>
              <w:rPr>
                <w:rFonts w:hint="default" w:ascii="宋体" w:eastAsia="宋体" w:cs="宋体"/>
                <w:color w:val="000000" w:themeColor="text1"/>
                <w:sz w:val="21"/>
                <w:szCs w:val="21"/>
                <w:u w:val="none"/>
                <w:lang w:val="en-US" w:eastAsia="zh-CN"/>
                <w14:textFill>
                  <w14:solidFill>
                    <w14:schemeClr w14:val="tx1"/>
                  </w14:solidFill>
                </w14:textFill>
              </w:rPr>
            </w:pPr>
            <w:r>
              <w:rPr>
                <w:rFonts w:hint="eastAsia" w:ascii="宋体" w:eastAsia="宋体" w:cs="宋体"/>
                <w:color w:val="000000" w:themeColor="text1"/>
                <w:sz w:val="21"/>
                <w:szCs w:val="21"/>
                <w:u w:val="none"/>
                <w:lang w:val="en-US" w:eastAsia="zh-CN"/>
                <w14:textFill>
                  <w14:solidFill>
                    <w14:schemeClr w14:val="tx1"/>
                  </w14:solidFill>
                </w14:textFill>
              </w:rPr>
              <w:t>8</w:t>
            </w:r>
          </w:p>
        </w:tc>
        <w:tc>
          <w:tcPr>
            <w:tcW w:w="5461" w:type="dxa"/>
            <w:tcBorders>
              <w:top w:val="single" w:color="auto" w:sz="4" w:space="0"/>
              <w:left w:val="single" w:color="auto" w:sz="4" w:space="0"/>
              <w:bottom w:val="single" w:color="auto" w:sz="4" w:space="0"/>
              <w:right w:val="single" w:color="auto" w:sz="4" w:space="0"/>
            </w:tcBorders>
            <w:vAlign w:val="center"/>
          </w:tcPr>
          <w:p w14:paraId="6F8BC850">
            <w:pPr>
              <w:pStyle w:val="46"/>
              <w:spacing w:line="360" w:lineRule="auto"/>
              <w:ind w:firstLine="420" w:firstLineChars="200"/>
              <w:rPr>
                <w:rFonts w:hint="eastAsia" w:ascii="宋体" w:eastAsia="宋体" w:cs="宋体"/>
                <w:color w:val="000000" w:themeColor="text1"/>
                <w:sz w:val="21"/>
                <w:szCs w:val="21"/>
                <w:u w:val="none"/>
                <w14:textFill>
                  <w14:solidFill>
                    <w14:schemeClr w14:val="tx1"/>
                  </w14:solidFill>
                </w14:textFill>
              </w:rPr>
            </w:pPr>
            <w:r>
              <w:rPr>
                <w:rFonts w:hint="eastAsia" w:ascii="宋体" w:eastAsia="宋体" w:cs="宋体"/>
                <w:color w:val="000000" w:themeColor="text1"/>
                <w:sz w:val="21"/>
                <w:szCs w:val="21"/>
                <w:u w:val="none"/>
                <w14:textFill>
                  <w14:solidFill>
                    <w14:schemeClr w14:val="tx1"/>
                  </w14:solidFill>
                </w14:textFill>
              </w:rPr>
              <w:t>项目负责人：</w:t>
            </w:r>
          </w:p>
          <w:p w14:paraId="26AE2C2D">
            <w:pPr>
              <w:pStyle w:val="46"/>
              <w:spacing w:line="360" w:lineRule="auto"/>
              <w:ind w:firstLine="420" w:firstLineChars="200"/>
              <w:rPr>
                <w:rFonts w:hint="eastAsia" w:ascii="宋体" w:eastAsia="宋体" w:cs="宋体"/>
                <w:color w:val="000000" w:themeColor="text1"/>
                <w:sz w:val="21"/>
                <w:szCs w:val="21"/>
                <w:u w:val="none"/>
                <w14:textFill>
                  <w14:solidFill>
                    <w14:schemeClr w14:val="tx1"/>
                  </w14:solidFill>
                </w14:textFill>
              </w:rPr>
            </w:pPr>
            <w:r>
              <w:rPr>
                <w:rFonts w:hint="eastAsia" w:ascii="宋体" w:eastAsia="宋体" w:cs="宋体"/>
                <w:color w:val="000000" w:themeColor="text1"/>
                <w:sz w:val="21"/>
                <w:szCs w:val="21"/>
                <w:u w:val="none"/>
                <w14:textFill>
                  <w14:solidFill>
                    <w14:schemeClr w14:val="tx1"/>
                  </w14:solidFill>
                </w14:textFill>
              </w:rPr>
              <w:t>（1）项目经理有PMP证书或计算机技术与软件专业技术资格信息系统项目管理师高级证书，得</w:t>
            </w:r>
            <w:r>
              <w:rPr>
                <w:rFonts w:hint="eastAsia" w:ascii="宋体" w:eastAsia="宋体" w:cs="宋体"/>
                <w:color w:val="000000" w:themeColor="text1"/>
                <w:sz w:val="21"/>
                <w:szCs w:val="21"/>
                <w:u w:val="none"/>
                <w:lang w:val="en-US" w:eastAsia="zh-CN"/>
                <w14:textFill>
                  <w14:solidFill>
                    <w14:schemeClr w14:val="tx1"/>
                  </w14:solidFill>
                </w14:textFill>
              </w:rPr>
              <w:t>2</w:t>
            </w:r>
            <w:r>
              <w:rPr>
                <w:rFonts w:hint="eastAsia" w:ascii="宋体" w:eastAsia="宋体" w:cs="宋体"/>
                <w:color w:val="000000" w:themeColor="text1"/>
                <w:sz w:val="21"/>
                <w:szCs w:val="21"/>
                <w:u w:val="none"/>
                <w14:textFill>
                  <w14:solidFill>
                    <w14:schemeClr w14:val="tx1"/>
                  </w14:solidFill>
                </w14:textFill>
              </w:rPr>
              <w:t>分；</w:t>
            </w:r>
          </w:p>
          <w:p w14:paraId="10E7F461">
            <w:pPr>
              <w:pStyle w:val="46"/>
              <w:spacing w:line="360" w:lineRule="auto"/>
              <w:ind w:firstLine="420" w:firstLineChars="200"/>
              <w:rPr>
                <w:rFonts w:hint="eastAsia" w:ascii="宋体" w:eastAsia="宋体" w:cs="宋体"/>
                <w:color w:val="000000" w:themeColor="text1"/>
                <w:sz w:val="21"/>
                <w:szCs w:val="21"/>
                <w:u w:val="none"/>
                <w14:textFill>
                  <w14:solidFill>
                    <w14:schemeClr w14:val="tx1"/>
                  </w14:solidFill>
                </w14:textFill>
              </w:rPr>
            </w:pPr>
            <w:r>
              <w:rPr>
                <w:rFonts w:hint="eastAsia" w:ascii="宋体" w:eastAsia="宋体" w:cs="宋体"/>
                <w:color w:val="000000" w:themeColor="text1"/>
                <w:sz w:val="21"/>
                <w:szCs w:val="21"/>
                <w:u w:val="none"/>
                <w14:textFill>
                  <w14:solidFill>
                    <w14:schemeClr w14:val="tx1"/>
                  </w14:solidFill>
                </w14:textFill>
              </w:rPr>
              <w:t>（2）项目经理自2021年1月1日（以合同（或协议书）签订时间为准）至投标截止日前作为项目经理完成过的</w:t>
            </w:r>
            <w: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t>安全信息化</w:t>
            </w:r>
            <w:r>
              <w:rPr>
                <w:rFonts w:hint="eastAsia" w:ascii="宋体" w:eastAsia="宋体" w:cs="宋体"/>
                <w:bCs/>
                <w:color w:val="000000" w:themeColor="text1"/>
                <w:sz w:val="21"/>
                <w:szCs w:val="21"/>
                <w:highlight w:val="none"/>
                <w:u w:val="none"/>
                <w14:textFill>
                  <w14:solidFill>
                    <w14:schemeClr w14:val="tx1"/>
                  </w14:solidFill>
                </w14:textFill>
              </w:rPr>
              <w:t>项目</w:t>
            </w:r>
            <w:r>
              <w:rPr>
                <w:rFonts w:hint="eastAsia" w:ascii="宋体" w:eastAsia="宋体" w:cs="宋体"/>
                <w:color w:val="000000" w:themeColor="text1"/>
                <w:sz w:val="21"/>
                <w:szCs w:val="21"/>
                <w:u w:val="none"/>
                <w14:textFill>
                  <w14:solidFill>
                    <w14:schemeClr w14:val="tx1"/>
                  </w14:solidFill>
                </w14:textFill>
              </w:rPr>
              <w:t>的，每提供1个业绩得</w:t>
            </w:r>
            <w:r>
              <w:rPr>
                <w:rFonts w:hint="eastAsia" w:ascii="宋体" w:eastAsia="宋体" w:cs="宋体"/>
                <w:color w:val="000000" w:themeColor="text1"/>
                <w:sz w:val="21"/>
                <w:szCs w:val="21"/>
                <w:u w:val="none"/>
                <w:lang w:val="en-US" w:eastAsia="zh-CN"/>
                <w14:textFill>
                  <w14:solidFill>
                    <w14:schemeClr w14:val="tx1"/>
                  </w14:solidFill>
                </w14:textFill>
              </w:rPr>
              <w:t>2</w:t>
            </w:r>
            <w:r>
              <w:rPr>
                <w:rFonts w:hint="eastAsia" w:ascii="宋体" w:eastAsia="宋体" w:cs="宋体"/>
                <w:color w:val="000000" w:themeColor="text1"/>
                <w:sz w:val="21"/>
                <w:szCs w:val="21"/>
                <w:u w:val="none"/>
                <w14:textFill>
                  <w14:solidFill>
                    <w14:schemeClr w14:val="tx1"/>
                  </w14:solidFill>
                </w14:textFill>
              </w:rPr>
              <w:t>分，最多得</w:t>
            </w:r>
            <w:r>
              <w:rPr>
                <w:rFonts w:hint="eastAsia" w:ascii="宋体" w:eastAsia="宋体" w:cs="宋体"/>
                <w:color w:val="000000" w:themeColor="text1"/>
                <w:sz w:val="21"/>
                <w:szCs w:val="21"/>
                <w:u w:val="none"/>
                <w:lang w:val="en-US" w:eastAsia="zh-CN"/>
                <w14:textFill>
                  <w14:solidFill>
                    <w14:schemeClr w14:val="tx1"/>
                  </w14:solidFill>
                </w14:textFill>
              </w:rPr>
              <w:t>6</w:t>
            </w:r>
            <w:r>
              <w:rPr>
                <w:rFonts w:hint="eastAsia" w:ascii="宋体" w:eastAsia="宋体" w:cs="宋体"/>
                <w:color w:val="000000" w:themeColor="text1"/>
                <w:sz w:val="21"/>
                <w:szCs w:val="21"/>
                <w:u w:val="none"/>
                <w14:textFill>
                  <w14:solidFill>
                    <w14:schemeClr w14:val="tx1"/>
                  </w14:solidFill>
                </w14:textFill>
              </w:rPr>
              <w:t>分。</w:t>
            </w:r>
          </w:p>
          <w:p w14:paraId="4BB0C414">
            <w:pPr>
              <w:pStyle w:val="46"/>
              <w:spacing w:line="360" w:lineRule="auto"/>
              <w:ind w:firstLine="420" w:firstLineChars="200"/>
              <w:rPr>
                <w:rFonts w:ascii="宋体" w:eastAsia="宋体" w:cs="宋体"/>
                <w:color w:val="000000" w:themeColor="text1"/>
                <w:sz w:val="21"/>
                <w:szCs w:val="21"/>
                <w:u w:val="none"/>
                <w14:textFill>
                  <w14:solidFill>
                    <w14:schemeClr w14:val="tx1"/>
                  </w14:solidFill>
                </w14:textFill>
              </w:rPr>
            </w:pPr>
            <w:r>
              <w:rPr>
                <w:rFonts w:hint="eastAsia" w:ascii="宋体" w:eastAsia="宋体" w:cs="宋体"/>
                <w:color w:val="000000" w:themeColor="text1"/>
                <w:sz w:val="21"/>
                <w:szCs w:val="21"/>
                <w:u w:val="none"/>
                <w14:textFill>
                  <w14:solidFill>
                    <w14:schemeClr w14:val="tx1"/>
                  </w14:solidFill>
                </w14:textFill>
              </w:rPr>
              <w:t>注：①提供项目负责人的业绩证明资料（证明材料可以是合同（或协议书）关键页复印件或其他能反映拟派项目负责人业绩的含有业主公章的材料，如所提供的证明材料未能反映项目负责人岗位或未含有业主公章的，不予认可该项人员业绩）。②本项目拟投入人员应为注册于投标人本单位，不得同时受聘于两个或两个以上单位，须提供相关证书原件扫描件及投标人为其缴纳最近3个月（不含开标当月）社保证明，否则不得分。③以上第</w:t>
            </w:r>
            <w:r>
              <w:rPr>
                <w:rFonts w:hint="eastAsia" w:ascii="宋体" w:eastAsia="宋体" w:cs="宋体"/>
                <w:color w:val="000000" w:themeColor="text1"/>
                <w:sz w:val="21"/>
                <w:szCs w:val="21"/>
                <w:u w:val="none"/>
                <w:lang w:eastAsia="zh-CN"/>
                <w14:textFill>
                  <w14:solidFill>
                    <w14:schemeClr w14:val="tx1"/>
                  </w14:solidFill>
                </w14:textFill>
              </w:rPr>
              <w:t>（</w:t>
            </w:r>
            <w:r>
              <w:rPr>
                <w:rFonts w:hint="eastAsia" w:ascii="宋体" w:eastAsia="宋体" w:cs="宋体"/>
                <w:color w:val="000000" w:themeColor="text1"/>
                <w:sz w:val="21"/>
                <w:szCs w:val="21"/>
                <w:u w:val="none"/>
                <w14:textFill>
                  <w14:solidFill>
                    <w14:schemeClr w14:val="tx1"/>
                  </w14:solidFill>
                </w14:textFill>
              </w:rPr>
              <w:t>1</w:t>
            </w:r>
            <w:r>
              <w:rPr>
                <w:rFonts w:hint="eastAsia" w:ascii="宋体" w:eastAsia="宋体" w:cs="宋体"/>
                <w:color w:val="000000" w:themeColor="text1"/>
                <w:sz w:val="21"/>
                <w:szCs w:val="21"/>
                <w:u w:val="none"/>
                <w:lang w:eastAsia="zh-CN"/>
                <w14:textFill>
                  <w14:solidFill>
                    <w14:schemeClr w14:val="tx1"/>
                  </w14:solidFill>
                </w14:textFill>
              </w:rPr>
              <w:t>）</w:t>
            </w:r>
            <w:r>
              <w:rPr>
                <w:rFonts w:hint="eastAsia" w:ascii="宋体" w:eastAsia="宋体" w:cs="宋体"/>
                <w:color w:val="000000" w:themeColor="text1"/>
                <w:sz w:val="21"/>
                <w:szCs w:val="21"/>
                <w:u w:val="none"/>
                <w14:textFill>
                  <w14:solidFill>
                    <w14:schemeClr w14:val="tx1"/>
                  </w14:solidFill>
                </w14:textFill>
              </w:rPr>
              <w:t>项需提供项目负责人的有效期内证书复印件并加盖投标人公章。</w:t>
            </w:r>
          </w:p>
        </w:tc>
      </w:tr>
      <w:tr w14:paraId="514BB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90" w:type="dxa"/>
            <w:vMerge w:val="continue"/>
            <w:tcBorders>
              <w:left w:val="single" w:color="auto" w:sz="4" w:space="0"/>
              <w:bottom w:val="single" w:color="auto" w:sz="4" w:space="0"/>
              <w:right w:val="single" w:color="auto" w:sz="4" w:space="0"/>
            </w:tcBorders>
            <w:vAlign w:val="center"/>
          </w:tcPr>
          <w:p w14:paraId="106272BB">
            <w:pPr>
              <w:pStyle w:val="46"/>
              <w:spacing w:line="360" w:lineRule="auto"/>
              <w:ind w:firstLine="620" w:firstLineChars="200"/>
              <w:rPr>
                <w:color w:val="000000" w:themeColor="text1"/>
                <w14:textFill>
                  <w14:solidFill>
                    <w14:schemeClr w14:val="tx1"/>
                  </w14:solidFill>
                </w14:textFill>
              </w:rPr>
            </w:pPr>
          </w:p>
        </w:tc>
        <w:tc>
          <w:tcPr>
            <w:tcW w:w="1609" w:type="dxa"/>
            <w:vMerge w:val="continue"/>
            <w:tcBorders>
              <w:left w:val="single" w:color="auto" w:sz="4" w:space="0"/>
              <w:bottom w:val="single" w:color="auto" w:sz="4" w:space="0"/>
              <w:right w:val="single" w:color="auto" w:sz="4" w:space="0"/>
            </w:tcBorders>
            <w:vAlign w:val="center"/>
          </w:tcPr>
          <w:p w14:paraId="7BC48E20">
            <w:pPr>
              <w:pStyle w:val="46"/>
              <w:spacing w:line="360" w:lineRule="auto"/>
              <w:ind w:firstLine="620" w:firstLineChars="200"/>
              <w:rPr>
                <w:color w:val="000000" w:themeColor="text1"/>
                <w14:textFill>
                  <w14:solidFill>
                    <w14:schemeClr w14:val="tx1"/>
                  </w14:solidFill>
                </w14:textFill>
              </w:rPr>
            </w:pPr>
          </w:p>
        </w:tc>
        <w:tc>
          <w:tcPr>
            <w:tcW w:w="762" w:type="dxa"/>
            <w:gridSpan w:val="2"/>
            <w:tcBorders>
              <w:left w:val="single" w:color="auto" w:sz="4" w:space="0"/>
              <w:bottom w:val="single" w:color="auto" w:sz="4" w:space="0"/>
              <w:right w:val="single" w:color="auto" w:sz="4" w:space="0"/>
            </w:tcBorders>
            <w:vAlign w:val="center"/>
          </w:tcPr>
          <w:p w14:paraId="307D28F2">
            <w:pPr>
              <w:pStyle w:val="46"/>
              <w:spacing w:line="360" w:lineRule="auto"/>
              <w:ind w:firstLine="0" w:firstLineChars="0"/>
              <w:jc w:val="center"/>
              <w:rPr>
                <w:rFonts w:hint="eastAsia" w:eastAsia="仿宋_GB2312"/>
                <w:color w:val="000000" w:themeColor="text1"/>
                <w:lang w:val="en-US" w:eastAsia="zh-CN"/>
                <w14:textFill>
                  <w14:solidFill>
                    <w14:schemeClr w14:val="tx1"/>
                  </w14:solidFill>
                </w14:textFill>
              </w:rPr>
            </w:pPr>
            <w:r>
              <w:rPr>
                <w:rFonts w:hint="default" w:ascii="宋体" w:eastAsia="宋体" w:cs="宋体"/>
                <w:color w:val="000000" w:themeColor="text1"/>
                <w:sz w:val="21"/>
                <w:szCs w:val="21"/>
                <w:u w:val="none"/>
                <w:lang w:val="en-US" w:eastAsia="zh-CN"/>
                <w14:textFill>
                  <w14:solidFill>
                    <w14:schemeClr w14:val="tx1"/>
                  </w14:solidFill>
                </w14:textFill>
              </w:rPr>
              <w:t>6</w:t>
            </w:r>
          </w:p>
        </w:tc>
        <w:tc>
          <w:tcPr>
            <w:tcW w:w="5461" w:type="dxa"/>
            <w:tcBorders>
              <w:top w:val="single" w:color="auto" w:sz="4" w:space="0"/>
              <w:left w:val="single" w:color="auto" w:sz="4" w:space="0"/>
              <w:bottom w:val="single" w:color="auto" w:sz="4" w:space="0"/>
              <w:right w:val="single" w:color="auto" w:sz="4" w:space="0"/>
            </w:tcBorders>
            <w:vAlign w:val="center"/>
          </w:tcPr>
          <w:p w14:paraId="02A143CB">
            <w:pPr>
              <w:pStyle w:val="46"/>
              <w:spacing w:line="360" w:lineRule="auto"/>
              <w:ind w:firstLine="420" w:firstLineChars="200"/>
              <w:rPr>
                <w:rFonts w:hint="eastAsia" w:ascii="宋体" w:eastAsia="宋体" w:cs="宋体"/>
                <w:b w:val="0"/>
                <w:bCs w:val="0"/>
                <w:color w:val="000000" w:themeColor="text1"/>
                <w:kern w:val="2"/>
                <w:sz w:val="21"/>
                <w:szCs w:val="21"/>
                <w:u w:val="none"/>
                <w14:textFill>
                  <w14:solidFill>
                    <w14:schemeClr w14:val="tx1"/>
                  </w14:solidFill>
                </w14:textFill>
              </w:rPr>
            </w:pPr>
            <w:r>
              <w:rPr>
                <w:rFonts w:hint="eastAsia" w:ascii="宋体" w:eastAsia="宋体" w:cs="宋体"/>
                <w:b w:val="0"/>
                <w:bCs w:val="0"/>
                <w:color w:val="000000" w:themeColor="text1"/>
                <w:kern w:val="2"/>
                <w:sz w:val="21"/>
                <w:szCs w:val="21"/>
                <w:u w:val="none"/>
                <w14:textFill>
                  <w14:solidFill>
                    <w14:schemeClr w14:val="tx1"/>
                  </w14:solidFill>
                </w14:textFill>
              </w:rPr>
              <w:t>其他团队成员（不含项目负责人）：</w:t>
            </w:r>
          </w:p>
          <w:p w14:paraId="25F2B445">
            <w:pPr>
              <w:pStyle w:val="46"/>
              <w:spacing w:line="360" w:lineRule="auto"/>
              <w:ind w:firstLine="420" w:firstLineChars="200"/>
              <w:rPr>
                <w:rFonts w:hint="eastAsia" w:ascii="宋体" w:eastAsia="宋体" w:cs="宋体"/>
                <w:bCs w:val="0"/>
                <w:color w:val="000000" w:themeColor="text1"/>
                <w:sz w:val="21"/>
                <w:szCs w:val="21"/>
                <w:u w:val="none"/>
                <w14:textFill>
                  <w14:solidFill>
                    <w14:schemeClr w14:val="tx1"/>
                  </w14:solidFill>
                </w14:textFill>
              </w:rPr>
            </w:pPr>
            <w:r>
              <w:rPr>
                <w:rFonts w:hint="eastAsia" w:ascii="宋体" w:eastAsia="宋体" w:cs="宋体"/>
                <w:bCs w:val="0"/>
                <w:color w:val="000000" w:themeColor="text1"/>
                <w:sz w:val="21"/>
                <w:szCs w:val="21"/>
                <w:u w:val="none"/>
                <w14:textFill>
                  <w14:solidFill>
                    <w14:schemeClr w14:val="tx1"/>
                  </w14:solidFill>
                </w14:textFill>
              </w:rPr>
              <w:t>（1）具有计算机技术与软件专业技术资格高级证书，每提供1个证书得1分；具有计算机技术与软件专业技术资格中级证书，每提供1个证书得0.5分，最多得2分；</w:t>
            </w:r>
          </w:p>
          <w:p w14:paraId="6B64AFCA">
            <w:pPr>
              <w:pStyle w:val="46"/>
              <w:spacing w:line="360" w:lineRule="auto"/>
              <w:ind w:firstLine="420" w:firstLineChars="200"/>
              <w:rPr>
                <w:rFonts w:hint="eastAsia" w:ascii="宋体" w:eastAsia="宋体" w:cs="宋体"/>
                <w:bCs w:val="0"/>
                <w:color w:val="000000" w:themeColor="text1"/>
                <w:sz w:val="21"/>
                <w:szCs w:val="21"/>
                <w:u w:val="none"/>
                <w14:textFill>
                  <w14:solidFill>
                    <w14:schemeClr w14:val="tx1"/>
                  </w14:solidFill>
                </w14:textFill>
              </w:rPr>
            </w:pPr>
            <w:r>
              <w:rPr>
                <w:rFonts w:hint="eastAsia" w:ascii="宋体" w:eastAsia="宋体" w:cs="宋体"/>
                <w:bCs w:val="0"/>
                <w:color w:val="000000" w:themeColor="text1"/>
                <w:sz w:val="21"/>
                <w:szCs w:val="21"/>
                <w:u w:val="none"/>
                <w14:textFill>
                  <w14:solidFill>
                    <w14:schemeClr w14:val="tx1"/>
                  </w14:solidFill>
                </w14:textFill>
              </w:rPr>
              <w:t>（2）拟派项目团队成员（不含项目负责人）2021年1月1日（以合同（或协议书）签订时间为准）至投标截止日前参与完成过</w:t>
            </w:r>
            <w:r>
              <w:rPr>
                <w:rFonts w:hint="eastAsia" w:asciiTheme="minorEastAsia" w:hAnsiTheme="minorEastAsia" w:eastAsiaTheme="minorEastAsia" w:cstheme="minorEastAsia"/>
                <w:color w:val="000000" w:themeColor="text1"/>
                <w:kern w:val="2"/>
                <w:sz w:val="21"/>
                <w:szCs w:val="21"/>
                <w:lang w:val="en-US" w:eastAsia="zh-CN" w:bidi="ar-SA"/>
                <w14:textFill>
                  <w14:solidFill>
                    <w14:schemeClr w14:val="tx1"/>
                  </w14:solidFill>
                </w14:textFill>
              </w:rPr>
              <w:t>安全信息化</w:t>
            </w:r>
            <w:r>
              <w:rPr>
                <w:rFonts w:hint="eastAsia" w:ascii="宋体" w:eastAsia="宋体" w:cs="宋体"/>
                <w:bCs w:val="0"/>
                <w:color w:val="000000" w:themeColor="text1"/>
                <w:sz w:val="21"/>
                <w:szCs w:val="21"/>
                <w:u w:val="none"/>
                <w14:textFill>
                  <w14:solidFill>
                    <w14:schemeClr w14:val="tx1"/>
                  </w14:solidFill>
                </w14:textFill>
              </w:rPr>
              <w:t>项目的，每提供1人得0.5分，最多得3分。</w:t>
            </w:r>
          </w:p>
          <w:p w14:paraId="5FB960FF">
            <w:pPr>
              <w:pStyle w:val="46"/>
              <w:spacing w:line="360" w:lineRule="auto"/>
              <w:ind w:firstLine="420" w:firstLineChars="200"/>
              <w:rPr>
                <w:rFonts w:hint="eastAsia" w:ascii="宋体" w:eastAsia="宋体" w:cs="宋体"/>
                <w:bCs w:val="0"/>
                <w:color w:val="000000" w:themeColor="text1"/>
                <w:sz w:val="21"/>
                <w:szCs w:val="21"/>
                <w:u w:val="none"/>
                <w14:textFill>
                  <w14:solidFill>
                    <w14:schemeClr w14:val="tx1"/>
                  </w14:solidFill>
                </w14:textFill>
              </w:rPr>
            </w:pPr>
            <w:r>
              <w:rPr>
                <w:rFonts w:hint="eastAsia" w:ascii="宋体" w:eastAsia="宋体" w:cs="宋体"/>
                <w:bCs w:val="0"/>
                <w:color w:val="000000" w:themeColor="text1"/>
                <w:sz w:val="21"/>
                <w:szCs w:val="21"/>
                <w:u w:val="none"/>
                <w14:textFill>
                  <w14:solidFill>
                    <w14:schemeClr w14:val="tx1"/>
                  </w14:solidFill>
                </w14:textFill>
              </w:rPr>
              <w:t>（3）有</w:t>
            </w:r>
            <w:r>
              <w:rPr>
                <w:rFonts w:hint="eastAsia" w:ascii="宋体" w:eastAsia="宋体" w:cs="宋体"/>
                <w:bCs w:val="0"/>
                <w:color w:val="000000" w:themeColor="text1"/>
                <w:sz w:val="21"/>
                <w:szCs w:val="21"/>
                <w:u w:val="none"/>
                <w:lang w:val="en-US" w:eastAsia="zh-CN"/>
                <w14:textFill>
                  <w14:solidFill>
                    <w14:schemeClr w14:val="tx1"/>
                  </w14:solidFill>
                </w14:textFill>
              </w:rPr>
              <w:t>信息化</w:t>
            </w:r>
            <w:r>
              <w:rPr>
                <w:rFonts w:hint="eastAsia" w:ascii="宋体" w:eastAsia="宋体" w:cs="宋体"/>
                <w:bCs w:val="0"/>
                <w:color w:val="000000" w:themeColor="text1"/>
                <w:sz w:val="21"/>
                <w:szCs w:val="21"/>
                <w:u w:val="none"/>
                <w14:textFill>
                  <w14:solidFill>
                    <w14:schemeClr w14:val="tx1"/>
                  </w14:solidFill>
                </w14:textFill>
              </w:rPr>
              <w:t>专业学历的团队成员，每提供1人得0.5分，最多得1分。</w:t>
            </w:r>
          </w:p>
          <w:p w14:paraId="658AF540">
            <w:pPr>
              <w:pStyle w:val="46"/>
              <w:spacing w:line="360" w:lineRule="auto"/>
              <w:ind w:firstLine="420" w:firstLineChars="200"/>
              <w:rPr>
                <w:rFonts w:hint="eastAsia" w:ascii="宋体" w:eastAsia="宋体" w:cs="宋体"/>
                <w:color w:val="000000" w:themeColor="text1"/>
                <w:sz w:val="21"/>
                <w:szCs w:val="21"/>
                <w:u w:val="none"/>
                <w14:textFill>
                  <w14:solidFill>
                    <w14:schemeClr w14:val="tx1"/>
                  </w14:solidFill>
                </w14:textFill>
              </w:rPr>
            </w:pPr>
            <w:r>
              <w:rPr>
                <w:rFonts w:hint="eastAsia" w:ascii="宋体" w:eastAsia="宋体" w:cs="宋体"/>
                <w:b w:val="0"/>
                <w:color w:val="000000" w:themeColor="text1"/>
                <w:sz w:val="21"/>
                <w:szCs w:val="21"/>
                <w:u w:val="none"/>
                <w14:textFill>
                  <w14:solidFill>
                    <w14:schemeClr w14:val="tx1"/>
                  </w14:solidFill>
                </w14:textFill>
              </w:rPr>
              <w:t>注：①提供其他团队成员（不含项目负责人）的业绩证明资料（证明材料可以是合同（或协议书）关键页复印件或其他能反映其他团队成员（不含项目负责人）业绩的含有业主公章的材料，如所提供的证明材料未能反映其他团队成员（不含项目负责人）岗位或未含有业主公章的，不予认可该项人员业绩）。②本项目拟投入人员应为注册于投标人本单位，不得同时受聘于两个或两个以上单位，须提供相关证书原件扫描件及投标人为其缴纳最近3个月（不含开标当月）社保证明，否则不得分。③需提供项目人员简历表。④以上第</w:t>
            </w:r>
            <w:r>
              <w:rPr>
                <w:rFonts w:hint="eastAsia" w:ascii="宋体" w:eastAsia="宋体" w:cs="宋体"/>
                <w:b w:val="0"/>
                <w:color w:val="000000" w:themeColor="text1"/>
                <w:sz w:val="21"/>
                <w:szCs w:val="21"/>
                <w:u w:val="none"/>
                <w:lang w:eastAsia="zh-CN"/>
                <w14:textFill>
                  <w14:solidFill>
                    <w14:schemeClr w14:val="tx1"/>
                  </w14:solidFill>
                </w14:textFill>
              </w:rPr>
              <w:t>（</w:t>
            </w:r>
            <w:r>
              <w:rPr>
                <w:rFonts w:hint="eastAsia" w:ascii="宋体" w:eastAsia="宋体" w:cs="宋体"/>
                <w:b w:val="0"/>
                <w:color w:val="000000" w:themeColor="text1"/>
                <w:sz w:val="21"/>
                <w:szCs w:val="21"/>
                <w:u w:val="none"/>
                <w14:textFill>
                  <w14:solidFill>
                    <w14:schemeClr w14:val="tx1"/>
                  </w14:solidFill>
                </w14:textFill>
              </w:rPr>
              <w:t>1</w:t>
            </w:r>
            <w:r>
              <w:rPr>
                <w:rFonts w:hint="eastAsia" w:ascii="宋体" w:eastAsia="宋体" w:cs="宋体"/>
                <w:b w:val="0"/>
                <w:color w:val="000000" w:themeColor="text1"/>
                <w:sz w:val="21"/>
                <w:szCs w:val="21"/>
                <w:u w:val="none"/>
                <w:lang w:eastAsia="zh-CN"/>
                <w14:textFill>
                  <w14:solidFill>
                    <w14:schemeClr w14:val="tx1"/>
                  </w14:solidFill>
                </w14:textFill>
              </w:rPr>
              <w:t>）</w:t>
            </w:r>
            <w:r>
              <w:rPr>
                <w:rFonts w:hint="eastAsia" w:ascii="宋体" w:eastAsia="宋体" w:cs="宋体"/>
                <w:b w:val="0"/>
                <w:color w:val="000000" w:themeColor="text1"/>
                <w:sz w:val="21"/>
                <w:szCs w:val="21"/>
                <w:u w:val="none"/>
                <w14:textFill>
                  <w14:solidFill>
                    <w14:schemeClr w14:val="tx1"/>
                  </w14:solidFill>
                </w14:textFill>
              </w:rPr>
              <w:t>项、第</w:t>
            </w:r>
            <w:r>
              <w:rPr>
                <w:rFonts w:hint="eastAsia" w:ascii="宋体" w:eastAsia="宋体" w:cs="宋体"/>
                <w:b w:val="0"/>
                <w:color w:val="000000" w:themeColor="text1"/>
                <w:sz w:val="21"/>
                <w:szCs w:val="21"/>
                <w:u w:val="none"/>
                <w:lang w:eastAsia="zh-CN"/>
                <w14:textFill>
                  <w14:solidFill>
                    <w14:schemeClr w14:val="tx1"/>
                  </w14:solidFill>
                </w14:textFill>
              </w:rPr>
              <w:t>（</w:t>
            </w:r>
            <w:r>
              <w:rPr>
                <w:rFonts w:hint="eastAsia" w:ascii="宋体" w:eastAsia="宋体" w:cs="宋体"/>
                <w:b w:val="0"/>
                <w:color w:val="000000" w:themeColor="text1"/>
                <w:sz w:val="21"/>
                <w:szCs w:val="21"/>
                <w:u w:val="none"/>
                <w14:textFill>
                  <w14:solidFill>
                    <w14:schemeClr w14:val="tx1"/>
                  </w14:solidFill>
                </w14:textFill>
              </w:rPr>
              <w:t>3</w:t>
            </w:r>
            <w:r>
              <w:rPr>
                <w:rFonts w:hint="eastAsia" w:ascii="宋体" w:eastAsia="宋体" w:cs="宋体"/>
                <w:b w:val="0"/>
                <w:color w:val="000000" w:themeColor="text1"/>
                <w:sz w:val="21"/>
                <w:szCs w:val="21"/>
                <w:u w:val="none"/>
                <w:lang w:eastAsia="zh-CN"/>
                <w14:textFill>
                  <w14:solidFill>
                    <w14:schemeClr w14:val="tx1"/>
                  </w14:solidFill>
                </w14:textFill>
              </w:rPr>
              <w:t>）</w:t>
            </w:r>
            <w:r>
              <w:rPr>
                <w:rFonts w:hint="eastAsia" w:ascii="宋体" w:eastAsia="宋体" w:cs="宋体"/>
                <w:b w:val="0"/>
                <w:color w:val="000000" w:themeColor="text1"/>
                <w:sz w:val="21"/>
                <w:szCs w:val="21"/>
                <w:u w:val="none"/>
                <w14:textFill>
                  <w14:solidFill>
                    <w14:schemeClr w14:val="tx1"/>
                  </w14:solidFill>
                </w14:textFill>
              </w:rPr>
              <w:t>项需提供团队成员有效期内证书复印件并加盖投标人公章，一人具有多个证书的不重复计分。</w:t>
            </w:r>
          </w:p>
        </w:tc>
      </w:tr>
      <w:tr w14:paraId="64FCF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14:paraId="7E765559">
            <w:pPr>
              <w:pStyle w:val="46"/>
              <w:spacing w:line="360" w:lineRule="auto"/>
              <w:ind w:firstLine="0" w:firstLineChars="0"/>
              <w:jc w:val="center"/>
              <w:rPr>
                <w:rFonts w:ascii="宋体" w:eastAsia="宋体" w:cs="宋体"/>
                <w:color w:val="000000" w:themeColor="text1"/>
                <w:sz w:val="21"/>
                <w:szCs w:val="21"/>
                <w14:textFill>
                  <w14:solidFill>
                    <w14:schemeClr w14:val="tx1"/>
                  </w14:solidFill>
                </w14:textFill>
              </w:rPr>
            </w:pPr>
            <w:r>
              <w:rPr>
                <w:rFonts w:hint="eastAsia" w:ascii="宋体" w:eastAsia="宋体" w:cs="宋体"/>
                <w:b/>
                <w:bCs/>
                <w:color w:val="000000" w:themeColor="text1"/>
                <w:sz w:val="21"/>
                <w:szCs w:val="21"/>
                <w14:textFill>
                  <w14:solidFill>
                    <w14:schemeClr w14:val="tx1"/>
                  </w14:solidFill>
                </w14:textFill>
              </w:rPr>
              <w:t>技术评审（</w:t>
            </w:r>
            <w:r>
              <w:rPr>
                <w:rFonts w:hint="eastAsia" w:ascii="宋体" w:eastAsia="宋体" w:cs="宋体"/>
                <w:b/>
                <w:bCs/>
                <w:color w:val="000000" w:themeColor="text1"/>
                <w:sz w:val="21"/>
                <w:szCs w:val="21"/>
                <w:lang w:val="en-US" w:eastAsia="zh-CN"/>
                <w14:textFill>
                  <w14:solidFill>
                    <w14:schemeClr w14:val="tx1"/>
                  </w14:solidFill>
                </w14:textFill>
              </w:rPr>
              <w:t>30</w:t>
            </w:r>
            <w:r>
              <w:rPr>
                <w:rFonts w:hint="eastAsia" w:ascii="宋体" w:eastAsia="宋体" w:cs="宋体"/>
                <w:b/>
                <w:bCs/>
                <w:color w:val="000000" w:themeColor="text1"/>
                <w:sz w:val="21"/>
                <w:szCs w:val="21"/>
                <w14:textFill>
                  <w14:solidFill>
                    <w14:schemeClr w14:val="tx1"/>
                  </w14:solidFill>
                </w14:textFill>
              </w:rPr>
              <w:t>分）</w:t>
            </w:r>
          </w:p>
        </w:tc>
      </w:tr>
      <w:tr w14:paraId="347C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1B07FB7D">
            <w:pPr>
              <w:pStyle w:val="46"/>
              <w:spacing w:line="360" w:lineRule="auto"/>
              <w:ind w:firstLine="0" w:firstLineChars="0"/>
              <w:jc w:val="center"/>
              <w:rPr>
                <w:rFonts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1</w:t>
            </w:r>
          </w:p>
        </w:tc>
        <w:tc>
          <w:tcPr>
            <w:tcW w:w="1609" w:type="dxa"/>
            <w:tcBorders>
              <w:top w:val="single" w:color="auto" w:sz="4" w:space="0"/>
              <w:left w:val="single" w:color="auto" w:sz="4" w:space="0"/>
              <w:bottom w:val="single" w:color="auto" w:sz="4" w:space="0"/>
              <w:right w:val="single" w:color="auto" w:sz="4" w:space="0"/>
            </w:tcBorders>
            <w:vAlign w:val="center"/>
          </w:tcPr>
          <w:p w14:paraId="16B800C0">
            <w:pPr>
              <w:widowControl w:val="0"/>
              <w:adjustRightInd/>
              <w:snapToGrid/>
              <w:jc w:val="center"/>
              <w:rPr>
                <w:rFonts w:ascii="宋体" w:hAnsi="宋体" w:cs="宋体"/>
                <w:color w:val="000000" w:themeColor="text1"/>
                <w:szCs w:val="21"/>
                <w:u w:val="none"/>
                <w14:textFill>
                  <w14:solidFill>
                    <w14:schemeClr w14:val="tx1"/>
                  </w14:solidFill>
                </w14:textFill>
              </w:rPr>
            </w:pPr>
            <w:r>
              <w:rPr>
                <w:color w:val="000000" w:themeColor="text1"/>
                <w14:textFill>
                  <w14:solidFill>
                    <w14:schemeClr w14:val="tx1"/>
                  </w14:solidFill>
                </w14:textFill>
              </w:rPr>
              <w:t>整体设计方案</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1A0C1C44">
            <w:pPr>
              <w:widowControl w:val="0"/>
              <w:adjustRightInd/>
              <w:snapToGrid/>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p>
        </w:tc>
        <w:tc>
          <w:tcPr>
            <w:tcW w:w="5461" w:type="dxa"/>
            <w:tcBorders>
              <w:top w:val="single" w:color="auto" w:sz="4" w:space="0"/>
              <w:left w:val="single" w:color="auto" w:sz="4" w:space="0"/>
              <w:bottom w:val="single" w:color="auto" w:sz="4" w:space="0"/>
              <w:right w:val="single" w:color="auto" w:sz="4" w:space="0"/>
            </w:tcBorders>
            <w:vAlign w:val="center"/>
          </w:tcPr>
          <w:p w14:paraId="07787D62">
            <w:pPr>
              <w:widowControl/>
              <w:adjustRightInd/>
              <w:snapToGrid/>
              <w:ind w:firstLine="420" w:firstLineChars="200"/>
              <w:outlineLvl w:val="9"/>
              <w:rPr>
                <w:rFonts w:hint="eastAsia" w:asciiTheme="minorEastAsia" w:hAnsiTheme="minorEastAsia" w:eastAsiaTheme="minorEastAsia" w:cstheme="minorEastAsia"/>
                <w:bCs w:val="0"/>
                <w:color w:val="000000" w:themeColor="text1"/>
                <w:kern w:val="0"/>
                <w:szCs w:val="22"/>
                <w:lang w:val="en-US" w:eastAsia="zh-CN"/>
                <w14:textFill>
                  <w14:solidFill>
                    <w14:schemeClr w14:val="tx1"/>
                  </w14:solidFill>
                </w14:textFill>
              </w:rPr>
            </w:pPr>
            <w:r>
              <w:rPr>
                <w:rFonts w:hint="eastAsia" w:asciiTheme="minorEastAsia" w:hAnsiTheme="minorEastAsia" w:eastAsiaTheme="minorEastAsia" w:cstheme="minorEastAsia"/>
                <w:bCs w:val="0"/>
                <w:color w:val="000000" w:themeColor="text1"/>
                <w:kern w:val="0"/>
                <w:szCs w:val="22"/>
                <w:lang w:val="zh-CN"/>
                <w14:textFill>
                  <w14:solidFill>
                    <w14:schemeClr w14:val="tx1"/>
                  </w14:solidFill>
                </w14:textFill>
              </w:rPr>
              <w:t>根据投标人的设计方案进行评分，包括但不限于</w:t>
            </w:r>
            <w:r>
              <w:rPr>
                <w:rFonts w:hint="eastAsia" w:asciiTheme="minorEastAsia" w:hAnsiTheme="minorEastAsia" w:eastAsiaTheme="minorEastAsia" w:cstheme="minorEastAsia"/>
                <w:bCs w:val="0"/>
                <w:color w:val="000000" w:themeColor="text1"/>
                <w:kern w:val="0"/>
                <w:szCs w:val="22"/>
                <w:lang w:val="en-US" w:eastAsia="zh-CN"/>
                <w14:textFill>
                  <w14:solidFill>
                    <w14:schemeClr w14:val="tx1"/>
                  </w14:solidFill>
                </w14:textFill>
              </w:rPr>
              <w:t>对</w:t>
            </w: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安全生产管理数字化平台（平台基础支撑模块（全板块通用）、视频监控整合板块、站控工艺参数集中展示板块、物业消防系统整合板块、综合安全管理板块、基础数据可视化看板、东莞地图基础点位展示、分期功能划分说明、非功能性需求、接口需求等）</w:t>
            </w:r>
            <w:r>
              <w:rPr>
                <w:rFonts w:hint="eastAsia" w:asciiTheme="minorEastAsia" w:hAnsiTheme="minorEastAsia" w:eastAsiaTheme="minorEastAsia" w:cstheme="minorEastAsia"/>
                <w:b w:val="0"/>
                <w:bCs w:val="0"/>
                <w:color w:val="000000" w:themeColor="text1"/>
                <w:kern w:val="0"/>
                <w:szCs w:val="22"/>
                <w:lang w:val="zh-CN"/>
                <w14:textFill>
                  <w14:solidFill>
                    <w14:schemeClr w14:val="tx1"/>
                  </w14:solidFill>
                </w14:textFill>
              </w:rPr>
              <w:t>需</w:t>
            </w:r>
            <w:r>
              <w:rPr>
                <w:rFonts w:hint="eastAsia" w:asciiTheme="minorEastAsia" w:hAnsiTheme="minorEastAsia" w:eastAsiaTheme="minorEastAsia" w:cstheme="minorEastAsia"/>
                <w:bCs w:val="0"/>
                <w:color w:val="000000" w:themeColor="text1"/>
                <w:kern w:val="0"/>
                <w:szCs w:val="22"/>
                <w:lang w:val="zh-CN"/>
                <w14:textFill>
                  <w14:solidFill>
                    <w14:schemeClr w14:val="tx1"/>
                  </w14:solidFill>
                </w14:textFill>
              </w:rPr>
              <w:t>求分析、项目现状、项目建设总体思路、项目方案设计</w:t>
            </w:r>
            <w:r>
              <w:rPr>
                <w:rFonts w:hint="eastAsia" w:asciiTheme="minorEastAsia" w:hAnsiTheme="minorEastAsia" w:eastAsiaTheme="minorEastAsia" w:cstheme="minorEastAsia"/>
                <w:bCs w:val="0"/>
                <w:color w:val="000000" w:themeColor="text1"/>
                <w:kern w:val="0"/>
                <w:szCs w:val="22"/>
                <w:lang w:val="en-US" w:eastAsia="zh-CN"/>
                <w14:textFill>
                  <w14:solidFill>
                    <w14:schemeClr w14:val="tx1"/>
                  </w14:solidFill>
                </w14:textFill>
              </w:rPr>
              <w:t>等</w:t>
            </w:r>
            <w:r>
              <w:rPr>
                <w:rFonts w:hint="eastAsia" w:asciiTheme="minorEastAsia" w:hAnsiTheme="minorEastAsia" w:eastAsiaTheme="minorEastAsia" w:cstheme="minorEastAsia"/>
                <w:color w:val="000000" w:themeColor="text1"/>
                <w:lang w:val="zh-CN"/>
                <w14:textFill>
                  <w14:solidFill>
                    <w14:schemeClr w14:val="tx1"/>
                  </w14:solidFill>
                </w14:textFill>
              </w:rPr>
              <w:t>进行评审：</w:t>
            </w:r>
          </w:p>
          <w:p w14:paraId="7D32EAC6">
            <w:pPr>
              <w:widowControl/>
              <w:adjustRightInd/>
              <w:snapToGrid/>
              <w:ind w:firstLine="420" w:firstLineChars="200"/>
              <w:outlineLvl w:val="9"/>
              <w:rPr>
                <w:rFonts w:hint="eastAsia" w:asciiTheme="minorEastAsia" w:hAnsiTheme="minorEastAsia" w:eastAsiaTheme="minorEastAsia" w:cstheme="minorEastAsia"/>
                <w:bCs w:val="0"/>
                <w:color w:val="000000" w:themeColor="text1"/>
                <w:kern w:val="0"/>
                <w:szCs w:val="22"/>
                <w:lang w:val="zh-CN"/>
                <w14:textFill>
                  <w14:solidFill>
                    <w14:schemeClr w14:val="tx1"/>
                  </w14:solidFill>
                </w14:textFill>
              </w:rPr>
            </w:pPr>
            <w:r>
              <w:rPr>
                <w:rFonts w:hint="eastAsia" w:asciiTheme="minorEastAsia" w:hAnsiTheme="minorEastAsia" w:eastAsiaTheme="minorEastAsia" w:cstheme="minorEastAsia"/>
                <w:bCs w:val="0"/>
                <w:color w:val="000000" w:themeColor="text1"/>
                <w:kern w:val="0"/>
                <w:szCs w:val="22"/>
                <w:lang w:val="zh-CN"/>
                <w14:textFill>
                  <w14:solidFill>
                    <w14:schemeClr w14:val="tx1"/>
                  </w14:solidFill>
                </w14:textFill>
              </w:rPr>
              <w:t>①深刻理解招标人总体业务、</w:t>
            </w: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安全生产管理数字化平台</w:t>
            </w:r>
            <w:r>
              <w:rPr>
                <w:rFonts w:hint="eastAsia" w:asciiTheme="minorEastAsia" w:hAnsiTheme="minorEastAsia" w:eastAsiaTheme="minorEastAsia" w:cstheme="minorEastAsia"/>
                <w:bCs w:val="0"/>
                <w:color w:val="000000" w:themeColor="text1"/>
                <w:kern w:val="0"/>
                <w:szCs w:val="22"/>
                <w:lang w:val="zh-CN"/>
                <w14:textFill>
                  <w14:solidFill>
                    <w14:schemeClr w14:val="tx1"/>
                  </w14:solidFill>
                </w14:textFill>
              </w:rPr>
              <w:t>需求</w:t>
            </w:r>
            <w:r>
              <w:rPr>
                <w:rFonts w:hint="eastAsia" w:asciiTheme="minorEastAsia" w:hAnsiTheme="minorEastAsia" w:eastAsiaTheme="minorEastAsia" w:cstheme="minorEastAsia"/>
                <w:bCs w:val="0"/>
                <w:color w:val="000000" w:themeColor="text1"/>
                <w:kern w:val="0"/>
                <w:szCs w:val="22"/>
                <w:lang w:val="en-US" w:eastAsia="zh-CN"/>
                <w14:textFill>
                  <w14:solidFill>
                    <w14:schemeClr w14:val="tx1"/>
                  </w14:solidFill>
                </w14:textFill>
              </w:rPr>
              <w:t>分析</w:t>
            </w: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w:t>
            </w:r>
            <w:r>
              <w:rPr>
                <w:rFonts w:hint="eastAsia" w:asciiTheme="minorEastAsia" w:hAnsiTheme="minorEastAsia" w:eastAsiaTheme="minorEastAsia" w:cstheme="minorEastAsia"/>
                <w:bCs w:val="0"/>
                <w:color w:val="000000" w:themeColor="text1"/>
                <w:kern w:val="0"/>
                <w:szCs w:val="22"/>
                <w:lang w:val="zh-CN"/>
                <w14:textFill>
                  <w14:solidFill>
                    <w14:schemeClr w14:val="tx1"/>
                  </w14:solidFill>
                </w14:textFill>
              </w:rPr>
              <w:t>项目现状，建设思路清晰，方案详细完整，科学合理，且可行性高，项目保障措施充足，得6分；</w:t>
            </w:r>
          </w:p>
          <w:p w14:paraId="690F95FF">
            <w:pPr>
              <w:widowControl/>
              <w:adjustRightInd/>
              <w:snapToGrid/>
              <w:ind w:firstLine="420" w:firstLineChars="200"/>
              <w:outlineLvl w:val="9"/>
              <w:rPr>
                <w:rFonts w:hint="eastAsia" w:asciiTheme="minorEastAsia" w:hAnsiTheme="minorEastAsia" w:eastAsiaTheme="minorEastAsia" w:cstheme="minorEastAsia"/>
                <w:bCs w:val="0"/>
                <w:color w:val="000000" w:themeColor="text1"/>
                <w:kern w:val="0"/>
                <w:szCs w:val="22"/>
                <w:lang w:val="zh-CN"/>
                <w14:textFill>
                  <w14:solidFill>
                    <w14:schemeClr w14:val="tx1"/>
                  </w14:solidFill>
                </w14:textFill>
              </w:rPr>
            </w:pPr>
            <w:r>
              <w:rPr>
                <w:rFonts w:hint="eastAsia" w:asciiTheme="minorEastAsia" w:hAnsiTheme="minorEastAsia" w:eastAsiaTheme="minorEastAsia" w:cstheme="minorEastAsia"/>
                <w:bCs w:val="0"/>
                <w:color w:val="000000" w:themeColor="text1"/>
                <w:kern w:val="0"/>
                <w:szCs w:val="22"/>
                <w:lang w:val="zh-CN"/>
                <w14:textFill>
                  <w14:solidFill>
                    <w14:schemeClr w14:val="tx1"/>
                  </w14:solidFill>
                </w14:textFill>
              </w:rPr>
              <w:t>②基本理解项目需求，方案详细完整，能基本满足需求，科学合理，具备可行性的，得4分；</w:t>
            </w:r>
          </w:p>
          <w:p w14:paraId="60A808AB">
            <w:pPr>
              <w:widowControl/>
              <w:adjustRightInd/>
              <w:snapToGrid/>
              <w:ind w:firstLine="420" w:firstLineChars="200"/>
              <w:outlineLvl w:val="9"/>
              <w:rPr>
                <w:rFonts w:hint="eastAsia" w:asciiTheme="minorEastAsia" w:hAnsiTheme="minorEastAsia" w:eastAsiaTheme="minorEastAsia" w:cstheme="minorEastAsia"/>
                <w:bCs w:val="0"/>
                <w:color w:val="000000" w:themeColor="text1"/>
                <w:kern w:val="0"/>
                <w:szCs w:val="22"/>
                <w:lang w:val="zh-CN"/>
                <w14:textFill>
                  <w14:solidFill>
                    <w14:schemeClr w14:val="tx1"/>
                  </w14:solidFill>
                </w14:textFill>
              </w:rPr>
            </w:pPr>
            <w:r>
              <w:rPr>
                <w:rFonts w:hint="eastAsia" w:asciiTheme="minorEastAsia" w:hAnsiTheme="minorEastAsia" w:eastAsiaTheme="minorEastAsia" w:cstheme="minorEastAsia"/>
                <w:bCs w:val="0"/>
                <w:color w:val="000000" w:themeColor="text1"/>
                <w:kern w:val="0"/>
                <w:szCs w:val="22"/>
                <w:lang w:val="zh-CN"/>
                <w14:textFill>
                  <w14:solidFill>
                    <w14:schemeClr w14:val="tx1"/>
                  </w14:solidFill>
                </w14:textFill>
              </w:rPr>
              <w:t>③方案基本完整，具备一定可行性的，得2分；</w:t>
            </w:r>
          </w:p>
          <w:p w14:paraId="366D309D">
            <w:pPr>
              <w:adjustRightInd/>
              <w:snapToGrid/>
              <w:ind w:firstLine="420" w:firstLineChars="200"/>
              <w:rPr>
                <w:rFonts w:hint="eastAsia" w:asciiTheme="minorEastAsia" w:hAnsiTheme="minorEastAsia" w:eastAsiaTheme="minorEastAsia" w:cstheme="minorEastAsia"/>
                <w:color w:val="000000" w:themeColor="text1"/>
                <w:lang w:val="en-US"/>
                <w14:textFill>
                  <w14:solidFill>
                    <w14:schemeClr w14:val="tx1"/>
                  </w14:solidFill>
                </w14:textFill>
              </w:rPr>
            </w:pPr>
            <w:r>
              <w:rPr>
                <w:rFonts w:hint="eastAsia" w:asciiTheme="minorEastAsia" w:hAnsiTheme="minorEastAsia" w:eastAsiaTheme="minorEastAsia" w:cstheme="minorEastAsia"/>
                <w:bCs w:val="0"/>
                <w:color w:val="000000" w:themeColor="text1"/>
                <w:kern w:val="0"/>
                <w:szCs w:val="22"/>
                <w:lang w:val="en-US" w:eastAsia="zh-CN"/>
                <w14:textFill>
                  <w14:solidFill>
                    <w14:schemeClr w14:val="tx1"/>
                  </w14:solidFill>
                </w14:textFill>
              </w:rPr>
              <w:t>④</w:t>
            </w:r>
            <w:r>
              <w:rPr>
                <w:rFonts w:hint="eastAsia" w:asciiTheme="minorEastAsia" w:hAnsiTheme="minorEastAsia" w:eastAsiaTheme="minorEastAsia" w:cstheme="minorEastAsia"/>
                <w:bCs w:val="0"/>
                <w:color w:val="000000" w:themeColor="text1"/>
                <w:kern w:val="0"/>
                <w:szCs w:val="22"/>
                <w:lang w:val="zh-CN"/>
                <w14:textFill>
                  <w14:solidFill>
                    <w14:schemeClr w14:val="tx1"/>
                  </w14:solidFill>
                </w14:textFill>
              </w:rPr>
              <w:t>未提供方案不得分。</w:t>
            </w:r>
          </w:p>
        </w:tc>
      </w:tr>
      <w:tr w14:paraId="7729D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1C95C954">
            <w:pPr>
              <w:pStyle w:val="46"/>
              <w:spacing w:line="360" w:lineRule="auto"/>
              <w:ind w:firstLine="0" w:firstLineChars="0"/>
              <w:jc w:val="center"/>
              <w:rPr>
                <w:rFonts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2</w:t>
            </w:r>
          </w:p>
        </w:tc>
        <w:tc>
          <w:tcPr>
            <w:tcW w:w="1609" w:type="dxa"/>
            <w:tcBorders>
              <w:top w:val="single" w:color="auto" w:sz="4" w:space="0"/>
              <w:left w:val="single" w:color="auto" w:sz="4" w:space="0"/>
              <w:bottom w:val="single" w:color="auto" w:sz="4" w:space="0"/>
              <w:right w:val="single" w:color="auto" w:sz="4" w:space="0"/>
            </w:tcBorders>
            <w:vAlign w:val="center"/>
          </w:tcPr>
          <w:p w14:paraId="07417CF0">
            <w:pPr>
              <w:widowControl w:val="0"/>
              <w:adjustRightInd/>
              <w:snapToGrid/>
              <w:jc w:val="center"/>
              <w:rPr>
                <w:rFonts w:ascii="宋体" w:hAnsi="宋体" w:cs="宋体"/>
                <w:color w:val="000000" w:themeColor="text1"/>
                <w:szCs w:val="21"/>
                <w:u w:val="none"/>
                <w14:textFill>
                  <w14:solidFill>
                    <w14:schemeClr w14:val="tx1"/>
                  </w14:solidFill>
                </w14:textFill>
              </w:rPr>
            </w:pPr>
            <w:r>
              <w:rPr>
                <w:color w:val="000000" w:themeColor="text1"/>
                <w14:textFill>
                  <w14:solidFill>
                    <w14:schemeClr w14:val="tx1"/>
                  </w14:solidFill>
                </w14:textFill>
              </w:rPr>
              <w:t>项目重点难点分析</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4C584D28">
            <w:pPr>
              <w:widowControl w:val="0"/>
              <w:adjustRightInd/>
              <w:snapToGrid/>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p>
        </w:tc>
        <w:tc>
          <w:tcPr>
            <w:tcW w:w="5461" w:type="dxa"/>
            <w:tcBorders>
              <w:top w:val="single" w:color="auto" w:sz="4" w:space="0"/>
              <w:left w:val="single" w:color="auto" w:sz="4" w:space="0"/>
              <w:bottom w:val="single" w:color="auto" w:sz="4" w:space="0"/>
              <w:right w:val="single" w:color="auto" w:sz="4" w:space="0"/>
            </w:tcBorders>
            <w:vAlign w:val="center"/>
          </w:tcPr>
          <w:p w14:paraId="77040B96">
            <w:pPr>
              <w:adjustRightInd/>
              <w:snapToGrid/>
              <w:ind w:firstLine="420" w:firstLineChars="200"/>
              <w:rPr>
                <w:rFonts w:hint="eastAsia" w:asciiTheme="minorEastAsia" w:hAnsiTheme="minorEastAsia" w:eastAsiaTheme="minorEastAsia" w:cstheme="minorEastAsia"/>
                <w:color w:val="000000" w:themeColor="text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lang w:val="zh-CN" w:eastAsia="zh-CN"/>
                <w14:textFill>
                  <w14:solidFill>
                    <w14:schemeClr w14:val="tx1"/>
                  </w14:solidFill>
                </w14:textFill>
              </w:rPr>
              <w:t>根据</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投标人制定</w:t>
            </w:r>
            <w:r>
              <w:rPr>
                <w:rFonts w:hint="eastAsia" w:asciiTheme="minorEastAsia" w:hAnsiTheme="minorEastAsia" w:eastAsiaTheme="minorEastAsia" w:cstheme="minorEastAsia"/>
                <w:color w:val="000000" w:themeColor="text1"/>
                <w:lang w:val="zh-CN" w:eastAsia="zh-CN"/>
                <w14:textFill>
                  <w14:solidFill>
                    <w14:schemeClr w14:val="tx1"/>
                  </w14:solidFill>
                </w14:textFill>
              </w:rPr>
              <w:t>的</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提供的项目重点难点分析进行评分：</w:t>
            </w:r>
          </w:p>
          <w:p w14:paraId="74A7B376">
            <w:pPr>
              <w:adjustRightInd/>
              <w:snapToGrid/>
              <w:ind w:firstLine="420" w:firstLineChars="200"/>
              <w:rPr>
                <w:rFonts w:hint="eastAsia" w:asciiTheme="minorEastAsia" w:hAnsiTheme="minorEastAsia" w:eastAsiaTheme="minorEastAsia" w:cstheme="minorEastAsia"/>
                <w:color w:val="000000" w:themeColor="text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①对项目理解深刻，对项目实施重点、难点分析准确，应对措施完善，合理，可行性高，得6分；</w:t>
            </w:r>
          </w:p>
          <w:p w14:paraId="1C6D3CB1">
            <w:pPr>
              <w:adjustRightInd/>
              <w:snapToGrid/>
              <w:ind w:firstLine="420" w:firstLineChars="200"/>
              <w:rPr>
                <w:rFonts w:hint="eastAsia" w:asciiTheme="minorEastAsia" w:hAnsiTheme="minorEastAsia" w:eastAsiaTheme="minorEastAsia" w:cstheme="minorEastAsia"/>
                <w:color w:val="000000" w:themeColor="text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②对项目理解较为充分，对项目实施重点、难点分析较为准确，可行性较高，得4分；</w:t>
            </w:r>
          </w:p>
          <w:p w14:paraId="067AA5AB">
            <w:pPr>
              <w:adjustRightInd/>
              <w:snapToGrid/>
              <w:ind w:firstLine="420" w:firstLineChars="200"/>
              <w:rPr>
                <w:rFonts w:hint="eastAsia" w:asciiTheme="minorEastAsia" w:hAnsiTheme="minorEastAsia" w:eastAsiaTheme="minorEastAsia" w:cstheme="minorEastAsia"/>
                <w:color w:val="000000" w:themeColor="text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 xml:space="preserve">③对项目理解一般，对项目实施重点、难点分析基本准确，可行性一般，得2分； </w:t>
            </w:r>
          </w:p>
          <w:p w14:paraId="5BE4F0EF">
            <w:pPr>
              <w:adjustRightInd/>
              <w:snapToGrid/>
              <w:ind w:firstLine="420" w:firstLineChars="200"/>
              <w:rPr>
                <w:rFonts w:hint="eastAsia" w:asciiTheme="minorEastAsia" w:hAnsiTheme="minorEastAsia" w:eastAsiaTheme="minorEastAsia" w:cstheme="minorEastAsia"/>
                <w:color w:val="000000" w:themeColor="text1"/>
                <w:lang w:val="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④未提供分析不得分。</w:t>
            </w:r>
          </w:p>
        </w:tc>
      </w:tr>
      <w:tr w14:paraId="4ADD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5523A15A">
            <w:pPr>
              <w:pStyle w:val="46"/>
              <w:spacing w:line="360" w:lineRule="auto"/>
              <w:ind w:firstLine="0" w:firstLineChars="0"/>
              <w:jc w:val="center"/>
              <w:rPr>
                <w:rFonts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3</w:t>
            </w:r>
          </w:p>
        </w:tc>
        <w:tc>
          <w:tcPr>
            <w:tcW w:w="1609" w:type="dxa"/>
            <w:tcBorders>
              <w:top w:val="single" w:color="auto" w:sz="4" w:space="0"/>
              <w:left w:val="single" w:color="auto" w:sz="4" w:space="0"/>
              <w:bottom w:val="single" w:color="auto" w:sz="4" w:space="0"/>
              <w:right w:val="single" w:color="auto" w:sz="4" w:space="0"/>
            </w:tcBorders>
            <w:vAlign w:val="center"/>
          </w:tcPr>
          <w:p w14:paraId="72BD9301">
            <w:pPr>
              <w:widowControl w:val="0"/>
              <w:adjustRightInd/>
              <w:snapToGrid/>
              <w:jc w:val="center"/>
              <w:rPr>
                <w:rFonts w:ascii="宋体" w:hAnsi="宋体" w:cs="宋体"/>
                <w:color w:val="000000" w:themeColor="text1"/>
                <w:szCs w:val="21"/>
                <w:u w:val="none"/>
                <w14:textFill>
                  <w14:solidFill>
                    <w14:schemeClr w14:val="tx1"/>
                  </w14:solidFill>
                </w14:textFill>
              </w:rPr>
            </w:pPr>
            <w:r>
              <w:rPr>
                <w:rFonts w:hint="eastAsia" w:hAnsi="宋体" w:cs="宋体"/>
                <w:color w:val="000000" w:themeColor="text1"/>
                <w:spacing w:val="2"/>
                <w:szCs w:val="21"/>
                <w:u w:val="none"/>
                <w14:textFill>
                  <w14:solidFill>
                    <w14:schemeClr w14:val="tx1"/>
                  </w14:solidFill>
                </w14:textFill>
              </w:rPr>
              <w:t>服务质量承诺及措施</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6A5E1647">
            <w:pPr>
              <w:widowControl w:val="0"/>
              <w:adjustRightInd/>
              <w:snapToGrid/>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p>
        </w:tc>
        <w:tc>
          <w:tcPr>
            <w:tcW w:w="5461" w:type="dxa"/>
            <w:tcBorders>
              <w:top w:val="single" w:color="auto" w:sz="4" w:space="0"/>
              <w:left w:val="single" w:color="auto" w:sz="4" w:space="0"/>
              <w:bottom w:val="single" w:color="auto" w:sz="4" w:space="0"/>
              <w:right w:val="single" w:color="auto" w:sz="4" w:space="0"/>
            </w:tcBorders>
            <w:vAlign w:val="center"/>
          </w:tcPr>
          <w:p w14:paraId="7DAC1B74">
            <w:pPr>
              <w:adjustRightInd/>
              <w:snapToGrid/>
              <w:ind w:firstLine="420" w:firstLineChars="200"/>
              <w:rPr>
                <w:rFonts w:hint="eastAsia" w:asciiTheme="minorEastAsia" w:hAnsiTheme="minorEastAsia" w:eastAsiaTheme="minorEastAsia" w:cstheme="minorEastAsia"/>
                <w:color w:val="000000" w:themeColor="text1"/>
                <w:lang w:val="zh-CN"/>
                <w14:textFill>
                  <w14:solidFill>
                    <w14:schemeClr w14:val="tx1"/>
                  </w14:solidFill>
                </w14:textFill>
              </w:rPr>
            </w:pPr>
            <w:r>
              <w:rPr>
                <w:rFonts w:hint="eastAsia" w:asciiTheme="minorEastAsia" w:hAnsiTheme="minorEastAsia" w:eastAsiaTheme="minorEastAsia" w:cstheme="minorEastAsia"/>
                <w:color w:val="000000" w:themeColor="text1"/>
                <w:lang w:val="zh-CN"/>
                <w14:textFill>
                  <w14:solidFill>
                    <w14:schemeClr w14:val="tx1"/>
                  </w14:solidFill>
                </w14:textFill>
              </w:rPr>
              <w:t>根据供应商提供服务质量保证措施方案（包括但不限于质量目标、项目质量的控制、质量保证措施等）进行评审；</w:t>
            </w:r>
          </w:p>
          <w:p w14:paraId="7060278E">
            <w:pPr>
              <w:adjustRightInd/>
              <w:snapToGrid/>
              <w:ind w:firstLine="420" w:firstLineChars="200"/>
              <w:rPr>
                <w:rFonts w:hint="eastAsia" w:asciiTheme="minorEastAsia" w:hAnsiTheme="minorEastAsia" w:eastAsiaTheme="minorEastAsia" w:cstheme="minorEastAsia"/>
                <w:color w:val="000000" w:themeColor="text1"/>
                <w:lang w:val="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①</w:t>
            </w:r>
            <w:r>
              <w:rPr>
                <w:rFonts w:hint="eastAsia" w:asciiTheme="minorEastAsia" w:hAnsiTheme="minorEastAsia" w:eastAsiaTheme="minorEastAsia" w:cstheme="minorEastAsia"/>
                <w:color w:val="000000" w:themeColor="text1"/>
                <w:lang w:val="zh-CN"/>
                <w14:textFill>
                  <w14:solidFill>
                    <w14:schemeClr w14:val="tx1"/>
                  </w14:solidFill>
                </w14:textFill>
              </w:rPr>
              <w:t>服务质量目标非常明确、对项目质量的控制非常详细、检验手段非常科学，质量保证措施非常具体，可行</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强</w:t>
            </w:r>
            <w:r>
              <w:rPr>
                <w:rFonts w:hint="eastAsia" w:asciiTheme="minorEastAsia" w:hAnsiTheme="minorEastAsia" w:eastAsiaTheme="minorEastAsia" w:cstheme="minorEastAsia"/>
                <w:color w:val="000000" w:themeColor="text1"/>
                <w:lang w:val="zh-CN"/>
                <w14:textFill>
                  <w14:solidFill>
                    <w14:schemeClr w14:val="tx1"/>
                  </w14:solidFill>
                </w14:textFill>
              </w:rPr>
              <w:t>的，得</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lang w:val="zh-CN"/>
                <w14:textFill>
                  <w14:solidFill>
                    <w14:schemeClr w14:val="tx1"/>
                  </w14:solidFill>
                </w14:textFill>
              </w:rPr>
              <w:t>分；</w:t>
            </w:r>
          </w:p>
          <w:p w14:paraId="026B9ED5">
            <w:pPr>
              <w:adjustRightInd/>
              <w:snapToGrid/>
              <w:ind w:firstLine="420" w:firstLineChars="200"/>
              <w:rPr>
                <w:rFonts w:hint="eastAsia" w:asciiTheme="minorEastAsia" w:hAnsiTheme="minorEastAsia" w:eastAsiaTheme="minorEastAsia" w:cstheme="minorEastAsia"/>
                <w:color w:val="000000" w:themeColor="text1"/>
                <w:lang w:val="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②</w:t>
            </w:r>
            <w:r>
              <w:rPr>
                <w:rFonts w:hint="eastAsia" w:asciiTheme="minorEastAsia" w:hAnsiTheme="minorEastAsia" w:eastAsiaTheme="minorEastAsia" w:cstheme="minorEastAsia"/>
                <w:color w:val="000000" w:themeColor="text1"/>
                <w:lang w:val="zh-CN"/>
                <w14:textFill>
                  <w14:solidFill>
                    <w14:schemeClr w14:val="tx1"/>
                  </w14:solidFill>
                </w14:textFill>
              </w:rPr>
              <w:t>服务质量目标比较明确、对项目质量的控制较为详细、检验手段比较科学，质量保证措施比较具体，可行</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较强</w:t>
            </w:r>
            <w:r>
              <w:rPr>
                <w:rFonts w:hint="eastAsia" w:asciiTheme="minorEastAsia" w:hAnsiTheme="minorEastAsia" w:eastAsiaTheme="minorEastAsia" w:cstheme="minorEastAsia"/>
                <w:color w:val="000000" w:themeColor="text1"/>
                <w:lang w:val="zh-CN"/>
                <w14:textFill>
                  <w14:solidFill>
                    <w14:schemeClr w14:val="tx1"/>
                  </w14:solidFill>
                </w14:textFill>
              </w:rPr>
              <w:t>的，得</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lang w:val="zh-CN"/>
                <w14:textFill>
                  <w14:solidFill>
                    <w14:schemeClr w14:val="tx1"/>
                  </w14:solidFill>
                </w14:textFill>
              </w:rPr>
              <w:t>分；</w:t>
            </w:r>
          </w:p>
          <w:p w14:paraId="58769E04">
            <w:pPr>
              <w:adjustRightInd/>
              <w:snapToGrid/>
              <w:ind w:firstLine="420" w:firstLineChars="200"/>
              <w:rPr>
                <w:rFonts w:hint="eastAsia" w:asciiTheme="minorEastAsia" w:hAnsiTheme="minorEastAsia" w:eastAsiaTheme="minorEastAsia" w:cstheme="minorEastAsia"/>
                <w:color w:val="000000" w:themeColor="text1"/>
                <w:lang w:val="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③</w:t>
            </w:r>
            <w:r>
              <w:rPr>
                <w:rFonts w:hint="eastAsia" w:asciiTheme="minorEastAsia" w:hAnsiTheme="minorEastAsia" w:eastAsiaTheme="minorEastAsia" w:cstheme="minorEastAsia"/>
                <w:color w:val="000000" w:themeColor="text1"/>
                <w:lang w:val="zh-CN"/>
                <w14:textFill>
                  <w14:solidFill>
                    <w14:schemeClr w14:val="tx1"/>
                  </w14:solidFill>
                </w14:textFill>
              </w:rPr>
              <w:t>服务质量目标基本明确、对项目质量的控制详细程度</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一般</w:t>
            </w:r>
            <w:r>
              <w:rPr>
                <w:rFonts w:hint="eastAsia" w:asciiTheme="minorEastAsia" w:hAnsiTheme="minorEastAsia" w:eastAsiaTheme="minorEastAsia" w:cstheme="minorEastAsia"/>
                <w:color w:val="000000" w:themeColor="text1"/>
                <w:lang w:val="zh-CN"/>
                <w14:textFill>
                  <w14:solidFill>
                    <w14:schemeClr w14:val="tx1"/>
                  </w14:solidFill>
                </w14:textFill>
              </w:rPr>
              <w:t>、检验手段科学性较差，质量保证措施不够具体，可行性较差，得</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lang w:val="zh-CN"/>
                <w14:textFill>
                  <w14:solidFill>
                    <w14:schemeClr w14:val="tx1"/>
                  </w14:solidFill>
                </w14:textFill>
              </w:rPr>
              <w:t>分</w:t>
            </w:r>
          </w:p>
          <w:p w14:paraId="2ADB94EC">
            <w:pPr>
              <w:adjustRightInd/>
              <w:snapToGrid/>
              <w:ind w:firstLine="420" w:firstLineChars="200"/>
              <w:rPr>
                <w:rFonts w:hint="eastAsia" w:asciiTheme="minorEastAsia" w:hAnsiTheme="minorEastAsia" w:eastAsiaTheme="minorEastAsia" w:cstheme="minorEastAsia"/>
                <w:color w:val="000000" w:themeColor="text1"/>
                <w:lang w:val="zh-CN"/>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④</w:t>
            </w:r>
            <w:r>
              <w:rPr>
                <w:rFonts w:hint="eastAsia" w:asciiTheme="minorEastAsia" w:hAnsiTheme="minorEastAsia" w:eastAsiaTheme="minorEastAsia" w:cstheme="minorEastAsia"/>
                <w:color w:val="000000" w:themeColor="text1"/>
                <w:lang w:val="zh-CN"/>
                <w14:textFill>
                  <w14:solidFill>
                    <w14:schemeClr w14:val="tx1"/>
                  </w14:solidFill>
                </w14:textFill>
              </w:rPr>
              <w:t>未提供</w:t>
            </w:r>
            <w:r>
              <w:rPr>
                <w:rFonts w:hint="eastAsia" w:asciiTheme="minorEastAsia" w:hAnsiTheme="minorEastAsia" w:eastAsiaTheme="minorEastAsia" w:cstheme="minorEastAsia"/>
                <w:color w:val="000000" w:themeColor="text1"/>
                <w14:textFill>
                  <w14:solidFill>
                    <w14:schemeClr w14:val="tx1"/>
                  </w14:solidFill>
                </w14:textFill>
              </w:rPr>
              <w:t>服务质量承诺及措施</w:t>
            </w:r>
            <w:r>
              <w:rPr>
                <w:rFonts w:hint="eastAsia" w:asciiTheme="minorEastAsia" w:hAnsiTheme="minorEastAsia" w:eastAsiaTheme="minorEastAsia" w:cstheme="minorEastAsia"/>
                <w:color w:val="000000" w:themeColor="text1"/>
                <w:lang w:val="zh-CN"/>
                <w14:textFill>
                  <w14:solidFill>
                    <w14:schemeClr w14:val="tx1"/>
                  </w14:solidFill>
                </w14:textFill>
              </w:rPr>
              <w:t>的，不得分。</w:t>
            </w:r>
          </w:p>
        </w:tc>
      </w:tr>
      <w:tr w14:paraId="3A0C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0A15C22F">
            <w:pPr>
              <w:pStyle w:val="46"/>
              <w:spacing w:line="360" w:lineRule="auto"/>
              <w:ind w:firstLine="0" w:firstLineChars="0"/>
              <w:jc w:val="center"/>
              <w:rPr>
                <w:rFonts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4</w:t>
            </w:r>
          </w:p>
        </w:tc>
        <w:tc>
          <w:tcPr>
            <w:tcW w:w="1609" w:type="dxa"/>
            <w:tcBorders>
              <w:top w:val="single" w:color="auto" w:sz="4" w:space="0"/>
              <w:left w:val="single" w:color="auto" w:sz="4" w:space="0"/>
              <w:bottom w:val="single" w:color="auto" w:sz="4" w:space="0"/>
              <w:right w:val="single" w:color="auto" w:sz="4" w:space="0"/>
            </w:tcBorders>
            <w:vAlign w:val="center"/>
          </w:tcPr>
          <w:p w14:paraId="3F1DA343">
            <w:pPr>
              <w:widowControl w:val="0"/>
              <w:adjustRightInd/>
              <w:snapToGrid/>
              <w:ind w:left="0"/>
              <w:jc w:val="center"/>
              <w:rPr>
                <w:rFonts w:ascii="宋体" w:hAnsi="宋体" w:cs="宋体"/>
                <w:color w:val="000000" w:themeColor="text1"/>
                <w:szCs w:val="21"/>
                <w:u w:val="none"/>
                <w14:textFill>
                  <w14:solidFill>
                    <w14:schemeClr w14:val="tx1"/>
                  </w14:solidFill>
                </w14:textFill>
              </w:rPr>
            </w:pPr>
            <w:r>
              <w:rPr>
                <w:rFonts w:hint="eastAsia" w:ascii="Tahoma" w:hAnsi="宋体" w:cs="宋体"/>
                <w:color w:val="000000" w:themeColor="text1"/>
                <w:spacing w:val="2"/>
                <w:szCs w:val="21"/>
                <w:u w:val="none"/>
                <w14:textFill>
                  <w14:solidFill>
                    <w14:schemeClr w14:val="tx1"/>
                  </w14:solidFill>
                </w14:textFill>
              </w:rPr>
              <w:t>项目服务方案</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2809055C">
            <w:pPr>
              <w:widowControl w:val="0"/>
              <w:adjustRightInd/>
              <w:snapToGrid/>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p>
        </w:tc>
        <w:tc>
          <w:tcPr>
            <w:tcW w:w="5461" w:type="dxa"/>
            <w:tcBorders>
              <w:top w:val="single" w:color="auto" w:sz="4" w:space="0"/>
              <w:left w:val="single" w:color="auto" w:sz="4" w:space="0"/>
              <w:bottom w:val="single" w:color="auto" w:sz="4" w:space="0"/>
              <w:right w:val="single" w:color="auto" w:sz="4" w:space="0"/>
            </w:tcBorders>
            <w:vAlign w:val="center"/>
          </w:tcPr>
          <w:p w14:paraId="043ECB0B">
            <w:pPr>
              <w:adjustRightInd/>
              <w:snapToGrid/>
              <w:ind w:firstLine="420" w:firstLineChars="200"/>
              <w:rPr>
                <w:rFonts w:hint="eastAsia" w:asciiTheme="minorEastAsia" w:hAnsiTheme="minorEastAsia" w:eastAsiaTheme="minorEastAsia" w:cstheme="minorEastAsia"/>
                <w:color w:val="000000" w:themeColor="text1"/>
                <w:lang w:val="zh-CN"/>
                <w14:textFill>
                  <w14:solidFill>
                    <w14:schemeClr w14:val="tx1"/>
                  </w14:solidFill>
                </w14:textFill>
              </w:rPr>
            </w:pPr>
            <w:r>
              <w:rPr>
                <w:rFonts w:hint="eastAsia" w:asciiTheme="minorEastAsia" w:hAnsiTheme="minorEastAsia" w:eastAsiaTheme="minorEastAsia" w:cstheme="minorEastAsia"/>
                <w:color w:val="000000" w:themeColor="text1"/>
                <w:lang w:val="zh-CN"/>
                <w14:textFill>
                  <w14:solidFill>
                    <w14:schemeClr w14:val="tx1"/>
                  </w14:solidFill>
                </w14:textFill>
              </w:rPr>
              <w:t>根据投标人提供的</w:t>
            </w:r>
            <w:r>
              <w:rPr>
                <w:rFonts w:hint="eastAsia" w:ascii="宋体" w:hAnsi="宋体" w:cs="宋体"/>
                <w:color w:val="000000" w:themeColor="text1"/>
                <w:szCs w:val="21"/>
                <w:u w:val="none"/>
                <w14:textFill>
                  <w14:solidFill>
                    <w14:schemeClr w14:val="tx1"/>
                  </w14:solidFill>
                </w14:textFill>
              </w:rPr>
              <w:t>项目服务方案</w:t>
            </w:r>
            <w:r>
              <w:rPr>
                <w:rFonts w:hint="eastAsia"/>
                <w:color w:val="000000" w:themeColor="text1"/>
                <w:sz w:val="21"/>
                <w:szCs w:val="21"/>
                <w14:textFill>
                  <w14:solidFill>
                    <w14:schemeClr w14:val="tx1"/>
                  </w14:solidFill>
                </w14:textFill>
              </w:rPr>
              <w:t>（包括但不限于实施方法、实施计划、售后服务方案、售后持续开发支持、培训方案、培训计划等）进行评分：</w:t>
            </w:r>
          </w:p>
          <w:p w14:paraId="1FED0F73">
            <w:pPr>
              <w:adjustRightInd/>
              <w:snapToGrid/>
              <w:ind w:firstLine="420" w:firstLineChars="20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①项目详细的实施方法优秀，实施计划合理，售后服务与持续开发支持满足招标需求，各种开发及维护文档完整，培训方案满足要求，</w:t>
            </w:r>
            <w:r>
              <w:rPr>
                <w:rFonts w:hint="eastAsia" w:asciiTheme="minorEastAsia" w:hAnsiTheme="minorEastAsia" w:eastAsiaTheme="minorEastAsia" w:cstheme="minorEastAsia"/>
                <w:bCs w:val="0"/>
                <w:color w:val="000000" w:themeColor="text1"/>
                <w:kern w:val="0"/>
                <w:szCs w:val="22"/>
                <w14:textFill>
                  <w14:solidFill>
                    <w14:schemeClr w14:val="tx1"/>
                  </w14:solidFill>
                </w14:textFill>
              </w:rPr>
              <w:t>得</w:t>
            </w:r>
            <w:r>
              <w:rPr>
                <w:rFonts w:hint="eastAsia" w:asciiTheme="minorEastAsia" w:hAnsiTheme="minorEastAsia" w:eastAsiaTheme="minorEastAsia" w:cstheme="minorEastAsia"/>
                <w:bCs w:val="0"/>
                <w:color w:val="000000" w:themeColor="text1"/>
                <w:kern w:val="0"/>
                <w:szCs w:val="22"/>
                <w:lang w:val="en-US" w:eastAsia="zh-CN"/>
                <w14:textFill>
                  <w14:solidFill>
                    <w14:schemeClr w14:val="tx1"/>
                  </w14:solidFill>
                </w14:textFill>
              </w:rPr>
              <w:t>6</w:t>
            </w:r>
            <w:r>
              <w:rPr>
                <w:rFonts w:hint="eastAsia" w:asciiTheme="minorEastAsia" w:hAnsiTheme="minorEastAsia" w:eastAsiaTheme="minorEastAsia" w:cstheme="minorEastAsia"/>
                <w:bCs w:val="0"/>
                <w:color w:val="000000" w:themeColor="text1"/>
                <w:kern w:val="0"/>
                <w:szCs w:val="22"/>
                <w14:textFill>
                  <w14:solidFill>
                    <w14:schemeClr w14:val="tx1"/>
                  </w14:solidFill>
                </w14:textFill>
              </w:rPr>
              <w:t>分</w:t>
            </w:r>
            <w:r>
              <w:rPr>
                <w:rFonts w:hint="eastAsia" w:asciiTheme="minorEastAsia" w:hAnsiTheme="minorEastAsia" w:eastAsiaTheme="minorEastAsia" w:cstheme="minorEastAsia"/>
                <w:color w:val="000000" w:themeColor="text1"/>
                <w14:textFill>
                  <w14:solidFill>
                    <w14:schemeClr w14:val="tx1"/>
                  </w14:solidFill>
                </w14:textFill>
              </w:rPr>
              <w:t>；</w:t>
            </w:r>
          </w:p>
          <w:p w14:paraId="0CB85235">
            <w:pPr>
              <w:adjustRightInd/>
              <w:snapToGrid/>
              <w:ind w:firstLine="420" w:firstLineChars="20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②项目详细的实施方法一般，实施计划欠详细，售后服务与持续开发支持不能完全满足招标需求，开发文档不完整，培训方案和培训计划不清晰，得</w:t>
            </w:r>
            <w:r>
              <w:rPr>
                <w:rFonts w:hint="eastAsia" w:asciiTheme="minorEastAsia" w:hAnsiTheme="minorEastAsia" w:eastAsiaTheme="minorEastAsia" w:cstheme="minorEastAsia"/>
                <w:bCs w:val="0"/>
                <w:color w:val="000000" w:themeColor="text1"/>
                <w:kern w:val="0"/>
                <w:szCs w:val="22"/>
                <w:lang w:eastAsia="zh-CN"/>
                <w14:textFill>
                  <w14:solidFill>
                    <w14:schemeClr w14:val="tx1"/>
                  </w14:solidFill>
                </w14:textFill>
              </w:rPr>
              <w:t>4</w:t>
            </w:r>
            <w:r>
              <w:rPr>
                <w:rFonts w:hint="eastAsia" w:asciiTheme="minorEastAsia" w:hAnsiTheme="minorEastAsia" w:eastAsiaTheme="minorEastAsia" w:cstheme="minorEastAsia"/>
                <w:color w:val="000000" w:themeColor="text1"/>
                <w14:textFill>
                  <w14:solidFill>
                    <w14:schemeClr w14:val="tx1"/>
                  </w14:solidFill>
                </w14:textFill>
              </w:rPr>
              <w:t xml:space="preserve">分； </w:t>
            </w:r>
          </w:p>
          <w:p w14:paraId="520B71FF">
            <w:pPr>
              <w:adjustRightInd/>
              <w:snapToGrid/>
              <w:ind w:firstLine="420" w:firstLineChars="20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③项目详细的实施方法差，实施计划不合理，售后服务、持续开发支持和培训不满足招标需求，</w:t>
            </w:r>
            <w:r>
              <w:rPr>
                <w:rFonts w:hint="eastAsia" w:asciiTheme="minorEastAsia" w:hAnsiTheme="minorEastAsia" w:eastAsiaTheme="minorEastAsia" w:cstheme="minorEastAsia"/>
                <w:bCs w:val="0"/>
                <w:color w:val="000000" w:themeColor="text1"/>
                <w:kern w:val="0"/>
                <w:szCs w:val="22"/>
                <w14:textFill>
                  <w14:solidFill>
                    <w14:schemeClr w14:val="tx1"/>
                  </w14:solidFill>
                </w14:textFill>
              </w:rPr>
              <w:t>得</w:t>
            </w:r>
            <w:r>
              <w:rPr>
                <w:rFonts w:hint="eastAsia" w:asciiTheme="minorEastAsia" w:hAnsiTheme="minorEastAsia" w:eastAsiaTheme="minorEastAsia" w:cstheme="minorEastAsia"/>
                <w:bCs w:val="0"/>
                <w:color w:val="000000" w:themeColor="text1"/>
                <w:kern w:val="0"/>
                <w:szCs w:val="22"/>
                <w:lang w:eastAsia="zh-CN"/>
                <w14:textFill>
                  <w14:solidFill>
                    <w14:schemeClr w14:val="tx1"/>
                  </w14:solidFill>
                </w14:textFill>
              </w:rPr>
              <w:t>2</w:t>
            </w:r>
            <w:r>
              <w:rPr>
                <w:rFonts w:hint="eastAsia" w:asciiTheme="minorEastAsia" w:hAnsiTheme="minorEastAsia" w:eastAsiaTheme="minorEastAsia" w:cstheme="minorEastAsia"/>
                <w:color w:val="000000" w:themeColor="text1"/>
                <w14:textFill>
                  <w14:solidFill>
                    <w14:schemeClr w14:val="tx1"/>
                  </w14:solidFill>
                </w14:textFill>
              </w:rPr>
              <w:t xml:space="preserve">分； </w:t>
            </w:r>
          </w:p>
          <w:p w14:paraId="32B15A8C">
            <w:pPr>
              <w:adjustRightInd/>
              <w:snapToGrid/>
              <w:ind w:firstLine="420" w:firstLineChars="200"/>
              <w:rPr>
                <w:rFonts w:hint="eastAsia" w:asciiTheme="minorEastAsia" w:hAnsiTheme="minorEastAsia" w:eastAsiaTheme="minorEastAsia" w:cstheme="minorEastAsia"/>
                <w:color w:val="000000" w:themeColor="text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④未提供方案不得分。</w:t>
            </w:r>
          </w:p>
        </w:tc>
      </w:tr>
      <w:tr w14:paraId="7DBA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05FCC115">
            <w:pPr>
              <w:pStyle w:val="46"/>
              <w:spacing w:line="360" w:lineRule="auto"/>
              <w:ind w:firstLine="0" w:firstLineChars="0"/>
              <w:jc w:val="center"/>
              <w:rPr>
                <w:rFonts w:hint="eastAsia"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5</w:t>
            </w:r>
          </w:p>
        </w:tc>
        <w:tc>
          <w:tcPr>
            <w:tcW w:w="1609" w:type="dxa"/>
            <w:tcBorders>
              <w:top w:val="single" w:color="auto" w:sz="4" w:space="0"/>
              <w:left w:val="single" w:color="auto" w:sz="4" w:space="0"/>
              <w:bottom w:val="single" w:color="auto" w:sz="4" w:space="0"/>
              <w:right w:val="single" w:color="auto" w:sz="4" w:space="0"/>
            </w:tcBorders>
            <w:vAlign w:val="center"/>
          </w:tcPr>
          <w:p w14:paraId="29A6C451">
            <w:pPr>
              <w:widowControl w:val="0"/>
              <w:adjustRightInd/>
              <w:snapToGrid/>
              <w:jc w:val="center"/>
              <w:rPr>
                <w:rFonts w:hint="eastAsia" w:hAnsi="宋体" w:cs="宋体"/>
                <w:color w:val="000000" w:themeColor="text1"/>
                <w:spacing w:val="2"/>
                <w:szCs w:val="21"/>
                <w:u w:val="none"/>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项目运维费用</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646A4055">
            <w:pPr>
              <w:widowControl w:val="0"/>
              <w:adjustRightInd/>
              <w:snapToGrid/>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p>
        </w:tc>
        <w:tc>
          <w:tcPr>
            <w:tcW w:w="5461" w:type="dxa"/>
            <w:tcBorders>
              <w:top w:val="single" w:color="auto" w:sz="4" w:space="0"/>
              <w:left w:val="single" w:color="auto" w:sz="4" w:space="0"/>
              <w:bottom w:val="single" w:color="auto" w:sz="4" w:space="0"/>
              <w:right w:val="single" w:color="auto" w:sz="4" w:space="0"/>
            </w:tcBorders>
            <w:vAlign w:val="center"/>
          </w:tcPr>
          <w:p w14:paraId="41E5492E">
            <w:pPr>
              <w:ind w:firstLine="420" w:firstLineChars="200"/>
              <w:rPr>
                <w:rFonts w:hint="eastAsia" w:asciiTheme="minorEastAsia" w:hAnsiTheme="minorEastAsia" w:eastAsiaTheme="minorEastAsia" w:cstheme="minorEastAsia"/>
                <w:bCs w:val="0"/>
                <w:color w:val="000000" w:themeColor="text1"/>
                <w:szCs w:val="22"/>
                <w:lang w:val="zh-CN"/>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对投标人的运维费用进行比较，根据投标人本项目运维费用占</w:t>
            </w:r>
            <w:r>
              <w:rPr>
                <w:rFonts w:hint="eastAsia" w:asciiTheme="minorEastAsia" w:hAnsiTheme="minorEastAsia" w:eastAsiaTheme="minorEastAsia" w:cstheme="minorEastAsia"/>
                <w:color w:val="000000" w:themeColor="text1"/>
                <w:szCs w:val="22"/>
                <w14:textFill>
                  <w14:solidFill>
                    <w14:schemeClr w14:val="tx1"/>
                  </w14:solidFill>
                </w14:textFill>
              </w:rPr>
              <w:t>本项目预算金额的比例，</w:t>
            </w:r>
            <w:r>
              <w:rPr>
                <w:rFonts w:hint="eastAsia" w:asciiTheme="minorEastAsia" w:hAnsiTheme="minorEastAsia" w:eastAsiaTheme="minorEastAsia" w:cstheme="minorEastAsia"/>
                <w:bCs w:val="0"/>
                <w:color w:val="000000" w:themeColor="text1"/>
                <w:szCs w:val="22"/>
                <w:lang w:val="zh-CN"/>
                <w14:textFill>
                  <w14:solidFill>
                    <w14:schemeClr w14:val="tx1"/>
                  </w14:solidFill>
                </w14:textFill>
              </w:rPr>
              <w:t>按下列情况评分：</w:t>
            </w:r>
          </w:p>
          <w:p w14:paraId="1E4C03B5">
            <w:pPr>
              <w:ind w:firstLine="420" w:firstLineChars="200"/>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bCs w:val="0"/>
                <w:color w:val="000000" w:themeColor="text1"/>
                <w:szCs w:val="22"/>
                <w:lang w:val="zh-CN"/>
                <w14:textFill>
                  <w14:solidFill>
                    <w14:schemeClr w14:val="tx1"/>
                  </w14:solidFill>
                </w14:textFill>
              </w:rPr>
              <w:t>①</w:t>
            </w:r>
            <w:r>
              <w:rPr>
                <w:rFonts w:hint="eastAsia" w:asciiTheme="minorEastAsia" w:hAnsiTheme="minorEastAsia" w:eastAsiaTheme="minorEastAsia" w:cstheme="minorEastAsia"/>
                <w:bCs w:val="0"/>
                <w:color w:val="000000" w:themeColor="text1"/>
                <w:szCs w:val="22"/>
                <w14:textFill>
                  <w14:solidFill>
                    <w14:schemeClr w14:val="tx1"/>
                  </w14:solidFill>
                </w14:textFill>
              </w:rPr>
              <w:t>0%≤</w:t>
            </w:r>
            <w:r>
              <w:rPr>
                <w:rFonts w:hint="eastAsia" w:asciiTheme="minorEastAsia" w:hAnsiTheme="minorEastAsia" w:eastAsiaTheme="minorEastAsia" w:cstheme="minorEastAsia"/>
                <w:color w:val="000000" w:themeColor="text1"/>
                <w14:textFill>
                  <w14:solidFill>
                    <w14:schemeClr w14:val="tx1"/>
                  </w14:solidFill>
                </w14:textFill>
              </w:rPr>
              <w:t>投标人本项目运维费用占</w:t>
            </w:r>
            <w:r>
              <w:rPr>
                <w:rFonts w:hint="eastAsia" w:asciiTheme="minorEastAsia" w:hAnsiTheme="minorEastAsia" w:eastAsiaTheme="minorEastAsia" w:cstheme="minorEastAsia"/>
                <w:color w:val="000000" w:themeColor="text1"/>
                <w:szCs w:val="22"/>
                <w14:textFill>
                  <w14:solidFill>
                    <w14:schemeClr w14:val="tx1"/>
                  </w14:solidFill>
                </w14:textFill>
              </w:rPr>
              <w:t>本项目预算金额的比例＜2.5%，得</w:t>
            </w:r>
            <w:r>
              <w:rPr>
                <w:rFonts w:hint="eastAsia" w:asciiTheme="minorEastAsia" w:hAnsiTheme="minorEastAsia" w:eastAsiaTheme="minorEastAsia" w:cstheme="minorEastAsia"/>
                <w:color w:val="000000" w:themeColor="text1"/>
                <w:szCs w:val="22"/>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zCs w:val="22"/>
                <w14:textFill>
                  <w14:solidFill>
                    <w14:schemeClr w14:val="tx1"/>
                  </w14:solidFill>
                </w14:textFill>
              </w:rPr>
              <w:t>分；</w:t>
            </w:r>
          </w:p>
          <w:p w14:paraId="78CAD738">
            <w:pPr>
              <w:ind w:firstLine="420" w:firstLineChars="200"/>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②2.5%≤</w:t>
            </w:r>
            <w:r>
              <w:rPr>
                <w:rFonts w:hint="eastAsia" w:asciiTheme="minorEastAsia" w:hAnsiTheme="minorEastAsia" w:eastAsiaTheme="minorEastAsia" w:cstheme="minorEastAsia"/>
                <w:color w:val="000000" w:themeColor="text1"/>
                <w14:textFill>
                  <w14:solidFill>
                    <w14:schemeClr w14:val="tx1"/>
                  </w14:solidFill>
                </w14:textFill>
              </w:rPr>
              <w:t>投标人本项目运维费用占</w:t>
            </w:r>
            <w:r>
              <w:rPr>
                <w:rFonts w:hint="eastAsia" w:asciiTheme="minorEastAsia" w:hAnsiTheme="minorEastAsia" w:eastAsiaTheme="minorEastAsia" w:cstheme="minorEastAsia"/>
                <w:color w:val="000000" w:themeColor="text1"/>
                <w:szCs w:val="22"/>
                <w14:textFill>
                  <w14:solidFill>
                    <w14:schemeClr w14:val="tx1"/>
                  </w14:solidFill>
                </w14:textFill>
              </w:rPr>
              <w:t>本项目预算金额的比例＜4%，得</w:t>
            </w:r>
            <w:r>
              <w:rPr>
                <w:rFonts w:hint="eastAsia" w:asciiTheme="minorEastAsia" w:hAnsiTheme="minorEastAsia" w:eastAsiaTheme="minorEastAsia" w:cstheme="minorEastAsia"/>
                <w:color w:val="000000" w:themeColor="text1"/>
                <w:szCs w:val="22"/>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Cs w:val="22"/>
                <w14:textFill>
                  <w14:solidFill>
                    <w14:schemeClr w14:val="tx1"/>
                  </w14:solidFill>
                </w14:textFill>
              </w:rPr>
              <w:t>分；</w:t>
            </w:r>
          </w:p>
          <w:p w14:paraId="5F9DD6EF">
            <w:pPr>
              <w:ind w:firstLine="420" w:firstLineChars="200"/>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③4%≤</w:t>
            </w:r>
            <w:r>
              <w:rPr>
                <w:rFonts w:hint="eastAsia" w:asciiTheme="minorEastAsia" w:hAnsiTheme="minorEastAsia" w:eastAsiaTheme="minorEastAsia" w:cstheme="minorEastAsia"/>
                <w:color w:val="000000" w:themeColor="text1"/>
                <w14:textFill>
                  <w14:solidFill>
                    <w14:schemeClr w14:val="tx1"/>
                  </w14:solidFill>
                </w14:textFill>
              </w:rPr>
              <w:t>投标人本项目运维费用占</w:t>
            </w:r>
            <w:r>
              <w:rPr>
                <w:rFonts w:hint="eastAsia" w:asciiTheme="minorEastAsia" w:hAnsiTheme="minorEastAsia" w:eastAsiaTheme="minorEastAsia" w:cstheme="minorEastAsia"/>
                <w:color w:val="000000" w:themeColor="text1"/>
                <w:szCs w:val="22"/>
                <w14:textFill>
                  <w14:solidFill>
                    <w14:schemeClr w14:val="tx1"/>
                  </w14:solidFill>
                </w14:textFill>
              </w:rPr>
              <w:t>本项目预算金额的比例＜5.5%，得</w:t>
            </w:r>
            <w:r>
              <w:rPr>
                <w:rFonts w:hint="eastAsia" w:asciiTheme="minorEastAsia" w:hAnsiTheme="minorEastAsia" w:eastAsiaTheme="minorEastAsia" w:cstheme="minorEastAsia"/>
                <w:color w:val="000000" w:themeColor="text1"/>
                <w:szCs w:val="22"/>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Cs w:val="22"/>
                <w14:textFill>
                  <w14:solidFill>
                    <w14:schemeClr w14:val="tx1"/>
                  </w14:solidFill>
                </w14:textFill>
              </w:rPr>
              <w:t>分；</w:t>
            </w:r>
          </w:p>
          <w:p w14:paraId="12AEA97E">
            <w:pPr>
              <w:adjustRightInd/>
              <w:snapToGrid/>
              <w:ind w:firstLine="420" w:firstLineChars="200"/>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④5.5%≤</w:t>
            </w:r>
            <w:r>
              <w:rPr>
                <w:rFonts w:hint="eastAsia" w:asciiTheme="minorEastAsia" w:hAnsiTheme="minorEastAsia" w:eastAsiaTheme="minorEastAsia" w:cstheme="minorEastAsia"/>
                <w:color w:val="000000" w:themeColor="text1"/>
                <w14:textFill>
                  <w14:solidFill>
                    <w14:schemeClr w14:val="tx1"/>
                  </w14:solidFill>
                </w14:textFill>
              </w:rPr>
              <w:t>投标人本项目运维费用占</w:t>
            </w:r>
            <w:r>
              <w:rPr>
                <w:rFonts w:hint="eastAsia" w:asciiTheme="minorEastAsia" w:hAnsiTheme="minorEastAsia" w:eastAsiaTheme="minorEastAsia" w:cstheme="minorEastAsia"/>
                <w:color w:val="000000" w:themeColor="text1"/>
                <w:szCs w:val="22"/>
                <w14:textFill>
                  <w14:solidFill>
                    <w14:schemeClr w14:val="tx1"/>
                  </w14:solidFill>
                </w14:textFill>
              </w:rPr>
              <w:t>本项目预算金额的比例＜7%，得</w:t>
            </w:r>
            <w:r>
              <w:rPr>
                <w:rFonts w:hint="eastAsia" w:asciiTheme="minorEastAsia" w:hAnsiTheme="minorEastAsia" w:eastAsiaTheme="minorEastAsia" w:cstheme="minorEastAsia"/>
                <w:color w:val="000000" w:themeColor="text1"/>
                <w:szCs w:val="22"/>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Cs w:val="22"/>
                <w14:textFill>
                  <w14:solidFill>
                    <w14:schemeClr w14:val="tx1"/>
                  </w14:solidFill>
                </w14:textFill>
              </w:rPr>
              <w:t>分。</w:t>
            </w:r>
          </w:p>
        </w:tc>
      </w:tr>
      <w:tr w14:paraId="190D8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14:paraId="1FC8B2F2">
            <w:pPr>
              <w:widowControl w:val="0"/>
              <w:tabs>
                <w:tab w:val="left" w:pos="907"/>
              </w:tabs>
              <w:adjustRightInd/>
              <w:snapToGrid/>
              <w:ind w:firstLine="422" w:firstLineChars="200"/>
              <w:jc w:val="both"/>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w:t>
            </w:r>
          </w:p>
          <w:p w14:paraId="322BEC4A">
            <w:pPr>
              <w:widowControl w:val="0"/>
              <w:tabs>
                <w:tab w:val="left" w:pos="907"/>
              </w:tabs>
              <w:adjustRightInd/>
              <w:snapToGrid/>
              <w:ind w:firstLine="422" w:firstLineChars="200"/>
              <w:jc w:val="both"/>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（1）无特殊说明外，以上评审项，同一证明文件不重复计分。</w:t>
            </w:r>
          </w:p>
          <w:p w14:paraId="186C82F0">
            <w:pPr>
              <w:widowControl w:val="0"/>
              <w:tabs>
                <w:tab w:val="left" w:pos="907"/>
              </w:tabs>
              <w:adjustRightInd/>
              <w:snapToGrid/>
              <w:ind w:firstLine="422" w:firstLineChars="200"/>
              <w:jc w:val="both"/>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（2）投标人根据以上评分要求提供的投标材料因模糊不清导致评标委员会无法清晰辨认进行评审的，视为无效材料。</w:t>
            </w:r>
          </w:p>
          <w:p w14:paraId="33312268">
            <w:pPr>
              <w:widowControl w:val="0"/>
              <w:tabs>
                <w:tab w:val="left" w:pos="907"/>
              </w:tabs>
              <w:adjustRightInd/>
              <w:snapToGrid/>
              <w:ind w:firstLine="422" w:firstLineChars="200"/>
              <w:jc w:val="both"/>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（3）若因疫情原因暂缓统一托收或阶段性减免社会保险费而导致无法打印社保缴费证明的需提供书面说明并加盖投标人公章。</w:t>
            </w:r>
          </w:p>
        </w:tc>
      </w:tr>
      <w:tr w14:paraId="3A7F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14:paraId="3075D1DE">
            <w:pPr>
              <w:pStyle w:val="46"/>
              <w:spacing w:line="360" w:lineRule="auto"/>
              <w:ind w:firstLine="0" w:firstLineChars="0"/>
              <w:jc w:val="center"/>
              <w:rPr>
                <w:rFonts w:ascii="宋体" w:eastAsia="宋体" w:cs="宋体"/>
                <w:color w:val="000000" w:themeColor="text1"/>
                <w:sz w:val="21"/>
                <w:szCs w:val="21"/>
                <w:lang w:val="zh-CN"/>
                <w14:textFill>
                  <w14:solidFill>
                    <w14:schemeClr w14:val="tx1"/>
                  </w14:solidFill>
                </w14:textFill>
              </w:rPr>
            </w:pPr>
            <w:r>
              <w:rPr>
                <w:rFonts w:hint="eastAsia" w:ascii="宋体" w:eastAsia="宋体" w:cs="宋体"/>
                <w:b/>
                <w:bCs/>
                <w:color w:val="000000" w:themeColor="text1"/>
                <w:sz w:val="21"/>
                <w:szCs w:val="21"/>
                <w:u w:val="single"/>
                <w14:textFill>
                  <w14:solidFill>
                    <w14:schemeClr w14:val="tx1"/>
                  </w14:solidFill>
                </w14:textFill>
              </w:rPr>
              <w:t>价格评审（</w:t>
            </w:r>
            <w:r>
              <w:rPr>
                <w:rFonts w:hint="eastAsia" w:ascii="宋体" w:eastAsia="宋体" w:cs="宋体"/>
                <w:b/>
                <w:bCs/>
                <w:color w:val="000000" w:themeColor="text1"/>
                <w:sz w:val="21"/>
                <w:szCs w:val="21"/>
                <w:u w:val="single"/>
                <w:lang w:val="en-US" w:eastAsia="zh-CN"/>
                <w14:textFill>
                  <w14:solidFill>
                    <w14:schemeClr w14:val="tx1"/>
                  </w14:solidFill>
                </w14:textFill>
              </w:rPr>
              <w:t>30</w:t>
            </w:r>
            <w:r>
              <w:rPr>
                <w:rFonts w:hint="eastAsia" w:ascii="宋体" w:eastAsia="宋体" w:cs="宋体"/>
                <w:b/>
                <w:bCs/>
                <w:color w:val="000000" w:themeColor="text1"/>
                <w:sz w:val="21"/>
                <w:szCs w:val="21"/>
                <w:u w:val="single"/>
                <w14:textFill>
                  <w14:solidFill>
                    <w14:schemeClr w14:val="tx1"/>
                  </w14:solidFill>
                </w14:textFill>
              </w:rPr>
              <w:t>分）</w:t>
            </w:r>
          </w:p>
        </w:tc>
      </w:tr>
      <w:tr w14:paraId="2FBDB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5B070DC5">
            <w:pPr>
              <w:pStyle w:val="46"/>
              <w:spacing w:line="360" w:lineRule="auto"/>
              <w:ind w:firstLine="0" w:firstLineChars="0"/>
              <w:jc w:val="center"/>
              <w:rPr>
                <w:rFonts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1</w:t>
            </w:r>
          </w:p>
        </w:tc>
        <w:tc>
          <w:tcPr>
            <w:tcW w:w="1609" w:type="dxa"/>
            <w:tcBorders>
              <w:top w:val="single" w:color="auto" w:sz="4" w:space="0"/>
              <w:left w:val="single" w:color="auto" w:sz="4" w:space="0"/>
              <w:bottom w:val="single" w:color="auto" w:sz="4" w:space="0"/>
              <w:right w:val="single" w:color="auto" w:sz="4" w:space="0"/>
            </w:tcBorders>
            <w:vAlign w:val="center"/>
          </w:tcPr>
          <w:p w14:paraId="544EE83E">
            <w:pPr>
              <w:widowControl w:val="0"/>
              <w:adjustRightInd/>
              <w:snapToGrid/>
              <w:jc w:val="center"/>
              <w:rPr>
                <w:rFonts w:ascii="宋体" w:hAnsi="宋体" w:cs="宋体"/>
                <w:color w:val="000000" w:themeColor="text1"/>
                <w:kern w:val="2"/>
                <w:szCs w:val="21"/>
                <w14:textFill>
                  <w14:solidFill>
                    <w14:schemeClr w14:val="tx1"/>
                  </w14:solidFill>
                </w14:textFill>
              </w:rPr>
            </w:pPr>
            <w:r>
              <w:rPr>
                <w:rFonts w:hint="eastAsia" w:ascii="宋体" w:hAnsi="宋体" w:cs="宋体"/>
                <w:color w:val="000000" w:themeColor="text1"/>
                <w:kern w:val="2"/>
                <w:szCs w:val="21"/>
                <w14:textFill>
                  <w14:solidFill>
                    <w14:schemeClr w14:val="tx1"/>
                  </w14:solidFill>
                </w14:textFill>
              </w:rPr>
              <w:t>投标总价</w:t>
            </w:r>
          </w:p>
        </w:tc>
        <w:tc>
          <w:tcPr>
            <w:tcW w:w="734" w:type="dxa"/>
            <w:tcBorders>
              <w:top w:val="single" w:color="auto" w:sz="4" w:space="0"/>
              <w:left w:val="single" w:color="auto" w:sz="4" w:space="0"/>
              <w:bottom w:val="single" w:color="auto" w:sz="4" w:space="0"/>
              <w:right w:val="single" w:color="auto" w:sz="4" w:space="0"/>
            </w:tcBorders>
            <w:vAlign w:val="center"/>
          </w:tcPr>
          <w:p w14:paraId="40ECAC70">
            <w:pPr>
              <w:widowControl w:val="0"/>
              <w:adjustRightInd/>
              <w:snapToGrid/>
              <w:jc w:val="center"/>
              <w:rPr>
                <w:rFonts w:hint="default" w:ascii="宋体" w:hAnsi="宋体" w:eastAsia="宋体" w:cs="宋体"/>
                <w:color w:val="000000" w:themeColor="text1"/>
                <w:kern w:val="2"/>
                <w:szCs w:val="21"/>
                <w:lang w:val="en-US" w:eastAsia="zh-CN"/>
                <w14:textFill>
                  <w14:solidFill>
                    <w14:schemeClr w14:val="tx1"/>
                  </w14:solidFill>
                </w14:textFill>
              </w:rPr>
            </w:pPr>
            <w:r>
              <w:rPr>
                <w:rFonts w:hint="eastAsia" w:ascii="宋体" w:hAnsi="宋体" w:cs="宋体"/>
                <w:color w:val="000000" w:themeColor="text1"/>
                <w:kern w:val="2"/>
                <w:szCs w:val="21"/>
                <w:lang w:val="en-US" w:eastAsia="zh-CN"/>
                <w14:textFill>
                  <w14:solidFill>
                    <w14:schemeClr w14:val="tx1"/>
                  </w14:solidFill>
                </w14:textFill>
              </w:rPr>
              <w:t>30</w:t>
            </w:r>
          </w:p>
        </w:tc>
        <w:tc>
          <w:tcPr>
            <w:tcW w:w="5489" w:type="dxa"/>
            <w:gridSpan w:val="2"/>
            <w:tcBorders>
              <w:top w:val="single" w:color="auto" w:sz="4" w:space="0"/>
              <w:left w:val="single" w:color="auto" w:sz="4" w:space="0"/>
              <w:bottom w:val="single" w:color="auto" w:sz="4" w:space="0"/>
              <w:right w:val="single" w:color="auto" w:sz="4" w:space="0"/>
            </w:tcBorders>
            <w:vAlign w:val="center"/>
          </w:tcPr>
          <w:p w14:paraId="36CD354C">
            <w:pPr>
              <w:widowControl w:val="0"/>
              <w:adjustRightInd/>
              <w:snapToGrid/>
              <w:ind w:firstLine="420" w:firstLineChars="200"/>
              <w:rPr>
                <w:rFonts w:ascii="宋体" w:hAnsi="宋体" w:cs="宋体"/>
                <w:color w:val="000000" w:themeColor="text1"/>
                <w:kern w:val="2"/>
                <w:szCs w:val="21"/>
                <w:lang w:val="zh-CN"/>
                <w14:textFill>
                  <w14:solidFill>
                    <w14:schemeClr w14:val="tx1"/>
                  </w14:solidFill>
                </w14:textFill>
              </w:rPr>
            </w:pPr>
            <w:r>
              <w:rPr>
                <w:rFonts w:hint="eastAsia" w:ascii="宋体" w:hAnsi="宋体" w:cs="宋体"/>
                <w:color w:val="000000" w:themeColor="text1"/>
                <w:kern w:val="2"/>
                <w:szCs w:val="21"/>
                <w:lang w:val="zh-CN"/>
                <w14:textFill>
                  <w14:solidFill>
                    <w14:schemeClr w14:val="tx1"/>
                  </w14:solidFill>
                </w14:textFill>
              </w:rPr>
              <w:t>价格分计算方法：满足采购文件要求且投标价格最低的投标报价为评标基准价，其价格分为满分。其他投标人的价格分统一按照下列公式计算：</w:t>
            </w:r>
          </w:p>
          <w:p w14:paraId="1936624C">
            <w:pPr>
              <w:widowControl w:val="0"/>
              <w:adjustRightInd/>
              <w:snapToGrid/>
              <w:ind w:firstLine="420" w:firstLineChars="200"/>
              <w:rPr>
                <w:rFonts w:ascii="宋体" w:hAnsi="宋体" w:cs="宋体"/>
                <w:color w:val="000000" w:themeColor="text1"/>
                <w:kern w:val="2"/>
                <w:szCs w:val="21"/>
                <w14:textFill>
                  <w14:solidFill>
                    <w14:schemeClr w14:val="tx1"/>
                  </w14:solidFill>
                </w14:textFill>
              </w:rPr>
            </w:pPr>
            <w:r>
              <w:rPr>
                <w:rFonts w:hint="eastAsia" w:ascii="宋体" w:hAnsi="宋体" w:cs="宋体"/>
                <w:color w:val="000000" w:themeColor="text1"/>
                <w:kern w:val="2"/>
                <w:szCs w:val="21"/>
                <w:lang w:val="zh-CN"/>
                <w14:textFill>
                  <w14:solidFill>
                    <w14:schemeClr w14:val="tx1"/>
                  </w14:solidFill>
                </w14:textFill>
              </w:rPr>
              <w:t>投标报价得分=(评标基准价／投标报价)×价格权</w:t>
            </w:r>
            <w:r>
              <w:rPr>
                <w:rFonts w:hint="eastAsia" w:ascii="宋体" w:hAnsi="宋体" w:cs="宋体"/>
                <w:color w:val="000000" w:themeColor="text1"/>
                <w:kern w:val="2"/>
                <w:szCs w:val="21"/>
                <w14:textFill>
                  <w14:solidFill>
                    <w14:schemeClr w14:val="tx1"/>
                  </w14:solidFill>
                </w14:textFill>
              </w:rPr>
              <w:t>重</w:t>
            </w:r>
          </w:p>
        </w:tc>
      </w:tr>
    </w:tbl>
    <w:p w14:paraId="05BF8D96">
      <w:p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注：评标委员会评委按评标标准独立对技术标进行评审，得出技术标评分。当评标委员会为五人时，在所有评委</w:t>
      </w:r>
      <w:r>
        <w:rPr>
          <w:rFonts w:hint="eastAsia"/>
          <w:color w:val="000000" w:themeColor="text1"/>
          <w:highlight w:val="none"/>
          <w14:textFill>
            <w14:solidFill>
              <w14:schemeClr w14:val="tx1"/>
            </w14:solidFill>
          </w14:textFill>
        </w:rPr>
        <w:t>对同一份投标文件技术标评审的总评分中，去掉一个最高分和一个最低分，计算剩余总评分的算术平均值即为该投标人技术标的最终综合得分；当评标委员会为七人及以上单数时，在各评委的打分中，同一评委的最高评分减去最低评分，去掉分差最大评委的所有技术标评分（当一位或两位评委评分差值最大时均取消其评委评分，当多于两位评分差值均最大时，不取消任一评委评分），在所有剩余评委对同一份投标文件技术部分评审的总评分中，去掉一个最高分和一个最低分，计算剩余总评分的算术平均值即为该投标人技术部分的最终综合得分。</w:t>
      </w:r>
      <w:r>
        <w:rPr>
          <w:rFonts w:hint="eastAsia"/>
          <w:color w:val="000000" w:themeColor="text1"/>
          <w14:textFill>
            <w14:solidFill>
              <w14:schemeClr w14:val="tx1"/>
            </w14:solidFill>
          </w14:textFill>
        </w:rPr>
        <w:br w:type="page"/>
      </w:r>
    </w:p>
    <w:p w14:paraId="10A77F59">
      <w:pPr>
        <w:pStyle w:val="2"/>
        <w:spacing w:before="0" w:after="0" w:line="240" w:lineRule="auto"/>
        <w:outlineLvl w:val="0"/>
        <w:rPr>
          <w:color w:val="000000" w:themeColor="text1"/>
          <w:sz w:val="36"/>
          <w:szCs w:val="36"/>
          <w14:textFill>
            <w14:solidFill>
              <w14:schemeClr w14:val="tx1"/>
            </w14:solidFill>
          </w14:textFill>
        </w:rPr>
      </w:pPr>
      <w:bookmarkStart w:id="10" w:name="_Toc1803"/>
      <w:bookmarkStart w:id="11" w:name="_Toc957"/>
      <w:r>
        <w:rPr>
          <w:rFonts w:hint="eastAsia"/>
          <w:color w:val="000000" w:themeColor="text1"/>
          <w:sz w:val="28"/>
          <w:szCs w:val="28"/>
          <w14:textFill>
            <w14:solidFill>
              <w14:schemeClr w14:val="tx1"/>
            </w14:solidFill>
          </w14:textFill>
        </w:rPr>
        <w:t>第三部分用户需求书</w:t>
      </w:r>
      <w:bookmarkEnd w:id="10"/>
      <w:bookmarkEnd w:id="11"/>
    </w:p>
    <w:p w14:paraId="35FC934B">
      <w:pPr>
        <w:pStyle w:val="3"/>
        <w:spacing w:before="0" w:after="0" w:line="360" w:lineRule="auto"/>
        <w:jc w:val="center"/>
        <w:outlineLvl w:val="1"/>
        <w:rPr>
          <w:rFonts w:ascii="宋体" w:hAnsi="宋体"/>
          <w:color w:val="000000" w:themeColor="text1"/>
          <w14:textFill>
            <w14:solidFill>
              <w14:schemeClr w14:val="tx1"/>
            </w14:solidFill>
          </w14:textFill>
        </w:rPr>
      </w:pPr>
      <w:bookmarkStart w:id="12" w:name="_Toc30133"/>
      <w:bookmarkStart w:id="13" w:name="_Toc1593"/>
      <w:bookmarkStart w:id="14" w:name="_Toc31830"/>
      <w:bookmarkStart w:id="15" w:name="_Toc13112"/>
      <w:bookmarkStart w:id="16" w:name="_Toc14462"/>
      <w:bookmarkStart w:id="17" w:name="_Toc24679"/>
      <w:bookmarkStart w:id="18" w:name="_Toc31278"/>
      <w:bookmarkStart w:id="19" w:name="_Toc308786492"/>
      <w:r>
        <w:rPr>
          <w:rFonts w:hint="eastAsia" w:ascii="宋体" w:hAnsi="宋体"/>
          <w:color w:val="000000" w:themeColor="text1"/>
          <w14:textFill>
            <w14:solidFill>
              <w14:schemeClr w14:val="tx1"/>
            </w14:solidFill>
          </w14:textFill>
        </w:rPr>
        <w:t>第一章 商务需求书</w:t>
      </w:r>
      <w:bookmarkEnd w:id="12"/>
      <w:bookmarkEnd w:id="13"/>
      <w:bookmarkEnd w:id="14"/>
    </w:p>
    <w:tbl>
      <w:tblPr>
        <w:tblStyle w:val="31"/>
        <w:tblW w:w="868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1501"/>
        <w:gridCol w:w="6466"/>
      </w:tblGrid>
      <w:tr w14:paraId="15293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18" w:type="dxa"/>
            <w:vAlign w:val="center"/>
          </w:tcPr>
          <w:p w14:paraId="789E4D6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1501" w:type="dxa"/>
            <w:vAlign w:val="center"/>
          </w:tcPr>
          <w:p w14:paraId="602AA75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条款名称</w:t>
            </w:r>
          </w:p>
        </w:tc>
        <w:tc>
          <w:tcPr>
            <w:tcW w:w="6466" w:type="dxa"/>
            <w:vAlign w:val="center"/>
          </w:tcPr>
          <w:p w14:paraId="157BC736">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说  明</w:t>
            </w:r>
          </w:p>
        </w:tc>
      </w:tr>
      <w:tr w14:paraId="6C769A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1" w:hRule="atLeast"/>
        </w:trPr>
        <w:tc>
          <w:tcPr>
            <w:tcW w:w="718" w:type="dxa"/>
            <w:vAlign w:val="center"/>
          </w:tcPr>
          <w:p w14:paraId="2C0F336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1501" w:type="dxa"/>
            <w:vAlign w:val="center"/>
          </w:tcPr>
          <w:p w14:paraId="3DCF774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合格投标人</w:t>
            </w:r>
          </w:p>
        </w:tc>
        <w:tc>
          <w:tcPr>
            <w:tcW w:w="6466" w:type="dxa"/>
            <w:vAlign w:val="center"/>
          </w:tcPr>
          <w:p w14:paraId="569F3075">
            <w:pPr>
              <w:bidi w:val="0"/>
              <w:rPr>
                <w:color w:val="000000" w:themeColor="text1"/>
                <w14:textFill>
                  <w14:solidFill>
                    <w14:schemeClr w14:val="tx1"/>
                  </w14:solidFill>
                </w14:textFill>
              </w:rPr>
            </w:pPr>
            <w:r>
              <w:rPr>
                <w:rFonts w:hint="eastAsia"/>
                <w:color w:val="000000" w:themeColor="text1"/>
                <w14:textFill>
                  <w14:solidFill>
                    <w14:schemeClr w14:val="tx1"/>
                  </w14:solidFill>
                </w14:textFill>
              </w:rPr>
              <w:t>详见“第一部分 投标邀请”中“二、投标人资格要求”</w:t>
            </w:r>
          </w:p>
        </w:tc>
      </w:tr>
      <w:tr w14:paraId="79E8DD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1" w:hRule="atLeast"/>
        </w:trPr>
        <w:tc>
          <w:tcPr>
            <w:tcW w:w="718" w:type="dxa"/>
            <w:vAlign w:val="center"/>
          </w:tcPr>
          <w:p w14:paraId="27996DF7">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p>
        </w:tc>
        <w:tc>
          <w:tcPr>
            <w:tcW w:w="1501" w:type="dxa"/>
            <w:vAlign w:val="center"/>
          </w:tcPr>
          <w:p w14:paraId="56FA330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服务期</w:t>
            </w:r>
          </w:p>
        </w:tc>
        <w:tc>
          <w:tcPr>
            <w:tcW w:w="6466" w:type="dxa"/>
            <w:vAlign w:val="center"/>
          </w:tcPr>
          <w:p w14:paraId="27C79C19">
            <w:pPr>
              <w:bidi w:val="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自合同签订之日起至2026年12月31日（不含二期）</w:t>
            </w:r>
            <w:r>
              <w:rPr>
                <w:rFonts w:hint="eastAsia" w:asciiTheme="minorEastAsia" w:hAnsiTheme="minorEastAsia" w:cstheme="minorEastAsia"/>
                <w:color w:val="000000" w:themeColor="text1"/>
                <w:szCs w:val="21"/>
                <w14:textFill>
                  <w14:solidFill>
                    <w14:schemeClr w14:val="tx1"/>
                  </w14:solidFill>
                </w14:textFill>
              </w:rPr>
              <w:t>完成整个项目的建设及上线试运行，系统整体稳定试运行1个月后进行系统初验工作，初验通过即进入为期6个月的系统迭代优化阶段</w:t>
            </w:r>
            <w:r>
              <w:rPr>
                <w:rFonts w:hint="eastAsia"/>
                <w:color w:val="000000" w:themeColor="text1"/>
                <w:lang w:eastAsia="zh-CN"/>
                <w14:textFill>
                  <w14:solidFill>
                    <w14:schemeClr w14:val="tx1"/>
                  </w14:solidFill>
                </w14:textFill>
              </w:rPr>
              <w:t>。</w:t>
            </w:r>
            <w:r>
              <w:rPr>
                <w:rFonts w:hint="eastAsia" w:asciiTheme="minorEastAsia" w:hAnsiTheme="minorEastAsia" w:cstheme="minorEastAsia"/>
                <w:color w:val="000000" w:themeColor="text1"/>
                <w:szCs w:val="21"/>
                <w14:textFill>
                  <w14:solidFill>
                    <w14:schemeClr w14:val="tx1"/>
                  </w14:solidFill>
                </w14:textFill>
              </w:rPr>
              <w:t>完成系统建设、上线试运行、初验以及6个月的迭代优化并运行稳定，即具备终验条件，进行终验工作。</w:t>
            </w:r>
          </w:p>
        </w:tc>
      </w:tr>
      <w:tr w14:paraId="6E4D83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8" w:hRule="atLeast"/>
        </w:trPr>
        <w:tc>
          <w:tcPr>
            <w:tcW w:w="718" w:type="dxa"/>
            <w:vAlign w:val="center"/>
          </w:tcPr>
          <w:p w14:paraId="613DB934">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p>
        </w:tc>
        <w:tc>
          <w:tcPr>
            <w:tcW w:w="1501" w:type="dxa"/>
            <w:vAlign w:val="center"/>
          </w:tcPr>
          <w:p w14:paraId="4CC17EA5">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付款方式</w:t>
            </w:r>
          </w:p>
        </w:tc>
        <w:tc>
          <w:tcPr>
            <w:tcW w:w="6466" w:type="dxa"/>
            <w:vAlign w:val="center"/>
          </w:tcPr>
          <w:p w14:paraId="71C7E5F3">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按项目实施阶段分四期支付：</w:t>
            </w:r>
          </w:p>
          <w:p w14:paraId="3CFF73A1">
            <w:pPr>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第一期：合同签订后，采购人收到合格的付款发票及请款报告等资料之日起5个工作日内支付合同金额的</w:t>
            </w:r>
            <w:r>
              <w:rPr>
                <w:rFonts w:hint="eastAsia"/>
                <w:color w:val="000000" w:themeColor="text1"/>
                <w14:textFill>
                  <w14:solidFill>
                    <w14:schemeClr w14:val="tx1"/>
                  </w14:solidFill>
                </w14:textFill>
              </w:rPr>
              <w:t>30%预付款。</w:t>
            </w:r>
          </w:p>
          <w:p w14:paraId="023F4533">
            <w:pPr>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第二期：</w:t>
            </w:r>
            <w:r>
              <w:rPr>
                <w:rFonts w:hint="eastAsia"/>
                <w:color w:val="000000" w:themeColor="text1"/>
                <w14:textFill>
                  <w14:solidFill>
                    <w14:schemeClr w14:val="tx1"/>
                  </w14:solidFill>
                </w14:textFill>
              </w:rPr>
              <w:t>完成开发、单元测试、系统集成部署后</w:t>
            </w:r>
            <w:r>
              <w:rPr>
                <w:rFonts w:hint="eastAsia" w:asciiTheme="minorEastAsia" w:hAnsiTheme="minorEastAsia" w:cstheme="minorEastAsia"/>
                <w:color w:val="000000" w:themeColor="text1"/>
                <w:szCs w:val="21"/>
                <w14:textFill>
                  <w14:solidFill>
                    <w14:schemeClr w14:val="tx1"/>
                  </w14:solidFill>
                </w14:textFill>
              </w:rPr>
              <w:t>采购人收到合格的付款发票及试运行报告等资料之日起</w:t>
            </w:r>
            <w:r>
              <w:rPr>
                <w:rFonts w:hint="eastAsia" w:asciiTheme="minorEastAsia" w:hAnsiTheme="minorEastAsia" w:cstheme="minorEastAsia"/>
                <w:color w:val="000000" w:themeColor="text1"/>
                <w:szCs w:val="21"/>
                <w:lang w:val="zh-CN"/>
                <w14:textFill>
                  <w14:solidFill>
                    <w14:schemeClr w14:val="tx1"/>
                  </w14:solidFill>
                </w14:textFill>
              </w:rPr>
              <w:t>15</w:t>
            </w:r>
            <w:r>
              <w:rPr>
                <w:rFonts w:hint="eastAsia" w:asciiTheme="minorEastAsia" w:hAnsiTheme="minorEastAsia" w:cstheme="minorEastAsia"/>
                <w:color w:val="000000" w:themeColor="text1"/>
                <w:szCs w:val="21"/>
                <w14:textFill>
                  <w14:solidFill>
                    <w14:schemeClr w14:val="tx1"/>
                  </w14:solidFill>
                </w14:textFill>
              </w:rPr>
              <w:t>个工作日支付合同金额的</w:t>
            </w:r>
            <w:r>
              <w:rPr>
                <w:rFonts w:hint="eastAsia"/>
                <w:color w:val="000000" w:themeColor="text1"/>
                <w14:textFill>
                  <w14:solidFill>
                    <w14:schemeClr w14:val="tx1"/>
                  </w14:solidFill>
                </w14:textFill>
              </w:rPr>
              <w:t>40%进度款。</w:t>
            </w:r>
          </w:p>
          <w:p w14:paraId="06B3FECD">
            <w:pPr>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第三期：</w:t>
            </w:r>
            <w:r>
              <w:rPr>
                <w:rFonts w:hint="eastAsia"/>
                <w:color w:val="000000" w:themeColor="text1"/>
                <w14:textFill>
                  <w14:solidFill>
                    <w14:schemeClr w14:val="tx1"/>
                  </w14:solidFill>
                </w14:textFill>
              </w:rPr>
              <w:t>全集团上线、培训完成、验收合格后支付采购人收到合格的付款发票及终验报告等资料之日起15个工作日支付合同金额的25%验收款。</w:t>
            </w:r>
          </w:p>
          <w:p w14:paraId="6A83E0B9">
            <w:pPr>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第四期：项目维护期满后，采购人收到合格的付款发票及验收证明等资料之日起15个工作日内支付合同金额的5%。成交人应在每次申请付款前，向采购人提供相应金额的增值税专用发票，具体开票信息以合同约定为准。</w:t>
            </w:r>
          </w:p>
        </w:tc>
      </w:tr>
      <w:tr w14:paraId="30D487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1" w:hRule="atLeast"/>
        </w:trPr>
        <w:tc>
          <w:tcPr>
            <w:tcW w:w="718" w:type="dxa"/>
            <w:vAlign w:val="center"/>
          </w:tcPr>
          <w:p w14:paraId="2BB2A9C1">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w:t>
            </w:r>
          </w:p>
        </w:tc>
        <w:tc>
          <w:tcPr>
            <w:tcW w:w="1501" w:type="dxa"/>
            <w:vAlign w:val="center"/>
          </w:tcPr>
          <w:p w14:paraId="6F091BE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项目地点</w:t>
            </w:r>
          </w:p>
        </w:tc>
        <w:tc>
          <w:tcPr>
            <w:tcW w:w="6466" w:type="dxa"/>
            <w:vAlign w:val="center"/>
          </w:tcPr>
          <w:p w14:paraId="30792462">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采购人指定地点。</w:t>
            </w:r>
          </w:p>
        </w:tc>
      </w:tr>
      <w:tr w14:paraId="3592B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76" w:hRule="atLeast"/>
        </w:trPr>
        <w:tc>
          <w:tcPr>
            <w:tcW w:w="718" w:type="dxa"/>
            <w:vAlign w:val="center"/>
          </w:tcPr>
          <w:p w14:paraId="339663DA">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p>
        </w:tc>
        <w:tc>
          <w:tcPr>
            <w:tcW w:w="1501" w:type="dxa"/>
            <w:vAlign w:val="center"/>
          </w:tcPr>
          <w:p w14:paraId="4F0C3A63">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报价要求</w:t>
            </w:r>
          </w:p>
        </w:tc>
        <w:tc>
          <w:tcPr>
            <w:tcW w:w="6466" w:type="dxa"/>
            <w:vAlign w:val="center"/>
          </w:tcPr>
          <w:p w14:paraId="5F958F14">
            <w:pPr>
              <w:bidi w:val="0"/>
              <w:rPr>
                <w:color w:val="000000" w:themeColor="text1"/>
                <w14:textFill>
                  <w14:solidFill>
                    <w14:schemeClr w14:val="tx1"/>
                  </w14:solidFill>
                </w14:textFill>
              </w:rPr>
            </w:pPr>
            <w:r>
              <w:rPr>
                <w:color w:val="000000" w:themeColor="text1"/>
                <w14:textFill>
                  <w14:solidFill>
                    <w14:schemeClr w14:val="tx1"/>
                  </w14:solidFill>
                </w14:textFill>
              </w:rPr>
              <w:t>1.报价方式：以人民币报价。</w:t>
            </w:r>
          </w:p>
          <w:p w14:paraId="26DA632D">
            <w:pPr>
              <w:bidi w:val="0"/>
              <w:rPr>
                <w:color w:val="000000" w:themeColor="text1"/>
                <w14:textFill>
                  <w14:solidFill>
                    <w14:schemeClr w14:val="tx1"/>
                  </w14:solidFill>
                </w14:textFill>
              </w:rPr>
            </w:pPr>
            <w:r>
              <w:rPr>
                <w:color w:val="000000" w:themeColor="text1"/>
                <w14:textFill>
                  <w14:solidFill>
                    <w14:schemeClr w14:val="tx1"/>
                  </w14:solidFill>
                </w14:textFill>
              </w:rPr>
              <w:t>2.报价应包含完成本次采购所有标的内容的费用，包含服务费用、人工费、材料费、调试费、各种税务费及合同实施过程中的不可预见费用等全部费用（含采购文件所要求的必要的辅助材料费用)和售后服务费等。</w:t>
            </w:r>
          </w:p>
          <w:p w14:paraId="2E60F7AF">
            <w:pPr>
              <w:bidi w:val="0"/>
              <w:rPr>
                <w:rFonts w:hint="eastAsia"/>
                <w:color w:val="000000" w:themeColor="text1"/>
                <w:lang w:eastAsia="zh-CN"/>
                <w14:textFill>
                  <w14:solidFill>
                    <w14:schemeClr w14:val="tx1"/>
                  </w14:solidFill>
                </w14:textFill>
              </w:rPr>
            </w:pPr>
            <w:r>
              <w:rPr>
                <w:color w:val="000000" w:themeColor="text1"/>
                <w14:textFill>
                  <w14:solidFill>
                    <w14:schemeClr w14:val="tx1"/>
                  </w14:solidFill>
                </w14:textFill>
              </w:rPr>
              <w:t>3.报价应包含所有应支付的对专利权和版权、设计或其他知识产权而需要向其他方支付的版税</w:t>
            </w:r>
            <w:r>
              <w:rPr>
                <w:rFonts w:hint="eastAsia"/>
                <w:color w:val="000000" w:themeColor="text1"/>
                <w:lang w:eastAsia="zh-CN"/>
                <w14:textFill>
                  <w14:solidFill>
                    <w14:schemeClr w14:val="tx1"/>
                  </w14:solidFill>
                </w14:textFill>
              </w:rPr>
              <w:t>。</w:t>
            </w:r>
          </w:p>
          <w:p w14:paraId="4D4C22E3">
            <w:pPr>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4.</w:t>
            </w:r>
            <w:r>
              <w:rPr>
                <w:rFonts w:hint="default" w:ascii="Tahoma" w:hAnsi="Tahoma" w:cstheme="minorBidi"/>
                <w:color w:val="000000" w:themeColor="text1"/>
                <w:szCs w:val="22"/>
                <w14:textFill>
                  <w14:solidFill>
                    <w14:schemeClr w14:val="tx1"/>
                  </w14:solidFill>
                </w14:textFill>
              </w:rPr>
              <w:t>本项目需要投标人对免费质保期后的每年运维费用进行报价，报价不得高于本项目投标报价的7%，前述费用不计入在本项目投标报价中。免费质保期后，采购人有权在不高于本次运维报价的情况下与中标人洽商确定运维费用。</w:t>
            </w:r>
          </w:p>
        </w:tc>
      </w:tr>
      <w:tr w14:paraId="030AB3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1" w:hRule="atLeast"/>
        </w:trPr>
        <w:tc>
          <w:tcPr>
            <w:tcW w:w="718" w:type="dxa"/>
            <w:vAlign w:val="center"/>
          </w:tcPr>
          <w:p w14:paraId="289F4AB8">
            <w:pPr>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p>
        </w:tc>
        <w:tc>
          <w:tcPr>
            <w:tcW w:w="1501" w:type="dxa"/>
            <w:vAlign w:val="center"/>
          </w:tcPr>
          <w:p w14:paraId="28E8C56B">
            <w:pPr>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验收要求</w:t>
            </w:r>
          </w:p>
        </w:tc>
        <w:tc>
          <w:tcPr>
            <w:tcW w:w="6466" w:type="dxa"/>
            <w:vAlign w:val="center"/>
          </w:tcPr>
          <w:p w14:paraId="0CA73DE4">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1.功能验收</w:t>
            </w:r>
          </w:p>
          <w:p w14:paraId="72211C42">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所有本期规划建设模块完整落地，业务流程完整闭环，物联设备数据采集展示正常，台账报表、导出打印、消息提醒、权限管控功能全部正常使用，满足企业日常安全管理业务需求。</w:t>
            </w:r>
          </w:p>
          <w:p w14:paraId="5750820D">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2.性能验收</w:t>
            </w:r>
          </w:p>
          <w:p w14:paraId="49BEE2A7">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系统响应速度、并发承载、视频预览、数据采集等性能指标达到设计要求，长时间连续运行稳定无异常。</w:t>
            </w:r>
          </w:p>
          <w:p w14:paraId="09753F38">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3.接口验收</w:t>
            </w:r>
          </w:p>
          <w:p w14:paraId="6C8327AD">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各类硬件对接接口、内部交互接口运行稳定，数据传输实时准确，接口文档完整规范。</w:t>
            </w:r>
          </w:p>
          <w:p w14:paraId="7DBEF335">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4.安全验收</w:t>
            </w:r>
          </w:p>
          <w:p w14:paraId="6FEA998B">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权限隔离、数据备份、操作日志、网络防护等安全措施落实到位，无安全漏洞与数据风险。</w:t>
            </w:r>
          </w:p>
          <w:p w14:paraId="7151BA4F">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5.文档验收</w:t>
            </w:r>
          </w:p>
          <w:p w14:paraId="2293E3D8">
            <w:pPr>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完整交付需求报告、设计方案、接口文档、操作手册、运维手册、测试报告等全套资料，统一归档交付。</w:t>
            </w:r>
          </w:p>
        </w:tc>
      </w:tr>
      <w:tr w14:paraId="35B780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1" w:hRule="atLeast"/>
        </w:trPr>
        <w:tc>
          <w:tcPr>
            <w:tcW w:w="718" w:type="dxa"/>
            <w:vAlign w:val="center"/>
          </w:tcPr>
          <w:p w14:paraId="32EF3FF6">
            <w:pPr>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p>
        </w:tc>
        <w:tc>
          <w:tcPr>
            <w:tcW w:w="1501" w:type="dxa"/>
            <w:vAlign w:val="center"/>
          </w:tcPr>
          <w:p w14:paraId="10BB3E20">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投标有效期</w:t>
            </w:r>
          </w:p>
        </w:tc>
        <w:tc>
          <w:tcPr>
            <w:tcW w:w="6466" w:type="dxa"/>
            <w:vAlign w:val="center"/>
          </w:tcPr>
          <w:p w14:paraId="4654F203">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自开标之日起90天。</w:t>
            </w:r>
          </w:p>
        </w:tc>
      </w:tr>
      <w:tr w14:paraId="426E6B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1" w:hRule="atLeast"/>
        </w:trPr>
        <w:tc>
          <w:tcPr>
            <w:tcW w:w="718" w:type="dxa"/>
            <w:vAlign w:val="center"/>
          </w:tcPr>
          <w:p w14:paraId="1897DCD5">
            <w:pPr>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8</w:t>
            </w:r>
          </w:p>
        </w:tc>
        <w:tc>
          <w:tcPr>
            <w:tcW w:w="1501" w:type="dxa"/>
            <w:vAlign w:val="center"/>
          </w:tcPr>
          <w:p w14:paraId="7E3C5A3F">
            <w:pPr>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合同条款</w:t>
            </w:r>
          </w:p>
        </w:tc>
        <w:tc>
          <w:tcPr>
            <w:tcW w:w="6466" w:type="dxa"/>
            <w:vAlign w:val="center"/>
          </w:tcPr>
          <w:p w14:paraId="274D1AAF">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投标人实质响应合同各条款。</w:t>
            </w:r>
          </w:p>
        </w:tc>
      </w:tr>
      <w:tr w14:paraId="7C828B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1" w:hRule="atLeast"/>
        </w:trPr>
        <w:tc>
          <w:tcPr>
            <w:tcW w:w="718" w:type="dxa"/>
            <w:vAlign w:val="center"/>
          </w:tcPr>
          <w:p w14:paraId="546A83B9">
            <w:pPr>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9</w:t>
            </w:r>
          </w:p>
        </w:tc>
        <w:tc>
          <w:tcPr>
            <w:tcW w:w="1501" w:type="dxa"/>
            <w:vAlign w:val="center"/>
          </w:tcPr>
          <w:p w14:paraId="1703DF46">
            <w:pPr>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其他</w:t>
            </w:r>
          </w:p>
        </w:tc>
        <w:tc>
          <w:tcPr>
            <w:tcW w:w="6466" w:type="dxa"/>
            <w:vAlign w:val="center"/>
          </w:tcPr>
          <w:p w14:paraId="1B7A00DC">
            <w:pPr>
              <w:bidi w:val="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1、严格按照项目进度计划交付，确保一期在2026年12月底前完成全集团上线试运行。（单独提供承诺书）</w:t>
            </w:r>
          </w:p>
          <w:p w14:paraId="662E90B4">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2、提供需求对接、现场实施、系统测试、问题整改、操作培训全流程服务。（单独提供承诺书）</w:t>
            </w:r>
          </w:p>
          <w:p w14:paraId="742580D3">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r>
              <w:rPr>
                <w:rFonts w:hint="eastAsia" w:asciiTheme="minorEastAsia" w:hAnsiTheme="minorEastAsia" w:cstheme="minorEastAsia"/>
                <w:color w:val="000000" w:themeColor="text1"/>
                <w:szCs w:val="21"/>
                <w14:textFill>
                  <w14:solidFill>
                    <w14:schemeClr w14:val="tx1"/>
                  </w14:solidFill>
                </w14:textFill>
              </w:rPr>
              <w:t>项目维护期</w:t>
            </w:r>
            <w:r>
              <w:rPr>
                <w:rFonts w:hint="eastAsia" w:asciiTheme="minorEastAsia" w:hAnsiTheme="minorEastAsia" w:cstheme="minorEastAsia"/>
                <w:color w:val="000000" w:themeColor="text1"/>
                <w:szCs w:val="2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提供不少于1年免费运维服务，7×24小时技术响应。（单独提供承诺书）</w:t>
            </w:r>
          </w:p>
          <w:p w14:paraId="20D0E9D9">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4、配合完成二期迭代升级规划与建设。（单独提供承诺书）</w:t>
            </w:r>
          </w:p>
          <w:p w14:paraId="475F0C16">
            <w:pPr>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5、交付全套技术文档、使用手册、培训材料。（单独提供承诺书）</w:t>
            </w:r>
          </w:p>
        </w:tc>
      </w:tr>
    </w:tbl>
    <w:p w14:paraId="080BC5FE">
      <w:pPr>
        <w:rPr>
          <w:rFonts w:ascii="宋体" w:hAnsi="宋体"/>
          <w:color w:val="000000" w:themeColor="text1"/>
          <w:highlight w:val="yellow"/>
          <w14:textFill>
            <w14:solidFill>
              <w14:schemeClr w14:val="tx1"/>
            </w14:solidFill>
          </w14:textFill>
        </w:rPr>
      </w:pPr>
      <w:bookmarkStart w:id="20" w:name="_Toc19316"/>
      <w:r>
        <w:rPr>
          <w:rFonts w:hint="eastAsia" w:ascii="宋体" w:hAnsi="宋体"/>
          <w:color w:val="000000" w:themeColor="text1"/>
          <w:highlight w:val="yellow"/>
          <w14:textFill>
            <w14:solidFill>
              <w14:schemeClr w14:val="tx1"/>
            </w14:solidFill>
          </w14:textFill>
        </w:rPr>
        <w:br w:type="page"/>
      </w:r>
    </w:p>
    <w:p w14:paraId="5C918663">
      <w:pPr>
        <w:pStyle w:val="3"/>
        <w:spacing w:before="0" w:after="0" w:line="360" w:lineRule="auto"/>
        <w:jc w:val="center"/>
        <w:outlineLvl w:val="1"/>
        <w:rPr>
          <w:color w:val="000000" w:themeColor="text1"/>
          <w14:textFill>
            <w14:solidFill>
              <w14:schemeClr w14:val="tx1"/>
            </w14:solidFill>
          </w14:textFill>
        </w:rPr>
      </w:pPr>
      <w:bookmarkStart w:id="21" w:name="_Toc22644"/>
      <w:bookmarkStart w:id="22" w:name="_Toc9776"/>
      <w:r>
        <w:rPr>
          <w:rFonts w:hint="eastAsia" w:ascii="宋体" w:hAnsi="宋体"/>
          <w:color w:val="000000" w:themeColor="text1"/>
          <w14:textFill>
            <w14:solidFill>
              <w14:schemeClr w14:val="tx1"/>
            </w14:solidFill>
          </w14:textFill>
        </w:rPr>
        <w:t>第二章 技术需求书</w:t>
      </w:r>
      <w:bookmarkEnd w:id="20"/>
      <w:bookmarkEnd w:id="21"/>
      <w:bookmarkEnd w:id="22"/>
    </w:p>
    <w:bookmarkEnd w:id="15"/>
    <w:bookmarkEnd w:id="16"/>
    <w:bookmarkEnd w:id="17"/>
    <w:bookmarkEnd w:id="18"/>
    <w:bookmarkEnd w:id="19"/>
    <w:p w14:paraId="0086458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jc w:val="both"/>
        <w:textAlignment w:val="auto"/>
        <w:outlineLvl w:val="2"/>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23" w:name="_Toc15151"/>
      <w:bookmarkStart w:id="24" w:name="_Toc29541"/>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 项目概述</w:t>
      </w:r>
      <w:bookmarkEnd w:id="23"/>
      <w:bookmarkEnd w:id="24"/>
    </w:p>
    <w:p w14:paraId="307D8AC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jc w:val="both"/>
        <w:textAlignment w:val="auto"/>
        <w:outlineLvl w:val="3"/>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25" w:name="_Toc13225"/>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1.1项目背景</w:t>
      </w:r>
      <w:bookmarkEnd w:id="25"/>
    </w:p>
    <w:p w14:paraId="3D3951D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当前企业安全管理覆盖瓶装气、车辆配送、管道气、加油站、加气站、物业租赁、光伏施工、储能施工及维护等多业务板块，呈现点多、面广、线长、风险高的特点。传统安全管理以纸质台账、人工巡检、线下流转为主，存在数据不互通、监管不及时、流程不闭环、统计不直观、隐患处置滞后等问题，已无法满足现代化安全生产管控的合规要求和效率需求。</w:t>
      </w:r>
    </w:p>
    <w:p w14:paraId="374040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为落实企业安全生产主体责任，全面提升安全管理数字化、标准化、规范化水平，破解传统管理痛点，企业决定建设安全生产管理数字化平台，统一整合安全管理全流程业务，打通视频监控、站控工艺参数、物业消防系统三大核心硬件系统，实现业务线上化、数据可视化、监管实时化，推动安全管理模式从 “被动处置” 向 “主动防控” 转型。</w:t>
      </w:r>
    </w:p>
    <w:p w14:paraId="0CBC01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平台严格遵循 “先基础框架、后智能赋能” 的建设思路，分两期实施：一期完成平台底座搭建、三大系统硬对接、基础安全业务线上化，满足日常合规管理需求；二期全面叠加 AI 智能能力、视频存储、智能分析、热力地图、自动研判等高阶功能，最终建成 “可看、可控、可管、可预警” 的一体化智慧安全管理平台，全面提升企业安全管理效能。</w:t>
      </w:r>
    </w:p>
    <w:p w14:paraId="6ABCE73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26" w:name="_Toc8868"/>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1.2 一期建设目标</w:t>
      </w:r>
      <w:bookmarkEnd w:id="26"/>
    </w:p>
    <w:p w14:paraId="224A3AFC">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搭建统一、稳定、可扩展的平台底座，完成组织架构、用户账号、角色权限、流程引擎、消息推送、操作日志等基础支撑能力建设，保障系统正常运行。实现四大核心板块（视频监控整合、站控工艺参数集中展示、物业消防系统整合、综合安全管理）的基础建设，确保各板块功能适配一期需求，数据互通。</w:t>
      </w:r>
    </w:p>
    <w:p w14:paraId="6903306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视频监控支持不限路数接入，平台具备同时调看 / 上墙 10 路视频画面的能力，一期暂不建设视频存储、录像回放功能，聚焦基础监控需求。</w:t>
      </w:r>
    </w:p>
    <w:p w14:paraId="7071C9D3">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完成综合安全管理板块全部基础子模块建设，实现安全组织与责任制、目标管理、会议管理、培训教育、检查隐患等基础业务从纸质办公向线上流程化、电子化转型。</w:t>
      </w:r>
    </w:p>
    <w:p w14:paraId="336C28E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建立统一的数据入口与台账中心，实现四大板块数据的集中管理、查询统计，通过基础可视化看板和东莞地图点位展示，满足日常安全管理、合规检查、基础汇报需求。</w:t>
      </w:r>
    </w:p>
    <w:p w14:paraId="4AC3704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预留二期 AI 智能、智能分析、热力图、存储扩容等全部扩展接口，确保二期建设无需重构底层架构，保障建设的连续性。</w:t>
      </w:r>
    </w:p>
    <w:p w14:paraId="4995984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27" w:name="_Toc4112"/>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1.3 一期建设范围</w:t>
      </w:r>
      <w:bookmarkEnd w:id="27"/>
    </w:p>
    <w:p w14:paraId="44A44C6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1.3.1 板块覆盖范围</w:t>
      </w:r>
    </w:p>
    <w:p w14:paraId="21E98F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平台一期覆盖四大核心板块，具体如下：</w:t>
      </w:r>
    </w:p>
    <w:p w14:paraId="71437A9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平台基础支撑模块（全板块通用）：组织架构管理、用户权限管理、流程管理、消息管理、日志管理、系统配置管理、文件管理，为四大板块提供统一支撑。</w:t>
      </w:r>
    </w:p>
    <w:p w14:paraId="250B0A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视频监控整合板块：实现视频设备统一接入、实时预览、云台控制、视频联动等基础功能，不包含视频存储和 AI 分析。</w:t>
      </w:r>
    </w:p>
    <w:p w14:paraId="0B1C82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站控工艺参数集中展示板块：实现加油站、加气站等场站工艺参数实时采集、集中展示、报警管理，单向读取数据不控制设备。</w:t>
      </w:r>
    </w:p>
    <w:p w14:paraId="345BB85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物业消防系统整合板块：实现消防设备状态监控、报警管理、视频联动、消防档案基础管理，满足消防合规管控需求。</w:t>
      </w:r>
    </w:p>
    <w:p w14:paraId="01AAAFD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综合安全管理板块：包含安全组织与责任制、安全目标、安全会议、安全培训、安全检查与隐患排查、入户安检、风险分级管控等 14 个子模块，覆盖企业日常安全管理全业务。</w:t>
      </w:r>
    </w:p>
    <w:p w14:paraId="2B8490F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数据可视化与点位展示：基础数据可视化看板、东莞地图基础点位展示，实现四大板块核心数据汇总展示和点位关联。</w:t>
      </w:r>
    </w:p>
    <w:p w14:paraId="721D4E1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1.3.2 终端覆盖范围</w:t>
      </w:r>
    </w:p>
    <w:p w14:paraId="6A6C1B3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PC 管理端：支持浏览器访问，主要用于管理人员进行系统配置、业务审批、数据统计、报表导出等操作，提供完整的管理功能。</w:t>
      </w:r>
    </w:p>
    <w:p w14:paraId="7A28BE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移动端 APP：支持手机端安装使用，主要用于一线巡检人员、作业人员、安检人员进行现场操作，包括隐患上报、检查记录、报警接收、作业审批等，适配移动办公场景。</w:t>
      </w:r>
    </w:p>
    <w:p w14:paraId="34F1FE5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智慧大屏端：用于指挥中心集中展示，实时呈现四大板块核心数据、视频监控画面、工艺参数、消防状态、报警信息等，支持多画面分割、重点区域突出展示。</w:t>
      </w:r>
    </w:p>
    <w:p w14:paraId="53F7B2A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1.3.3 用户覆盖范围</w:t>
      </w:r>
    </w:p>
    <w:p w14:paraId="3A87ACC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企业高层管理者：查看安全管理总体情况、关键指标、风险预警，进行决策部署。</w:t>
      </w:r>
    </w:p>
    <w:p w14:paraId="234869B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安全管理部门全员：负责系统配置、业务统筹、隐患督办、培训组织、合规检查等工作，统筹管理四大板块业务。</w:t>
      </w:r>
    </w:p>
    <w:p w14:paraId="5D84026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各业务部门负责人：管理本部门相关安全业务，查看本部门隐患、培训、作业等相关数据，落实安全责任。</w:t>
      </w:r>
    </w:p>
    <w:p w14:paraId="0233707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一线巡检、作业、安检人员：开展现场巡检、隐患上报、作业操作、入户安检等现场工作，主要操作综合安全管理板块相关子模块。</w:t>
      </w:r>
    </w:p>
    <w:p w14:paraId="7DAE75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维保、应急、值班人员：负责设备维保、应急处置、值班值守，接收报警信息并及时处置，对接视频监控、消防、工艺参数三大板块。</w:t>
      </w:r>
    </w:p>
    <w:p w14:paraId="62FC056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相关方（供应商、承包商）管理人员：管理相关方资质、作业许可、安全培训等相关业务，操作综合安全管理板块相关子模块。</w:t>
      </w:r>
    </w:p>
    <w:p w14:paraId="58BF684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28" w:name="_Toc31655"/>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1.4 建设原则</w:t>
      </w:r>
      <w:bookmarkEnd w:id="28"/>
    </w:p>
    <w:p w14:paraId="6A0864C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刚需优先，聚焦核心：一期聚焦必须用、必须通、必须合规的核心功能，不建设非必要的高阶功能，确保资源集中投入四大板块核心需求。</w:t>
      </w:r>
    </w:p>
    <w:p w14:paraId="02840B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板块清晰，数据互通：明确四大核心板块划分，确保各板块边界清晰、功能独立，同时实现板块间数据互通，避免数据孤岛。</w:t>
      </w:r>
    </w:p>
    <w:p w14:paraId="2E4F5AE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架构统一，一次建成：平台底座、技术架构、数据标准、权限体系一期全部定型，二期仅在现有架构上进行功能叠加和升级，不推翻重做，降低后续建设成本和技术风险。</w:t>
      </w:r>
    </w:p>
    <w:p w14:paraId="0E7C739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先能用，再智能：一期以 “能用、好用、合规” 为核心，重点实现流程化、线上化、台账化，满足日常安全管理需求；二期再实现 “智能、自动、预判”，提升管理效率和防控能力。</w:t>
      </w:r>
    </w:p>
    <w:p w14:paraId="64A8DD7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极简稳定，易维护：系统界面简洁、操作简单，适配一线人员的操作水平，降低培训成本；系统架构稳定可靠，故障发生率低，便于运维人员进行日常维护和问题排查。</w:t>
      </w:r>
    </w:p>
    <w:p w14:paraId="4549F5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安全合规，可追溯：系统全程实现操作留痕、数据加密、权限隔离，确保安全管理数据的真实性、完整性和安全性，满足安全生产合规检查、审计的相关要求。</w:t>
      </w:r>
    </w:p>
    <w:p w14:paraId="6068DE1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29" w:name="_Toc13438"/>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1.5 一期建设策略</w:t>
      </w:r>
      <w:bookmarkEnd w:id="29"/>
    </w:p>
    <w:p w14:paraId="457D73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核心定位：搭建系统基础框架，明确四大核心板块架构，打通三大硬件系统，实现综合安全管理业务线上化，满足日常合规管理需求，为二期智能升级奠定坚实基础。</w:t>
      </w:r>
    </w:p>
    <w:p w14:paraId="4D32BA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核心内容：</w:t>
      </w:r>
    </w:p>
    <w:p w14:paraId="11B85C1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平台底座建设：完成组织、用户、权限、流程、消息、日志、配置等基础支撑模块的开发部署，为四大板块提供统一支撑，确保系统正常运行。</w:t>
      </w:r>
    </w:p>
    <w:p w14:paraId="7ED9FD8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三大硬件板块建设：完成视频监控、站控工艺参数、物业消防系统的基础对接，实现实时监控和基础联动，确保硬件数据互通。</w:t>
      </w:r>
    </w:p>
    <w:p w14:paraId="7E7234B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综合安全管理板块建设：完成 14 个子模块的开发，实现基础安全业务线上化，覆盖日常安全管理全流程，确保流程闭环、台账可追溯。</w:t>
      </w:r>
    </w:p>
    <w:p w14:paraId="7CFB3A3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数据可视化建设：搭建基础数据看板、东莞地图基础点位展示，实现四大板块核心数据汇总展示和点位关联，便于管理人员快速掌握全局安全状态。</w:t>
      </w:r>
    </w:p>
    <w:p w14:paraId="40F9AA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二期规划：AI 智能相关功能、视频存储和录像回放功能、热力图、大数据分析功能等高阶智能功能，将在二期建设中逐步落地，一期预留相关扩展接口。</w:t>
      </w:r>
    </w:p>
    <w:p w14:paraId="200FD51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2"/>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30" w:name="_Toc4937"/>
      <w:bookmarkStart w:id="31" w:name="_Toc4502"/>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 一期总体架构设计</w:t>
      </w:r>
      <w:bookmarkEnd w:id="30"/>
      <w:bookmarkEnd w:id="31"/>
    </w:p>
    <w:p w14:paraId="2E217BA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32" w:name="_Toc13351"/>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2.1 设计思路</w:t>
      </w:r>
      <w:bookmarkEnd w:id="32"/>
    </w:p>
    <w:p w14:paraId="67CD40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平台采用微服务架构设计，遵循 “高内聚、低耦合、易扩展、易维护” 的核心原则，整体分为五层架构（基础设施层、数据资源层、平台底座层、业务应用层、展示交互层），其中业务应用层严格对应四大核心板块，确保系统的灵活性、可扩展性和稳定性。</w:t>
      </w:r>
    </w:p>
    <w:p w14:paraId="1076B4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一期建设完成全架构的部署，仅暂不开发 AI 算法、视频存储、智能分析、热力渲染等高阶模块，不改变架构整体结构；二期建设直接在现有架构上进行功能扩展和升级，无需重构底层架构，保障系统的连续性和建设的延续性。</w:t>
      </w:r>
    </w:p>
    <w:p w14:paraId="1C988A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架构设计充分考虑企业多业务板块的差异化需求，实现四大板块的灵活配置和数据的互联互通，同时严格遵循安全生产相关法规要求，确保系统的安全合规性和数据的安全性。</w:t>
      </w:r>
    </w:p>
    <w:p w14:paraId="69C937E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33" w:name="_Toc27862"/>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2.2 技术架构</w:t>
      </w:r>
      <w:bookmarkEnd w:id="33"/>
    </w:p>
    <w:p w14:paraId="263DE4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技术架</w:t>
      </w:r>
      <w:r>
        <w:rPr>
          <w:rFonts w:hint="eastAsia" w:asciiTheme="minorEastAsia" w:hAnsiTheme="minorEastAsia" w:eastAsiaTheme="minorEastAsia" w:cstheme="minorEastAsia"/>
          <w:b w:val="0"/>
          <w:bCs w:val="0"/>
          <w:color w:val="000000" w:themeColor="text1"/>
          <w:kern w:val="2"/>
          <w:sz w:val="21"/>
          <w:szCs w:val="21"/>
          <w:highlight w:val="none"/>
          <w:lang w:val="en-US" w:eastAsia="zh-CN" w:bidi="ar-SA"/>
          <w14:textFill>
            <w14:solidFill>
              <w14:schemeClr w14:val="tx1"/>
            </w14:solidFill>
          </w14:textFill>
        </w:rPr>
        <w:t>构分为五层，从下至上以此为基础设施层、数据资源层、平台底座层、业务应用层、展示交互层，各层相互支撑、协同工作，构成完整的系统技术体系。</w:t>
      </w:r>
    </w:p>
    <w:p w14:paraId="596A461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highlight w:val="none"/>
          <w:lang w:val="en-US" w:eastAsia="zh-CN" w:bidi="ar-SA"/>
          <w14:textFill>
            <w14:solidFill>
              <w14:schemeClr w14:val="tx1"/>
            </w14:solidFill>
          </w14:textFill>
        </w:rPr>
        <w:t>2.2.1 基础设施层</w:t>
      </w:r>
    </w:p>
    <w:p w14:paraId="3D3913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基础设施层是系统运行的基础支撑，主要包括云服务器、操作系统、数据库、中间件、网络设备、安全组件等，一期按最小够用原则配置，支持二期平滑扩容。</w:t>
      </w:r>
    </w:p>
    <w:p w14:paraId="034342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服务器：云服务器。</w:t>
      </w:r>
    </w:p>
    <w:p w14:paraId="54A2B4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操作系统：采用稳定、安全的服务器操作系统，支持多终端接入和多任务处理，确保系统 24 小时稳定运行。</w:t>
      </w:r>
    </w:p>
    <w:p w14:paraId="5CD28C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数据库：采用关系型数据库，用于存储业务数据、设备数据、用户数据等，支持数据的快速查询、统计和备份，确保数据的完整性和可靠性。</w:t>
      </w:r>
    </w:p>
    <w:p w14:paraId="00F7A8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中间件：包括消息中间件、缓存中间件等，用于实现系统各模块之间的通信、数据缓存，提升系统响应速度和并发处理能力。</w:t>
      </w:r>
    </w:p>
    <w:p w14:paraId="5F5193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网络设备：包括交换机、路由器、防火墙等，构建安全、稳定的网络环境，实现设备接入、数据传输和终端访问，确保网络的安全性和流畅性。</w:t>
      </w:r>
    </w:p>
    <w:p w14:paraId="7162AE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安全组件：包括数据加密、防火墙、入侵检测等，用于保障系统数据和网络的安全，防止数据泄露、篡改和网络攻击。</w:t>
      </w:r>
    </w:p>
    <w:p w14:paraId="4BF267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2.2.2 数据资源层</w:t>
      </w:r>
    </w:p>
    <w:p w14:paraId="2B8BEA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数据资源层是系统的数据中心，负责各类数据的集中存储、管理和处理，统一数据标准，为上层四大板块提供数据支撑，同时预留二期扩展数据接口。</w:t>
      </w:r>
    </w:p>
    <w:p w14:paraId="675B0B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基础数据：包括组织架构、人员信息、岗位信息、职责信息、权限信息、系统配置、数据字典等，是系统运行的基础数据，支撑全板块运行。</w:t>
      </w:r>
    </w:p>
    <w:p w14:paraId="7B955F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业务数据：主要来自综合安全管理板块，包括安全培训、安全检查、隐患排查、危险作业、设备设施、应急管理、事故处理、安全投入等安全管理相关业务数据。</w:t>
      </w:r>
    </w:p>
    <w:p w14:paraId="4DE651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设备采集数据：主要来自三大硬件板块，包括视频实时流数据、工艺参数数据（压力、液位、流量等）、消防设备状态数据、报警信息数据等，来自三大硬件系统的实时采集。</w:t>
      </w:r>
    </w:p>
    <w:p w14:paraId="3C0108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数据处理：对采集的各类数据进行清洗、标准化、脱敏处理，构建统一的数据仓库，确保数据的准确性和一致性，支持数据的查询、统计和分析，实现四大板块数据互通。</w:t>
      </w:r>
    </w:p>
    <w:p w14:paraId="0AC7F2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2.2.3 平台底座层</w:t>
      </w:r>
    </w:p>
    <w:p w14:paraId="73180A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平台底座层是系统的核心支撑层，一期 100% 完成建设，为上层四大板块提供统一的基础能力，确保各板块的协同工作和数据互通。</w:t>
      </w:r>
    </w:p>
    <w:p w14:paraId="545F7B5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统一认证：实现用户的统一登录、身份验证，支持多终端统一认证，确保用户身份的安全性和合法性。</w:t>
      </w:r>
    </w:p>
    <w:p w14:paraId="63006E6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组织用户管理：实现组织架构、用户账号、岗位信息的统一管理，支持用户的新增、修改、删除、禁用等操作。</w:t>
      </w:r>
    </w:p>
    <w:p w14:paraId="160619E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角色权限管理：实现角色的自定义和权限的分级分配，支持菜单权限、数据权限、操作权限的精细化管控，确保数据的安全访问，适配四大板块权限需求。</w:t>
      </w:r>
    </w:p>
    <w:p w14:paraId="407D55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流程引擎：提供自定义审批流程的能力，支持流程节点、审批人、条件跳转的配置，实现各类业务流程的线上化审批，主要支撑综合安全管理板块业务。</w:t>
      </w:r>
    </w:p>
    <w:p w14:paraId="40719A7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消息中心：实现系统消息、APP 消息、短信消息的推送和管理，支持报警消息、审批消息、整改消息等各类消息的实时推送和记录，覆盖四大板块消息需求。</w:t>
      </w:r>
    </w:p>
    <w:p w14:paraId="03746AC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操作日志：记录用户的所有操作行为，包括登录、操作内容、操作时间、IP 地址等，确保操作行为可追溯、可审计，覆盖四大板块操作记录。</w:t>
      </w:r>
    </w:p>
    <w:p w14:paraId="33D2E6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数据备份：实现系统数据的定期备份和恢复，支持手动备份和自动备份，确保数据的安全性和可恢复性。</w:t>
      </w:r>
    </w:p>
    <w:p w14:paraId="45F46D7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接口网关：提供统一的接口管理和调用能力，实现系统内部各模块之间、系统与外部设备之间的接口对接，确保数据的互联互通，支撑三大硬件板块设备对接。</w:t>
      </w:r>
    </w:p>
    <w:p w14:paraId="6A07764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配置中心：实现系统基础参数、业务规则、报警阈值、打印模板等的统一配置和管理，提升系统的灵活性和可维护性，适配四大板块参数配置需求。</w:t>
      </w:r>
    </w:p>
    <w:p w14:paraId="245A87A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2.2.4 业务应用层</w:t>
      </w:r>
    </w:p>
    <w:p w14:paraId="741287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业务应用层是系统的核心业务承载层，严格对应四大核心板块，一期完成各板块基础功能建设，为用户提供完整的基础安全管理功能。</w:t>
      </w:r>
    </w:p>
    <w:p w14:paraId="69B9A2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平台基础支撑模块（全板块通用）：包括组织架构管理、用户与账号管理、角色与权限管理、流程引擎管理、消息推送管理、操作日志与审计、系统配置管理、文件管理，为四大板块提供统一支撑。</w:t>
      </w:r>
    </w:p>
    <w:p w14:paraId="013142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第一板块：视频监控整合板块：支持不限路数视频接入，同时调看 10 路视频，实现实时预览等基础功能，不包含存储和 AI 分析。</w:t>
      </w:r>
    </w:p>
    <w:p w14:paraId="2A8B0E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第二板块：站控工艺参数集中展示板块：实现加油站、加气站等场站工艺参数的实时采集、展示、报警管理，支持历史数据查询和多终端展示，单向读取数据不控制设备。</w:t>
      </w:r>
    </w:p>
    <w:p w14:paraId="74F8F8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第三板块：物业消防系统整合板块：实现消防设备状态实时监控、报警管理、联动视频查看，支持消防档案基础管理，满足消防合规管控需求。</w:t>
      </w:r>
    </w:p>
    <w:p w14:paraId="2B4A0B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第四板块：综合安全管理板块：包含 14 个子模块，分别为安全组织与责任制管理、安全目标管理、安全会议管理、安全培训教育管理、安全检查与隐患排查治理、入户安检管理、风险分级管控、危险作业许可管理、相关方安全管理、安全设备设施管理、职业健康管理、应急管理与救援、事故管理、安全投入管理，覆盖企业日常安全管理全业务。</w:t>
      </w:r>
    </w:p>
    <w:p w14:paraId="4ED21C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数据可视化与点位展示：基础数据可视化看板（汇总四大板块核心数据）、东莞地图基础点位展示（关联四大板块相关点位）。</w:t>
      </w:r>
    </w:p>
    <w:p w14:paraId="6645243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2.2.5 展示交互层</w:t>
      </w:r>
    </w:p>
    <w:p w14:paraId="3525D0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展示交互层是系统与用户的交互界面，实现四大板块各类业务功能的展示和用户操作，支持 PC 端、移动端 APP、智慧大屏端多终端展示，确保用户操作的便捷性和体验感。</w:t>
      </w:r>
    </w:p>
    <w:p w14:paraId="6843B8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PC 管理端：提供完整的系统管理和业务操作功能，界面简洁、布局合理，支持数据统计、报表导出、系统配置等操作，适配管理人员的办公需求，可全面操作四大板块功能。</w:t>
      </w:r>
    </w:p>
    <w:p w14:paraId="13DB54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移动端 APP：采用简洁的操作界面，支持隐患上报、检查记录、报警接收、作业审批等现场操作，适配一线人员的移动办公需求，主要聚焦综合安全管理板块和三大硬件板块的现场操作功能，支持离线操作和数据同步。</w:t>
      </w:r>
    </w:p>
    <w:p w14:paraId="314A81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智慧大屏端：采用可视化图表和多画面分割展示，实时呈现四大板块核心数据、视频监控画面、工艺参数、消防状态、报警信息、隐患分布等核心数据，便于管理人员实时监控全局安全状态。</w:t>
      </w:r>
    </w:p>
    <w:p w14:paraId="5526F18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default"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2.2.6 系统部署</w:t>
      </w:r>
    </w:p>
    <w:p w14:paraId="5AAC86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PLC站控系统及可燃气体报警系统（有无线和有线二套）</w:t>
      </w:r>
    </w:p>
    <w:p w14:paraId="17EE86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二座加气站均为SCADA系统，加氢站是WinCC系统（SCADA的一种）均已整合可燃气体报警系统。</w:t>
      </w:r>
      <w:bookmarkStart w:id="306" w:name="_GoBack"/>
      <w:bookmarkEnd w:id="306"/>
    </w:p>
    <w:p w14:paraId="4E8975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4座加油站，其中3座加油站系统是TLS_S.官桥站用的智能云端系统。</w:t>
      </w:r>
    </w:p>
    <w:p w14:paraId="036F396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34" w:name="_Toc14296"/>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2.3 功能架构</w:t>
      </w:r>
      <w:bookmarkEnd w:id="34"/>
    </w:p>
    <w:p w14:paraId="2F8A8B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一期功能架构聚焦基础框架和四大核心板块，确保系统 “能用、好用、合规”，板块边界清晰、数据互通，为二期智能升级预留扩展接口，具体功能架构如下：</w:t>
      </w:r>
    </w:p>
    <w:p w14:paraId="1B8839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平台支撑功能（全板块通用）：包括组织架构管理、用户与账号管理、角色与权限管理、流程引擎管理、消息推送管理、操作日志与审计、系统配置管理、文件管理，为四大板块提供统一支撑。</w:t>
      </w:r>
    </w:p>
    <w:p w14:paraId="7A3380E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第一板块：视频监控整合板块：支持不限路数视频接入，同时调看 10 路视频，实现实时预览、云台控制、视频联动、权限管理、设备状态监控等基础功能，不包含存储和 AI 分析，预留二期扩展接口。</w:t>
      </w:r>
    </w:p>
    <w:p w14:paraId="6C27C7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第二板块：站控工艺参数集中展示板块：实现工艺参数实时采集、集中展示、参数配置、历史数据查询、报警管理、数据联动、设备状态监控等基础功能，单向读取数据不控制设备，预留二期 AI 研判接口。</w:t>
      </w:r>
    </w:p>
    <w:p w14:paraId="6F340E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第三板块：物业消防系统整合板块：实现消防设备接入、设备管理、状态监控、报警管理、报警联动、报警处置、消防档案管理、维保提醒等基础功能，不具备消防设备控制功能，预留二期 AI 预警接口。</w:t>
      </w:r>
    </w:p>
    <w:p w14:paraId="40D9E6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第四板块：综合安全管理板块：包含 14 个子模块，各子模块功能聚焦基础业务线上化，实现流程闭环、台账可追溯，满足日常合规管理需求，预留二期智能升级接口。</w:t>
      </w:r>
    </w:p>
    <w:p w14:paraId="473B6D5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数据可视化与点位展示：基础数据可视化看板（汇总四大板块核心指标、统计数据）、东莞地图基础点位展示（标注场站、设备、隐患等相关点位）。</w:t>
      </w:r>
    </w:p>
    <w:p w14:paraId="1C4D7AB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扩展接口预留：为二期 AI 智能、视频存储、热力图、大数据分析等功能预留接口，确保二期建设无需重构架构，直接进行功能叠加。</w:t>
      </w:r>
    </w:p>
    <w:p w14:paraId="7BFD199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35" w:name="_Toc13584"/>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2.4 数据架构</w:t>
      </w:r>
      <w:bookmarkEnd w:id="35"/>
    </w:p>
    <w:p w14:paraId="12D4D7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数据架构围绕 “统一标准、集中管理、按需扩展” 的原则，构建完整的数据体系，确保四大板块数据的准确性、一致性和安全性，同时支持二期数据扩展，为智能功能提供数据支撑。</w:t>
      </w:r>
    </w:p>
    <w:p w14:paraId="0FE8E83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2.4.1 数据分类</w:t>
      </w:r>
    </w:p>
    <w:p w14:paraId="42C3AE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基础数据：主要包括组织数据（部门、岗位）、用户数据（账号、身份信息）、权限数据（角色、权限分配）、配置数据（系统参数、业务规则）、字典数据（基础编码、分类标准），是系统运行的基础，支撑全板块运行，一期全部完成采集和管理。</w:t>
      </w:r>
    </w:p>
    <w:p w14:paraId="1B8E21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业务数据：主要来自综合安全管理板块，包括培训记录、检查记录、隐患信息、作业许可、设备台账、应急演练记录、事故报告、安全投入明细等，一期实现线上化采集、存储和管理，二期实现智能分析和利用。</w:t>
      </w:r>
    </w:p>
    <w:p w14:paraId="4F50F3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设备采集数据：主要来自三大硬件板块，包括视频实时流数据、工艺参数数据（压力、液位、流量、温度等）、消防设备状态数据（火警、故障、运行状态等）、报警信息数据，一期实现实时采集和基础展示，二期实现智能分析和预警。</w:t>
      </w:r>
    </w:p>
    <w:p w14:paraId="21D2A7C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2.4.2 数据处理流程</w:t>
      </w:r>
    </w:p>
    <w:p w14:paraId="1A9BA2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数据采集：通过接口对接（三大硬件板块）、手动录入（综合安全管理板块）、设备自动采集等方式，收集各类数据，确保数据的实时性和完整性。</w:t>
      </w:r>
    </w:p>
    <w:p w14:paraId="5B54A9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数据清洗：对采集到的数据进行去重、纠错、补全处理，去除无效数据和异常数据，确保数据的准确性。</w:t>
      </w:r>
    </w:p>
    <w:p w14:paraId="420491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数据标准化：按照统一的数据标准，对各类数据进行标准化处理，确保四大板块、不同模块、不同设备的数据格式一致，实现数据互通。</w:t>
      </w:r>
    </w:p>
    <w:p w14:paraId="3D98B9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数据存储：将处理后的各类数据存储到对应数据库中，实现数据的集中管理，一期按基础需求配置存储容量，二期扩展存储容量。</w:t>
      </w:r>
    </w:p>
    <w:p w14:paraId="2FA1A4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数据查询与统计：提供灵活的数据查询和统计功能，支持按时间、区域、部门、类型等多维度查询统计，为四大板块业务管理和决策提供数据支撑。</w:t>
      </w:r>
    </w:p>
    <w:p w14:paraId="05DC31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数据备份与恢复：定期对数据进行备份，支持手动备份和自动备份，确保数据的安全性，出现数据丢失时可快速恢复。</w:t>
      </w:r>
    </w:p>
    <w:p w14:paraId="048C6EA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2.4.3 数据安全</w:t>
      </w:r>
    </w:p>
    <w:p w14:paraId="6562AC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数据加密：对敏感数据进行加密存储和传输，防止数据泄露和篡改，确保数据的安全性。</w:t>
      </w:r>
    </w:p>
    <w:p w14:paraId="2185A0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数据脱敏：对涉及个人隐私、企业机密的数据进行脱敏处理，避免敏感信息泄露。</w:t>
      </w:r>
    </w:p>
    <w:p w14:paraId="34827E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操作留痕：所有数据的新增、修改、删除操作均记录日志，确保数据操作可追溯、可审计，覆盖四大板块数据操作。</w:t>
      </w:r>
    </w:p>
    <w:p w14:paraId="373ED5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权限控制：按角色分配数据访问权限，不同角色仅能访问权限范围内的数据，防止数据越权访问，适配四大板块数据权限需求。</w:t>
      </w:r>
    </w:p>
    <w:p w14:paraId="2A75F8A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36" w:name="_Toc10847"/>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2.5 接口架构</w:t>
      </w:r>
      <w:bookmarkEnd w:id="36"/>
    </w:p>
    <w:p w14:paraId="39132A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接口架构遵循 “统一标准、灵活扩展、安全可靠” 的原则，构建完整的接口体系，实现系统内部各模块之间、系统与外部设备之间、系统与终端之间的互联互通，同时预留二期扩展接口，支撑四大板块协同运行。</w:t>
      </w:r>
    </w:p>
    <w:p w14:paraId="1D99AEF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2.5.1 接口分类</w:t>
      </w:r>
    </w:p>
    <w:p w14:paraId="4E5F16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视频对接接口（支撑视频监控整合板块）：主要用于对接视频监控设备，支持 GB/T 28181、RTSP、ONVIF 等主流安防协议，实现视频实时流的采集、预览、云台控制等功能，一期完成基础接口对接，二期扩展 AI 分析接口。</w:t>
      </w:r>
    </w:p>
    <w:p w14:paraId="496CC1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工艺参数接口（支撑站控工艺参数集中展示板块）：主要用于对接站控系统、PLC、传感器等设备，支持 Modbus RTU/TCP、OPC UA、MQTT 等工业协议，实现工艺参数的实时采集、报警推送等功能，一期完成基础接口对接，二期扩展 AI 研判接口。</w:t>
      </w:r>
    </w:p>
    <w:p w14:paraId="2BCBDC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消防系统接口（支撑物业消防系统整合板块）：主要用于对接消防主机、探测器、消防设备等，支持 Modbus RTU/TCP、BACnet IP/MSTP、OPC UA 等协议，实现消防设备状态的实时采集、报警推送等功能，一期完成基础接口对接，二期扩展 AI 预警接口</w:t>
      </w:r>
    </w:p>
    <w:p w14:paraId="5BCCD0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内部系统接口（支撑四大板块协同）：主要用于系统内部各模块之间的通信，包括用户权限接口、流程接口、消息接口、数据查询接口等，实现四大板块之间的数据互通和协同工作。</w:t>
      </w:r>
    </w:p>
    <w:p w14:paraId="4148D6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终端对接接口（支撑全板块终端访问）：主要用于对接 PC 端、移动端 APP、智慧大屏端，实现终端与系统之间的数据交互和操作指令传递，支持多终端同步。</w:t>
      </w:r>
    </w:p>
    <w:p w14:paraId="3F558D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二期扩展接口：主要包括 AI 算法接口、视频存储接口、热力图接口、第三方系统接口等，为二期智能功能和扩展应用提供接口支撑，覆盖四大板块的升级需求。</w:t>
      </w:r>
    </w:p>
    <w:p w14:paraId="27847B6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2.5.2 接口规范</w:t>
      </w:r>
    </w:p>
    <w:p w14:paraId="7054C9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接口协议：采用 HTTP/HTTPS、TCP/IP 等主流协议，确保接口的通用性和兼容性。</w:t>
      </w:r>
    </w:p>
    <w:p w14:paraId="6C1F2AD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数据格式：采用 JSON 格式进行数据传输，确保数据格式统一、易于解析。</w:t>
      </w:r>
    </w:p>
    <w:p w14:paraId="0091538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接口命名：采用统一的命名规范，清晰标识接口的功能和用途，便于接口管理和调用，按四大板块分类命名。</w:t>
      </w:r>
    </w:p>
    <w:p w14:paraId="2417619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接口权限：对所有接口进行权限控制，只有授权的用户和设备才能调用接口，确保接口的安全性。</w:t>
      </w:r>
    </w:p>
    <w:p w14:paraId="09BF1A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接口监控：对接口的调用情况进行实时监控，记录接口调用日志、响应时间、错误信息等，便于接口维护和问题排查，覆盖四大板块相关接口。</w:t>
      </w:r>
    </w:p>
    <w:p w14:paraId="3184226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37" w:name="_Toc11393"/>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2.6 部署架构</w:t>
      </w:r>
      <w:bookmarkEnd w:id="37"/>
    </w:p>
    <w:p w14:paraId="0D475C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部署架构遵循 “最小化部署、平滑扩容、安全隔离” 的原则，一期采用最小化部署方案，聚焦四大板块核心需求；二期支持平滑扩容，满足智能功能和业务扩展需求，同时实现网络隔离，保障系统和生产安全。</w:t>
      </w:r>
    </w:p>
    <w:p w14:paraId="42892DF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2.6.1 一期部署架构</w:t>
      </w:r>
    </w:p>
    <w:p w14:paraId="4CA5A9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服务器部署：云服务器。</w:t>
      </w:r>
    </w:p>
    <w:p w14:paraId="689023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存储部署：云服务器部署，配置基础存储容量，仅存储业务数据和少量设备采集数据，不存储视频录像，聚焦基础存储需求，支撑四大板块数据存储。</w:t>
      </w:r>
    </w:p>
    <w:p w14:paraId="784F9F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网络部署：采用防火墙进行网络隔离，防止外部网络攻击；三大硬件板块采集网络与综合安全管理板块业务网络实现逻辑隔离，保障生产安全。</w:t>
      </w:r>
    </w:p>
    <w:p w14:paraId="7FBD20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终端部署：PC 端通过浏览器访问系统，移动端 APP 通过局域网或互联网接入系统，智慧大屏端部署在指挥中心，通过局域网接入系统，实现四大板块功能的多终端访问。</w:t>
      </w:r>
    </w:p>
    <w:p w14:paraId="28C2F45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2.6.2 部署约束</w:t>
      </w:r>
    </w:p>
    <w:p w14:paraId="04F8B5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系统支持本地部署，确保企业数据的安全性和可控性，不采用云端部署模式，适配四大板块数据安全需求。</w:t>
      </w:r>
    </w:p>
    <w:p w14:paraId="3802E3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视频采集、工艺参数采集、消防设备采集与业务管理网络实现逻辑隔离，防止设备采集网络影响业务管理网络，保障生产系统的安全。</w:t>
      </w:r>
    </w:p>
    <w:p w14:paraId="3A7229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部署方案需考虑系统的可维护性，便于运维人员进行日常维护、故障排查和系统升级，支撑四大板块长期稳定运行。</w:t>
      </w:r>
    </w:p>
    <w:p w14:paraId="356407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2"/>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38" w:name="_Toc26247"/>
      <w:bookmarkStart w:id="39" w:name="_Toc17693"/>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 一期详细需求</w:t>
      </w:r>
      <w:bookmarkEnd w:id="38"/>
      <w:bookmarkEnd w:id="39"/>
    </w:p>
    <w:p w14:paraId="1EDAD43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40" w:name="_Toc3764"/>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3.1 平台基础支撑模块（全板块通用）</w:t>
      </w:r>
      <w:bookmarkEnd w:id="40"/>
    </w:p>
    <w:p w14:paraId="660814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平台基础支撑模块是系统运行的核心基础，一期 100% 完成建设，为四大核心板块所有业务模块和硬件整合模块提供统一的支撑能力，确保系统的正常运行和各板块的协同工作，所有功能适配四大板块的通用需求。</w:t>
      </w:r>
    </w:p>
    <w:p w14:paraId="360C1A5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3.1.1 组织架构管理</w:t>
      </w:r>
    </w:p>
    <w:p w14:paraId="41FBE6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【目的】实现企业组织架构的线上化管理，明确各部门、各岗位的层级关系，为四大板块权限分配、业务管理提供基础支撑，确保各板块业务按组织层级有序推进。</w:t>
      </w:r>
    </w:p>
    <w:p w14:paraId="3B0D7E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50E6B1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组织架构创建与维护：支持多级组织架构（最多 10 级）的创建、编辑、删除、查询操作，可根据企业实际业务板块（燃气、加油站、物业、施工等）进行分类管理，适配四大板块业务覆盖范围。</w:t>
      </w:r>
    </w:p>
    <w:p w14:paraId="170E73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部门管理：支持部门的新增、修改、删除、查询，可设置部门负责人、部门职责、部门类型等信息，支持部门状态管理（启用、停用），可关联四大板块相关业务权限。</w:t>
      </w:r>
    </w:p>
    <w:p w14:paraId="41244E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岗位管理：支持岗位的新增、修改、删除、查询，可设置岗位名称、岗位职责、所属部门、岗位级别等信息，支持岗位与人员的关联，适配四大板块不同岗位的权限需求。</w:t>
      </w:r>
    </w:p>
    <w:p w14:paraId="0ED4CD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人员管理：支持人员信息的新增、修改、删除、查询，可录入人员姓名、性别、手机号、身份证号、所属部门、岗位、入职时间等信息，支持人员状态管理（在职、离职、停用），关联四大板块用户操作权限。</w:t>
      </w:r>
    </w:p>
    <w:p w14:paraId="01AC54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组织架构展示：支持树状图、层级列表两种展示形式，可直观查看组织层级、部门、岗位、人员的隶属关系，支持人员快速定位（通过姓名、部门、岗位关键词检索），方便四大板块管理人员快速查找相关人员。</w:t>
      </w:r>
    </w:p>
    <w:p w14:paraId="2A654A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批量操作：支持组织、部门、岗位、人员信息的批量导入 / 导出（Excel 格式），提升管理效率，减少人工录入成本，适配企业人员规模较大的管理需求。</w:t>
      </w:r>
    </w:p>
    <w:p w14:paraId="12B21C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权限关联：支持组织架构与角色权限的关联，可按部门、岗位分配权限，确保权限分配的合理性和精准性，支撑四大板块的权限管控。</w:t>
      </w:r>
    </w:p>
    <w:p w14:paraId="122F51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5CBE9D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超级管理员创建企业一级组织，再依次创建下级部门、岗位，关联四大板块相关业务权限。</w:t>
      </w:r>
    </w:p>
    <w:p w14:paraId="54E16E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管理员录入人员信息，关联所属部门和岗位，设置人员状态，分配对应板块的操作权限。</w:t>
      </w:r>
    </w:p>
    <w:p w14:paraId="771717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可根据企业业务调整，编辑、删除组织、部门、岗位、人员信息，同步调整相关权限分配。</w:t>
      </w:r>
    </w:p>
    <w:p w14:paraId="792274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管理人员通过树状图或列表查看组织架构，通过关键词检索人员信息，协调四大板块相关业务。</w:t>
      </w:r>
    </w:p>
    <w:p w14:paraId="2C5975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【权限】超级管理员、分级管理员可进行组织架构的创建、编辑、删除操作；普通用户仅可查看权限范围内的组织架构和人员信息。</w:t>
      </w:r>
    </w:p>
    <w:p w14:paraId="704E7D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【日志】记录组织架构、部门、岗位、人员的新增、修改、删除操作，包括操作人、操作时间、操作内容、操作结果，可追溯、可审计，支撑四大板块合规管理需求。</w:t>
      </w:r>
    </w:p>
    <w:p w14:paraId="6E03F63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3.1.2 用户与账号管理</w:t>
      </w:r>
    </w:p>
    <w:p w14:paraId="63E3F2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【目的】实现用户账号的统一管理，确保用户身份的合法性和安全性，规范用户登录和操作行为，为四大板块用户访问提供统一入口，保障系统和数据安全。</w:t>
      </w:r>
    </w:p>
    <w:p w14:paraId="2A4E2F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70933F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账号创建：支持用户账号的新增，一人一号，绑定手机号、身份证号、所属部门、岗位等信息，设置初始密码，支持批量创建账号，适配四大板块不同岗位用户的账号需求。</w:t>
      </w:r>
    </w:p>
    <w:p w14:paraId="00FB8F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账号维护：支持用户账号信息的修改（姓名、手机号、所属部门等），密码重置（管理员重置和用户自行重置），账号启用 / 禁用操作，同步关联四大板块的账号访问权限。</w:t>
      </w:r>
    </w:p>
    <w:p w14:paraId="2CBEA9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登录管理：支持账号密码登录，可设置登录密码复杂度（长度、字符类型），支持登录失败次数限制（超过次数锁定账号），支持登录 IP 限制（可选），保障四大板块用户账号安全。</w:t>
      </w:r>
    </w:p>
    <w:p w14:paraId="6F568E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账号查询：支持按账号、姓名、部门、岗位、账号状态等关键词查询用户账号信息，可导出账号列表（Excel 格式），方便管理员统筹管理四大板块用户账号。</w:t>
      </w:r>
    </w:p>
    <w:p w14:paraId="620FC0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离职处理：用户离职后，管理员可禁用其账号，保留账号信息和操作日志，防止账号被盗用，保障四大板块数据安全。</w:t>
      </w:r>
    </w:p>
    <w:p w14:paraId="64A711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39C1B2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管理员根据组织架构和人员信息，创建用户账号，设置初始密码并通知用户，分配对应板块的访问权限。</w:t>
      </w:r>
    </w:p>
    <w:p w14:paraId="0B0BC0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用户首次登录后，强制修改初始密码，设置符合要求的登录密码，方可访问对应板块功能。</w:t>
      </w:r>
    </w:p>
    <w:p w14:paraId="39924D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管理员可根据用户岗位变动、离职等情况，修改账号信息或禁用账号，同步调整四大板块的访问权限。</w:t>
      </w:r>
    </w:p>
    <w:p w14:paraId="63B137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用户忘记密码时，可通过手机号找回或联系管理员重置密码，确保正常访问对应板块功能。</w:t>
      </w:r>
    </w:p>
    <w:p w14:paraId="5C2CC3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【权限】超级管理员、分级管理员可进行账号的创建、修改、禁用、密码重置操作；普通用户仅可修改自身账号信息和密码。</w:t>
      </w:r>
    </w:p>
    <w:p w14:paraId="7DFF93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【日志】记录账号的创建、修改、禁用、密码重置、登录、登出等操作，包括操作人、操作时间、IP 地址、操作内容，确保操作可追溯，支撑四大板块安全审计需求。</w:t>
      </w:r>
    </w:p>
    <w:p w14:paraId="56EE12D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3.1.3 角色与权限管理</w:t>
      </w:r>
    </w:p>
    <w:p w14:paraId="639E4F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【目的】实现权限的精细化管控，按角色分配权限，确保不同岗位的用户仅能访问和操作权限范围内的四大板块功能和数据，保障系统和数据安全，适配各板块业务需求。</w:t>
      </w:r>
    </w:p>
    <w:p w14:paraId="0E8127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6B2ECCC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角色创建与维护：支持自定义角色，可设置角色名称、角色描述、所属部门等信息，支持角色的新增、修改、删除、查询操作，可按四大板块分类创建角色（如视频监控管理员、工艺参数管理员、安全培训管理员等）。</w:t>
      </w:r>
    </w:p>
    <w:p w14:paraId="6E6135B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权限分配：支持按角色分配权限，包括菜单权限（可访问的四大板块系统菜单）、数据权限（可访问的数据范围，如部门、区域、业务板块）、操作权限（可执行的操作，如新增、修改、删除、查询），实现权限的精细化管控。</w:t>
      </w:r>
    </w:p>
    <w:p w14:paraId="4B0E0EA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3.权限分级：采用超级管理员→分级管理员→普通用户的层级权限管理模式，超级管理员拥有四大板块全部权限，分级管理员拥有指定部门或对应板块的管理权限，普通用户拥有基础操作权限。</w:t>
      </w:r>
    </w:p>
    <w:p w14:paraId="34CF701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4.角色关联：支持角色与用户的关联，一个用户可关联多个角色，权限叠加；一个角色可关联多个用户，实现批量权限分配，适配四大板块不同岗位的权限需求。</w:t>
      </w:r>
    </w:p>
    <w:p w14:paraId="60D151D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5.权限查询与修改：支持查询各角色的权限分配情况，可根据岗位变动调整角色权限，权限修改后实时生效，确保四大板块权限分配与业务需求同步。</w:t>
      </w:r>
    </w:p>
    <w:p w14:paraId="2E63ACF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6.权限隔离：实现不同部门、不同业务板块的数据隔离，用户仅能查看和操作权限范围内的数据，防止数据越权访问，保障四大板块数据安全。</w:t>
      </w:r>
    </w:p>
    <w:p w14:paraId="2592B20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6495AE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1.超级管理员创建四大板块相关角色，根据岗位职责设置角色权限（菜单、数据、操作权限），明确各角色对应的板块操作范围。</w:t>
      </w:r>
    </w:p>
    <w:p w14:paraId="2B1AF48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2.管理员将用户与对应角色关联，实现权限的批量分配，确保用户仅能访问对应板块的权限范围内功能。</w:t>
      </w:r>
    </w:p>
    <w:p w14:paraId="21751A2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3.当岗位职责变动时，管理员修改对应角色的权限，或调整用户关联的角色，同步更新四大板块的权限分配。</w:t>
      </w:r>
    </w:p>
    <w:p w14:paraId="2FC6746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4.管理员可查询各角色的权限分配情况和用户的权限关联情况，进行权限审计，确保四大板块权限分配合规。</w:t>
      </w:r>
    </w:p>
    <w:p w14:paraId="41DEDFB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【权限】超级管理员可创建、修改、删除所有角色，分配所有权限；分级管理员可创建、修改、删除本部门相关角色，分配本部门范围内的权限；普通用户无角色和权限管理权限。</w:t>
      </w:r>
    </w:p>
    <w:p w14:paraId="0D21B9C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【日志】记录角色的创建、修改、删除，权限的分配、调整，角色与用户的关联、解除关联等操作，包括操作人、操作时间、操作内容，可追溯、可审计，支撑四大板块合规管理。</w:t>
      </w:r>
    </w:p>
    <w:p w14:paraId="10E3C35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3.1.4 流程引擎管理</w:t>
      </w:r>
    </w:p>
    <w:p w14:paraId="7608C8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【目的】实现四大板块各类安全管理业务流程的线上化审批，规范流程节点，提升审批效率，确保流程可追溯、可管控，重点支撑综合安全管理板块业务流程，同时适配其他板块相关审批需求。</w:t>
      </w:r>
    </w:p>
    <w:p w14:paraId="6E0771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731467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流程自定义：支持自定义各类审批流程，包括综合安全管理板块的安全检查、隐患整改、危险作业许可、培训申请、安全投入申请等，同时支持其他板块相关审批流程（如设备接入审批、权限申请等），可根据业务需求配置流程名称、流程描述、流程类型。</w:t>
      </w:r>
    </w:p>
    <w:p w14:paraId="0119AF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节点配置：支持流程节点的新增、修改、删除、排序，可设置每个节点的名称、审批人、审批时限、操作权限（审批、退回、转办），适配四大板块不同业务流程的节点需求。</w:t>
      </w:r>
    </w:p>
    <w:p w14:paraId="2AAE5A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条件跳转配置：支持根据审批内容、审批结果设置条件跳转，如隐患等级为重大时，增加高级管理人员审批节点；审批通过则进入下一节点，审批退回则返回上一节点，适配综合安全管理板块复杂流程需求。</w:t>
      </w:r>
    </w:p>
    <w:p w14:paraId="3FF4F7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审批操作：支持审批人进行审批通过、退回、转办、催办操作，可填写审批意见，上传审批附件，覆盖四大板块所有审批场景。</w:t>
      </w:r>
    </w:p>
    <w:p w14:paraId="005BBB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超时提醒：支持设置审批超时时间，超时后自动推送提醒消息给审批人，确保审批流程高效推进，避免流程延误。</w:t>
      </w:r>
    </w:p>
    <w:p w14:paraId="18B3B5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流程监控：支持管理人员实时查看各流程的进度、当前节点、审批人、审批时间，可干预异常流程（如强制流转、指定审批人），统筹管理四大板块审批流程。</w:t>
      </w:r>
    </w:p>
    <w:p w14:paraId="2DA861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历史记录：留存所有审批流程的历史记录，包括审批人、审批时间、审批意见、流程状态，可查询、可追溯，支撑四大板块合规审计需求。</w:t>
      </w:r>
    </w:p>
    <w:p w14:paraId="6ABE1B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2C8FB7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管理员创建审批流程，配置流程节点和审批人。</w:t>
      </w:r>
    </w:p>
    <w:p w14:paraId="624CB5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用户发起流程申请，流程自动流转至第一节点审批人。</w:t>
      </w:r>
    </w:p>
    <w:p w14:paraId="50F68F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审批人进行审批操作（通过 / 退回 / 转办），流程流转至下一节点。</w:t>
      </w:r>
    </w:p>
    <w:p w14:paraId="4F6E93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流程结束后，系统自动归档历史记录，生成审批台账。</w:t>
      </w:r>
    </w:p>
    <w:p w14:paraId="42F743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管理员可查询、监控、干预流程，确保流程按时完成。</w:t>
      </w:r>
    </w:p>
    <w:p w14:paraId="5645C9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【权限】超级管理员、流程管理员可配置、管理所有流程；业务部门负责人可管理本部门相关流程；普通用户可发起、查看流程。</w:t>
      </w:r>
    </w:p>
    <w:p w14:paraId="66FD15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【日志】记录流程创建、修改、审批操作、流转记录，包括操作人、时间、意见，可追溯、可审计。</w:t>
      </w:r>
    </w:p>
    <w:p w14:paraId="7C42CDF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3.1.5 消息推送管理</w:t>
      </w:r>
    </w:p>
    <w:p w14:paraId="265554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【目的】建立统一消息中心，实现四大板块各类消息实时推送，确保用户及时接收审批提醒、报警信息、整改通知等关键信息。</w:t>
      </w:r>
    </w:p>
    <w:p w14:paraId="79E329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440C68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消息类型：系统消息、审批消息、报警消息、整改消息、培训通知、会议通知等。</w:t>
      </w:r>
    </w:p>
    <w:p w14:paraId="5E779E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推送渠道：PC 端消息中心、移动端 APP 推送、短信推送（可选）、邮件推送（可选）。</w:t>
      </w:r>
    </w:p>
    <w:p w14:paraId="546AAE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消息模板：支持自定义消息模板，可配置变量（如姓名、时间、事项），适配四大板块业务场景。</w:t>
      </w:r>
    </w:p>
    <w:p w14:paraId="356FE7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消息管理：支持消息查看、已读 / 未读标记、消息删除、历史记录查询。</w:t>
      </w:r>
    </w:p>
    <w:p w14:paraId="2B4AA3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定时推送：支持定时消息发送（如会议提醒、到期提醒）</w:t>
      </w:r>
    </w:p>
    <w:p w14:paraId="599FAE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消息统计：统计消息发送数量、接收数量、阅读率，评估消息触达效果。</w:t>
      </w:r>
    </w:p>
    <w:p w14:paraId="43CFE6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1107A2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管理员配置消息模板和推送规则。</w:t>
      </w:r>
    </w:p>
    <w:p w14:paraId="1AB753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系统自动触发消息推送（如审批完成、报警发生、隐患整改到期）。</w:t>
      </w:r>
    </w:p>
    <w:p w14:paraId="252DF7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用户接收消息并查看，进行相应操作。</w:t>
      </w:r>
    </w:p>
    <w:p w14:paraId="638973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管理员可查询消息发送记录和阅读情况。</w:t>
      </w:r>
    </w:p>
    <w:p w14:paraId="77EDEE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【权限】超级管理员可配置消息模板和推送规则；各角色仅能接收权限范围内的消息。</w:t>
      </w:r>
    </w:p>
    <w:p w14:paraId="79B219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【日志】记录消息发送、接收、阅读操作，包括发送时间、接收人、消息类型，可追溯。</w:t>
      </w:r>
    </w:p>
    <w:p w14:paraId="448F5B9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3.1.6 操作日志与审计</w:t>
      </w:r>
    </w:p>
    <w:p w14:paraId="010C95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【目的】记录系统所有关键操作，确保四大板块业务操作可追溯、可审计，满足安全生产合规检查要求。</w:t>
      </w:r>
    </w:p>
    <w:p w14:paraId="4C3C0F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32D2DB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日志记录：记录用户登录、模块访问、数据新增 / 修改 / 删除、审批操作等关键行为。</w:t>
      </w:r>
    </w:p>
    <w:p w14:paraId="694A31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日志分类：按用户、模块、操作类型、时间范围等分类查询。日志详情：记录操作人、操作时间、IP 地址、操作内容、操作结果。</w:t>
      </w:r>
    </w:p>
    <w:p w14:paraId="6B4FC1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日志导出：支持导出 Excel 格式，便于归档和审计。</w:t>
      </w:r>
    </w:p>
    <w:p w14:paraId="0A0A9F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异常日志：记录异常登录、异常操作、权限拒绝等异常行为。</w:t>
      </w:r>
    </w:p>
    <w:p w14:paraId="05EED85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日志归档：定期归档历史日志，保留不少于 3 年，满足合规要求。</w:t>
      </w:r>
    </w:p>
    <w:p w14:paraId="66D36F7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4B25FD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系统自动记录用户操作行为。</w:t>
      </w:r>
    </w:p>
    <w:p w14:paraId="30998EC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管理员可按条件查询、筛选、导出日志。</w:t>
      </w:r>
    </w:p>
    <w:p w14:paraId="1D163A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管理员定期检查异常日志，排查安全隐患。</w:t>
      </w:r>
    </w:p>
    <w:p w14:paraId="602654F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定期归档历史日志，确保存储合规。</w:t>
      </w:r>
    </w:p>
    <w:p w14:paraId="28E3425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【权限】超级管理员、审计员可查询、导出所有日志；其他用户仅可查询自身操作日志。</w:t>
      </w:r>
    </w:p>
    <w:p w14:paraId="615AB2A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【日志】系统记录操作日志本身的操作记录，防止日志被篡改。</w:t>
      </w:r>
    </w:p>
    <w:p w14:paraId="08BC365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3.1.7 系统配置管理</w:t>
      </w:r>
    </w:p>
    <w:p w14:paraId="1A3FF2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【目的】实现系统基础参数、业务规则、报警阈值的统一配置和管理，确保四大板块运行符合企业实际需求。</w:t>
      </w:r>
    </w:p>
    <w:p w14:paraId="1B5378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7A58BF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系统参数配置：系统名称、Logo、语言设置、时区设置、日期格式等。</w:t>
      </w:r>
    </w:p>
    <w:p w14:paraId="4F1A32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报警阈值配置：工艺参数报警阈值、消防设备报警阈值、安全指标预警阈值等。</w:t>
      </w:r>
    </w:p>
    <w:p w14:paraId="2544BB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打印模板配置：各类报表、通知、台账的打印模板配置。</w:t>
      </w:r>
    </w:p>
    <w:p w14:paraId="142C73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数据字典配置：基础编码、分类标准的维护和更新。</w:t>
      </w:r>
    </w:p>
    <w:p w14:paraId="36B7DE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接口配置：第三方系统接口参数配置、认证信息配置。</w:t>
      </w:r>
    </w:p>
    <w:p w14:paraId="410B31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备份策略配置：数据备份频率、保留时间、存储位置等。</w:t>
      </w:r>
    </w:p>
    <w:p w14:paraId="1AB07E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652AD8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管理员登录系统配置管理界面。</w:t>
      </w:r>
    </w:p>
    <w:p w14:paraId="619FAD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选择配置项类型，进行参数设置或修改。</w:t>
      </w:r>
    </w:p>
    <w:p w14:paraId="41C0FD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配置保存后实时生效（部分配置需重启生效）。</w:t>
      </w:r>
    </w:p>
    <w:p w14:paraId="4EC732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管理员可查询配置历史记录，必要时回滚。</w:t>
      </w:r>
    </w:p>
    <w:p w14:paraId="186DAC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420" w:leftChars="200" w:right="0" w:firstLine="0" w:firstLineChars="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【权限】超级管理员可配置所有系统参数；分级管理员仅可配置本部门相关参数。【日志】记录所有配置修改操作，包括修改前值、修改后值、操作人、操作时间。</w:t>
      </w:r>
    </w:p>
    <w:p w14:paraId="10D7472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3.1.8 文件管理</w:t>
      </w:r>
    </w:p>
    <w:p w14:paraId="1CFB8D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【目的】实现四大板块各类文档的统一存储和管理，支持文件上传、下载、版本管理，确保文档可追溯、可复用。</w:t>
      </w:r>
    </w:p>
    <w:p w14:paraId="6F7724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 文件上传：支持图片、文档（Word、Excel、PDF）、视频等格式文件上传，单文件最大不超过 500MB。</w:t>
      </w:r>
    </w:p>
    <w:p w14:paraId="71539D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文件分类：按部门、项目、类型等维度建立文件夹分类，支持多级目录。</w:t>
      </w:r>
    </w:p>
    <w:p w14:paraId="7F5191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文件检索：支持按文件名、类型、上传人、上传时间等条件快速检索。</w:t>
      </w:r>
    </w:p>
    <w:p w14:paraId="11B8EA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版本管理：支持文件版本记录和版本切换，保留历史版本不少于 5 个。</w:t>
      </w:r>
    </w:p>
    <w:p w14:paraId="47F137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文件预览：支持在线预览常用格式文件，无需下载。</w:t>
      </w:r>
    </w:p>
    <w:p w14:paraId="7937D1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文件权限：按角色设置文件访问权限（查看、下载、编辑、删除）。</w:t>
      </w:r>
    </w:p>
    <w:p w14:paraId="6BFD71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批量操作：支持批量上传、批量下载、批量删除文件。</w:t>
      </w:r>
    </w:p>
    <w:p w14:paraId="3095DD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50748E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用户进入文件管理模块，选择或创建文件目录。</w:t>
      </w:r>
    </w:p>
    <w:p w14:paraId="26F686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上传文件至指定目录，可设置访问权限。</w:t>
      </w:r>
    </w:p>
    <w:p w14:paraId="603F43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需要时使用文件检索功能快速查找。</w:t>
      </w:r>
    </w:p>
    <w:p w14:paraId="6B098D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下载、预览、编辑文件，按权限执行操作。</w:t>
      </w:r>
    </w:p>
    <w:p w14:paraId="458645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【权限】超级管理员拥有全部文件权限；分级管理员管理本部门文件；普通用户仅可上传、查看权限内文件。</w:t>
      </w:r>
    </w:p>
    <w:p w14:paraId="37F01E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【日志】记录文件上传、下载、删除、版本切换等操作，包括操作人、时间、文件信息。</w:t>
      </w:r>
    </w:p>
    <w:p w14:paraId="4D7B496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41" w:name="_Toc26202"/>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3.2 第一板块：视频监控整合板块</w:t>
      </w:r>
      <w:bookmarkEnd w:id="41"/>
    </w:p>
    <w:p w14:paraId="2E51A3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【目的】实现企业所有视频监控设备的统一接入和集成管理，支持不限路数视频接入，同时调看 10 路视频，满足实时监控需求，视频存储、AI 分析等功能将在二期建设中落地。</w:t>
      </w:r>
    </w:p>
    <w:p w14:paraId="3DA401A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3.2.1 视频设备管理</w:t>
      </w:r>
    </w:p>
    <w:p w14:paraId="499150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64EE6A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设备接入：支持 GB/T 28181、RTSP、ONVIF 等主流安防协议，实现视频设备自动发现和手动添加。</w:t>
      </w:r>
    </w:p>
    <w:p w14:paraId="6B5C53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设备信息：记录设备名称、IP 地址、端口、通道号、所属区域、安装位置等信息。</w:t>
      </w:r>
    </w:p>
    <w:p w14:paraId="03A19A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设备状态：实时监控设备在线 / 离线状态，异常设备自动告警。</w:t>
      </w:r>
    </w:p>
    <w:p w14:paraId="4B2425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批量操作：支持批量导入设备、批量修改设备信息、批量启用 / 停用设备。</w:t>
      </w:r>
    </w:p>
    <w:p w14:paraId="3A8842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设备分组：按区域、业务板块对设备进行分组管理，支持多级分组。【操作流程】</w:t>
      </w:r>
    </w:p>
    <w:p w14:paraId="5DAB83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管理员添加视频设备，配置接入参数。</w:t>
      </w:r>
    </w:p>
    <w:p w14:paraId="3C2A2F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系统自动检测设备在线状态。</w:t>
      </w:r>
    </w:p>
    <w:p w14:paraId="342693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对设备进行分组管理，便于查看。</w:t>
      </w:r>
    </w:p>
    <w:p w14:paraId="1850B2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定期巡检设备状态，处理离线设备。</w:t>
      </w:r>
    </w:p>
    <w:p w14:paraId="2C2C72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【权限】视频监控管理员可管理全部视频设备；其他人员仅可查看权限内设备。</w:t>
      </w:r>
    </w:p>
    <w:p w14:paraId="69BBDA6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3.2.2 实时预览</w:t>
      </w:r>
    </w:p>
    <w:p w14:paraId="2F19E2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7F74AE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单画面预览：支持单路视频实时预览，画面清晰可调。</w:t>
      </w:r>
    </w:p>
    <w:p w14:paraId="54757F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多画面预览：支持最多同时调看 10 路视频，支持 4/9/16 画面分割。</w:t>
      </w:r>
    </w:p>
    <w:p w14:paraId="345EF9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画面控制：支持画面放大、缩放、截图、录制（仅本地无存储）等功能</w:t>
      </w:r>
    </w:p>
    <w:p w14:paraId="79B5C1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轮巡预览：支持预设轮巡方案，按时间顺序自动轮巡视频画面。</w:t>
      </w:r>
    </w:p>
    <w:p w14:paraId="6A5A67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画面叠加：支持在视频画面上叠加时间、地点、设备名称等信息。</w:t>
      </w:r>
    </w:p>
    <w:p w14:paraId="0A4B1D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662AB4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用户选择预览模式（单画面 / 多画面）。</w:t>
      </w:r>
    </w:p>
    <w:p w14:paraId="2DE6E1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选择要查看的视频设备。</w:t>
      </w:r>
    </w:p>
    <w:p w14:paraId="4C662F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查看实时画面，进行截图、放大等操作。</w:t>
      </w:r>
    </w:p>
    <w:p w14:paraId="186F09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保存预览记录，便于追溯。</w:t>
      </w:r>
    </w:p>
    <w:p w14:paraId="0B75D7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【权限】所有用户可访问权限内视频设备预览；敏感区域视频需特殊权限。</w:t>
      </w:r>
    </w:p>
    <w:p w14:paraId="246B90F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3.2.3 云台控制</w:t>
      </w:r>
    </w:p>
    <w:p w14:paraId="1360E1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1773B74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1.方向控制：支持云台上下、左右、变焦、聚焦等方向控制。</w:t>
      </w:r>
    </w:p>
    <w:p w14:paraId="54EAE39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2.预设位控制：支持预设位调用、复位、清空操作。</w:t>
      </w:r>
    </w:p>
    <w:p w14:paraId="69AB28E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3.快捷控制：支持快捷按钮控制常用云台动作。</w:t>
      </w:r>
    </w:p>
    <w:p w14:paraId="09F5A62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4.控制记录：记录云台操作时间、操作人、操作内容。</w:t>
      </w:r>
    </w:p>
    <w:p w14:paraId="34237C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5DCC98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1.用户选择云台控制功能。</w:t>
      </w:r>
    </w:p>
    <w:p w14:paraId="5D595DA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2.点击控制按钮或拖动云台画面。</w:t>
      </w:r>
    </w:p>
    <w:p w14:paraId="1B6371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3.系统记录云台操作日志。</w:t>
      </w:r>
    </w:p>
    <w:p w14:paraId="6778BB5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4.定期审查云台操作记录。</w:t>
      </w:r>
    </w:p>
    <w:p w14:paraId="6616CAA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【权限】仅授权人员可操作云台，普通用户仅可查看。</w:t>
      </w:r>
    </w:p>
    <w:p w14:paraId="71A40F2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3.2.4 视频联动</w:t>
      </w:r>
    </w:p>
    <w:p w14:paraId="7CC75D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4E4024F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1.报警联动：视频报警发生时，自动弹窗显示对应视频画面。</w:t>
      </w:r>
    </w:p>
    <w:p w14:paraId="5AF74D5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2.报警源关联：支持工艺参数报警、消防报警等触发视频联动。</w:t>
      </w:r>
    </w:p>
    <w:p w14:paraId="10CD23F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3.联动记录：记录报警类型、联动视频、联动时间，可追溯。</w:t>
      </w:r>
    </w:p>
    <w:p w14:paraId="56A47EF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4.联动规则配置：支持自定义报警和视频联动规则。</w:t>
      </w:r>
    </w:p>
    <w:p w14:paraId="0AB194D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082721E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1.系统检测到报警信息。</w:t>
      </w:r>
    </w:p>
    <w:p w14:paraId="27EC77A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2.自动弹出关联视频画面。</w:t>
      </w:r>
    </w:p>
    <w:p w14:paraId="2A1085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7.管理员查看视频并处理报警。</w:t>
      </w:r>
    </w:p>
    <w:p w14:paraId="5A54B9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4.系统记录联动情况。</w:t>
      </w:r>
    </w:p>
    <w:p w14:paraId="4BBD78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【权限】报警处理人员可查看联动视频。</w:t>
      </w:r>
    </w:p>
    <w:p w14:paraId="24E618A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3.2.5 视频权限管理</w:t>
      </w:r>
    </w:p>
    <w:p w14:paraId="3B5620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05B928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1.权限分级：按部门、区域、视频类型设置访问权限。</w:t>
      </w:r>
    </w:p>
    <w:p w14:paraId="48EDCE6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2.权限申请：用户可申请视频查看权限，需审批后生效。</w:t>
      </w:r>
    </w:p>
    <w:p w14:paraId="52A0D4C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3.权限审核：管理员审核视频权限申请，批准或拒绝。</w:t>
      </w:r>
    </w:p>
    <w:p w14:paraId="799108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4.权限审计：定期审查视频权限分配，清理冗余权限。</w:t>
      </w:r>
    </w:p>
    <w:p w14:paraId="7E88B8B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10D0F03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1.用户提交视频权限申请。</w:t>
      </w:r>
    </w:p>
    <w:p w14:paraId="3C6B993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2.管理员审批权限申请。</w:t>
      </w:r>
    </w:p>
    <w:p w14:paraId="430115A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3.权限生效后用户可访问对应视频。</w:t>
      </w:r>
    </w:p>
    <w:p w14:paraId="28B581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4.定期审查权限分配情况。</w:t>
      </w:r>
    </w:p>
    <w:p w14:paraId="0B98AFF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【日志】记录视频权限申请、审批、授予、撤销操作，可追溯。</w:t>
      </w:r>
    </w:p>
    <w:p w14:paraId="18FACD3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42" w:name="_Toc13843"/>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3.3 第二板块：站控工艺参数集中展示板块</w:t>
      </w:r>
      <w:bookmarkEnd w:id="42"/>
    </w:p>
    <w:p w14:paraId="2CEAA9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【目的】实现加油站、加气站等场站工艺参数的实时采集、集中展示、报警管理，单向读取数据不控制设备，满足工艺安全监控需求，AI 研判、远程控制等功能将在二期建设。</w:t>
      </w:r>
    </w:p>
    <w:p w14:paraId="773C203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3.3.1 工艺数据采集</w:t>
      </w:r>
    </w:p>
    <w:p w14:paraId="677B10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2E1DCF2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1.协议支持：支持 Modbus RTU/TCP、OPC UA、MQTT 等工业协议。</w:t>
      </w:r>
    </w:p>
    <w:p w14:paraId="465E52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2.参数类型：压力、液位、流量、温度、电压、电流等工艺参数。</w:t>
      </w:r>
    </w:p>
    <w:p w14:paraId="4C7388A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3.采集频率：支持 1 秒至 5 分钟可调采集频率。</w:t>
      </w:r>
    </w:p>
    <w:p w14:paraId="07D529E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4.数据采集：定时采集或事件触发采集，支持手动采集。</w:t>
      </w:r>
    </w:p>
    <w:p w14:paraId="09CFF48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5.数据校验：对采集数据进行校验，过滤异常数据。【操作流程】</w:t>
      </w:r>
    </w:p>
    <w:p w14:paraId="3E0C303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6.配置工艺设备采集参数。</w:t>
      </w:r>
    </w:p>
    <w:p w14:paraId="47E1635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7.系统定时采集工艺数据。</w:t>
      </w:r>
    </w:p>
    <w:p w14:paraId="30BD75C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8.校验数据有效性。</w:t>
      </w:r>
    </w:p>
    <w:p w14:paraId="4284F9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9.存储并展示采集数据。</w:t>
      </w:r>
    </w:p>
    <w:p w14:paraId="705A025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【权限】工艺参数管理员可配置采集参数；普通用户可查看权限内数据。</w:t>
      </w:r>
    </w:p>
    <w:p w14:paraId="1ECF61F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3.3.2 工艺参数展示</w:t>
      </w:r>
    </w:p>
    <w:p w14:paraId="0419A6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643A0E5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1.实时展示：实时显示各场站工艺参数数值。</w:t>
      </w:r>
    </w:p>
    <w:p w14:paraId="4344465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2.趋势展示：以折线图形式展示参数历史趋势。</w:t>
      </w:r>
    </w:p>
    <w:p w14:paraId="27A99D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3.阈值展示：参数超过设定阈值时高亮显示。</w:t>
      </w:r>
    </w:p>
    <w:p w14:paraId="37906DE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4.地图展示：在东莞地图上展示各场站工艺参数概览。</w:t>
      </w:r>
    </w:p>
    <w:p w14:paraId="5884A63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5.大屏展示：支持智慧大屏多参数集中展示。</w:t>
      </w:r>
    </w:p>
    <w:p w14:paraId="4ABAF10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0365DC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1.用户选择场站或设备查看参数。</w:t>
      </w:r>
    </w:p>
    <w:p w14:paraId="4A7646C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2.系统显示实时参数及历史趋势。</w:t>
      </w:r>
    </w:p>
    <w:p w14:paraId="4859817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3.异常参数自动预警。</w:t>
      </w:r>
    </w:p>
    <w:p w14:paraId="33FFD55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4.支持参数导出和报表生成。</w:t>
      </w:r>
    </w:p>
    <w:p w14:paraId="38A6262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【权限】按场站、设备设置访问权限。</w:t>
      </w:r>
    </w:p>
    <w:p w14:paraId="0C14841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3.3.3 报警管理</w:t>
      </w:r>
    </w:p>
    <w:p w14:paraId="72ADB7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0B2E16E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1.报警阈值：支持单参数阈值、参数组合阈值报警。</w:t>
      </w:r>
    </w:p>
    <w:p w14:paraId="7522BEB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2.报警等级：一般报警、重要报警、紧急报警三级分类。</w:t>
      </w:r>
    </w:p>
    <w:p w14:paraId="0222B0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3.报警推送：报警消息通过消息中心推送至相关人员。</w:t>
      </w:r>
    </w:p>
    <w:p w14:paraId="55DE524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4.报警确认：报警发生后需人工确认处理。</w:t>
      </w:r>
    </w:p>
    <w:p w14:paraId="178C3C2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5.报警历史：记录报警时间、类型、等级、处理情况。</w:t>
      </w:r>
    </w:p>
    <w:p w14:paraId="1F394D2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720553F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1.系统监测到参数异常，触发报警。</w:t>
      </w:r>
    </w:p>
    <w:p w14:paraId="08F9A54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2.自动推送报警消息至相关人员。</w:t>
      </w:r>
    </w:p>
    <w:p w14:paraId="212DC06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3.人员查看报警详情并处理。</w:t>
      </w:r>
    </w:p>
    <w:p w14:paraId="4EDBA78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4.确认报警并记录处理结果。</w:t>
      </w:r>
    </w:p>
    <w:p w14:paraId="03B0A2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【权限】报警处理人员可查看和处理报警。</w:t>
      </w:r>
    </w:p>
    <w:p w14:paraId="00B8EFC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43" w:name="_Toc10007"/>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3.4 第三板块：物业消防系统整合板块</w:t>
      </w:r>
      <w:bookmarkEnd w:id="43"/>
    </w:p>
    <w:p w14:paraId="459AA8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【目的】实现消防设备状态监控、报警管理、视频联动、消防档案基础管理，满足消防合规管控需求，不具备消防设备控制功能，AI 预警、自动联动等功能将在二期建设。</w:t>
      </w:r>
    </w:p>
    <w:p w14:paraId="60230FB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3.4.1 消防设备管理</w:t>
      </w:r>
    </w:p>
    <w:p w14:paraId="0760D3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1A6686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1.设备接入：支持 Modbus RTU/TCP、BACnet IP/MSTP、OPC UA 等协议接入。</w:t>
      </w:r>
    </w:p>
    <w:p w14:paraId="4FB4DF7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2.设备类型：火灾探测器、手动报警按钮、消防主机、消防水箱等。</w:t>
      </w:r>
    </w:p>
    <w:p w14:paraId="0DA8BB4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3.设备档案：记录设备名称、位置、型号、安装时间、维保记录等。</w:t>
      </w:r>
    </w:p>
    <w:p w14:paraId="5F3C17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4.设备状态：实时监控设备在线、正常、故障、报警状态。</w:t>
      </w:r>
    </w:p>
    <w:p w14:paraId="3C7A9C7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5.维保提醒：设备到期维保自动提醒。</w:t>
      </w:r>
    </w:p>
    <w:p w14:paraId="37B251A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1EF6FCD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1.管理员添加消防设备信息。</w:t>
      </w:r>
    </w:p>
    <w:p w14:paraId="374A193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2.系统接入设备并监控状态。</w:t>
      </w:r>
    </w:p>
    <w:p w14:paraId="4E3CD6F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3.定期更新设备维保信息。</w:t>
      </w:r>
    </w:p>
    <w:p w14:paraId="160A43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4.系统自动提醒维保到期。</w:t>
      </w:r>
    </w:p>
    <w:p w14:paraId="460A281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【权限】消防管理员可管理全部设备；其他人员仅可查看权限内设备。</w:t>
      </w:r>
    </w:p>
    <w:p w14:paraId="7733F32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3.4.2 消防状态监控</w:t>
      </w:r>
    </w:p>
    <w:p w14:paraId="0F827A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69E07B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1.状态展示：实时显示各消防设备状态。</w:t>
      </w:r>
    </w:p>
    <w:p w14:paraId="076C5A9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2.区域监控：按区域展示消防状态概览。</w:t>
      </w:r>
    </w:p>
    <w:p w14:paraId="5EF29DA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3.异常标识：设备异常状态高亮显示。</w:t>
      </w:r>
    </w:p>
    <w:p w14:paraId="4113A8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4.状态汇总：统计设备正常率、故障率等指标。</w:t>
      </w:r>
    </w:p>
    <w:p w14:paraId="567564F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22DCDC6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1.用户查看消防状态面板。</w:t>
      </w:r>
    </w:p>
    <w:p w14:paraId="62D346F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2.查看各区域设备状态。</w:t>
      </w:r>
    </w:p>
    <w:p w14:paraId="4537B08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3.处理异常设备。</w:t>
      </w:r>
    </w:p>
    <w:p w14:paraId="0335F51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4.定期生成状态报告。</w:t>
      </w:r>
    </w:p>
    <w:p w14:paraId="6DDDA6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【权限】按区域设置查看权限。</w:t>
      </w:r>
    </w:p>
    <w:p w14:paraId="1A200A5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3.4.3 消防报警管理</w:t>
      </w:r>
    </w:p>
    <w:p w14:paraId="62B1DE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4522BD4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1.报警类型：火警、故障、屏蔽、联动等报警类型。</w:t>
      </w:r>
    </w:p>
    <w:p w14:paraId="6C2D78C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2.报警联动：火警报警时联动视频画面。</w:t>
      </w:r>
    </w:p>
    <w:p w14:paraId="47C9E7B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3.报警推送：报警消息实时推送至相关人员。</w:t>
      </w:r>
    </w:p>
    <w:p w14:paraId="16A5E2C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4.报警处置：记录报警处理过程和结果。</w:t>
      </w:r>
    </w:p>
    <w:p w14:paraId="2399B2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5.报警历史：查询历史报警记录，支持统计报表。</w:t>
      </w:r>
    </w:p>
    <w:p w14:paraId="5E49373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043C6C0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1.系统检测到消防报警。</w:t>
      </w:r>
    </w:p>
    <w:p w14:paraId="129ACFE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2.自动推送报警消息。</w:t>
      </w:r>
    </w:p>
    <w:p w14:paraId="2344B7A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3.相关人员查看并处置报警。</w:t>
      </w:r>
    </w:p>
    <w:p w14:paraId="798A89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4.记录处置结果。</w:t>
      </w:r>
    </w:p>
    <w:p w14:paraId="3792A7A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【权限】报警处置人员可处理报警。</w:t>
      </w:r>
    </w:p>
    <w:p w14:paraId="088B52A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outlineLvl w:val="4"/>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3.4.4 消防档案管理</w:t>
      </w:r>
    </w:p>
    <w:p w14:paraId="5B2CA1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【功能点】</w:t>
      </w:r>
    </w:p>
    <w:p w14:paraId="7E6585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1.档案创建：创建消防设备档案、建筑消防档案、消防设施台账、维保合同档案等分类资料。</w:t>
      </w:r>
    </w:p>
    <w:p w14:paraId="38EDADA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2.档案维护：动态更新设备巡检记录、年度检测报告、消防演练资料、隐患整改资料，支持附件上传归档。</w:t>
      </w:r>
    </w:p>
    <w:p w14:paraId="120FD2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3.档案查询：按建筑区域、设备类型、时间维度、资料类别快速检索，满足日常消防自查与监管抽查。</w:t>
      </w:r>
    </w:p>
    <w:p w14:paraId="7DC4877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4.档案导出：支持台账、记录表、检查资料一键导出，适配消防合规报备需求。</w:t>
      </w:r>
    </w:p>
    <w:p w14:paraId="3D9BB1F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5.资料留存：电子档案长期存档，支持版本记录，确保消防资料闭环可追溯。</w:t>
      </w:r>
    </w:p>
    <w:p w14:paraId="3D55BD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【操作流程】</w:t>
      </w:r>
    </w:p>
    <w:p w14:paraId="292D7E9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1.安全管理员统一录入基础消防档案信息，完善设备基础台账。</w:t>
      </w:r>
    </w:p>
    <w:p w14:paraId="32092CE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2.日常巡检、维保、检测完成后，及时上传纸质资料扫描件、现场照片、验收记录。</w:t>
      </w:r>
    </w:p>
    <w:p w14:paraId="37CE69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3.监管检查或内部自查时，快速检索、调阅、打印对应消防档案资料。</w:t>
      </w:r>
    </w:p>
    <w:p w14:paraId="2053D09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4.定期梳理过期资料、到期维保项目，完成档案更新与闭环管理。</w:t>
      </w:r>
    </w:p>
    <w:p w14:paraId="761FA7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【权限】消防管理人员具备档案编辑、上传、修改权限；部门管理人员可查阅下载；普通员工仅支持只读查看。</w:t>
      </w:r>
    </w:p>
    <w:p w14:paraId="120064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【日志】记录档案新增、修改、删除、下载、打印全流程操作，满足消防合规审计要求。</w:t>
      </w:r>
    </w:p>
    <w:p w14:paraId="435EEB3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44" w:name="_Toc18160"/>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 第四板块：综合安全管理板块</w:t>
      </w:r>
      <w:bookmarkEnd w:id="44"/>
    </w:p>
    <w:p w14:paraId="375B20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综合安全管理为平台核心业务模块，覆盖企业全业态安全管控全流程，包含 14 个标准化子模块，实现安全管理工作电子化、流程化、台账化落地，适配燃气、加油加气、物业、工程施工多场景使用。</w:t>
      </w:r>
    </w:p>
    <w:p w14:paraId="250C472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3.5.1 安全组织与责任制管理</w:t>
      </w:r>
    </w:p>
    <w:p w14:paraId="60A41C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建立全员安全生产责任体系，落实分级管控、一岗双责管理要求。</w:t>
      </w:r>
    </w:p>
    <w:p w14:paraId="0A5EADF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1.安全组织架构：独立维护安全管理组织体系，明确安全委员会、安全管理部门、班组安全员架构。</w:t>
      </w:r>
    </w:p>
    <w:p w14:paraId="6593BE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2.岗位职责清单：录入各级管理人员、一线岗位、第三方作业人员安全职责，形成岗位安全责任书电子台账。</w:t>
      </w:r>
    </w:p>
    <w:p w14:paraId="2120F9B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3.责任签订管理：线上完成安全责任书签订、到期提醒、续签管理，留存签订记录与电子签章资料。</w:t>
      </w:r>
    </w:p>
    <w:p w14:paraId="53D299B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4.责任考核关联：关联日常检查、隐患整改、违章记录，作为安全履职考核基础数据。</w:t>
      </w:r>
    </w:p>
    <w:p w14:paraId="2AF4F34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5.台账报表：自动生成安全责任体系清单、责任书到期统计表，便于管理归档。</w:t>
      </w:r>
    </w:p>
    <w:p w14:paraId="449CD01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3.5.2 安全目标管理</w:t>
      </w:r>
    </w:p>
    <w:p w14:paraId="526329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围绕年度安全生产指标，实现目标分解、过程管控、考核复盘全周期管理。</w:t>
      </w:r>
    </w:p>
    <w:p w14:paraId="451C2DE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1.年度目标制定：结合行业规范与企业要求，制定事故控制、隐患治理、培训教育、应急管理等年度安全目标。</w:t>
      </w:r>
    </w:p>
    <w:p w14:paraId="094864E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2.目标层层分解：按部门、场站、班组分解月度、季度管控指标，明确责任人与完成时限。</w:t>
      </w:r>
    </w:p>
    <w:p w14:paraId="2E3AD1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3.过程跟踪管控：定期录入目标完成进度，对滞后项进行预警提醒、督促整改。</w:t>
      </w:r>
    </w:p>
    <w:p w14:paraId="27D258A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4.周期考核评价：季度、年度开展目标达成评价，形成考核记录与分析报告。</w:t>
      </w:r>
    </w:p>
    <w:p w14:paraId="161E06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5.资料归档：目标文件、分解方案、考核评价资料统一存档管理。</w:t>
      </w:r>
    </w:p>
    <w:p w14:paraId="6402840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3.5.3 安全会议管理</w:t>
      </w:r>
    </w:p>
    <w:p w14:paraId="36EEBD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规范各类安全会议组织、记录留存、事项督办闭环管理。</w:t>
      </w:r>
    </w:p>
    <w:p w14:paraId="54CCB8B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1.会议分类管理：涵盖安委会会议、安全例会、班组班前会、专项整治会议、应急专题会议等类型。</w:t>
      </w:r>
    </w:p>
    <w:p w14:paraId="2E3A04B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2.会议计划安排：提前制定会议计划、参会人员、会议地点、会议主题，实现会前通知推送。</w:t>
      </w:r>
    </w:p>
    <w:p w14:paraId="42E44EF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3.会议记录录入：会后上传会议纪要、签到表、现场照片、会议文件，完整留存会议资料。</w:t>
      </w:r>
    </w:p>
    <w:p w14:paraId="782D34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4.待办事项督办：会议明确整改事项、工作要求，自动生成待办任务，跟踪落实闭环。</w:t>
      </w:r>
    </w:p>
    <w:p w14:paraId="67649FD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5.历史查询统计：按时间、部门、会议类型查询历史会议记录，支持汇总导出。</w:t>
      </w:r>
    </w:p>
    <w:p w14:paraId="521D448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3.5.4 安全培训教育管理</w:t>
      </w:r>
    </w:p>
    <w:p w14:paraId="37BE19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搭建全员安全培训体系，覆盖新员工三级教育、日常培训、专项培训、特种作业培训。</w:t>
      </w:r>
    </w:p>
    <w:p w14:paraId="0570299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1.培训计划管理：制定年度、季度安全培训计划，明确培训内容、培训对象、授课人员。</w:t>
      </w:r>
    </w:p>
    <w:p w14:paraId="0D022A9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2.线上线下结合：支持线下培训记录录入、线上课件学习、考试考核、成绩存档。</w:t>
      </w:r>
    </w:p>
    <w:p w14:paraId="25FE65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3.人员分类培训：区分管理人员、一线操作工、押运人员、第三方施工人员差异化培训内容。</w:t>
      </w:r>
    </w:p>
    <w:p w14:paraId="5636B10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4.培训档案留存：签到表、课件、考试试卷、现场影像资料统一归档，形成一人一档培训档案。</w:t>
      </w:r>
    </w:p>
    <w:p w14:paraId="68AE55C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5.到期预警：特种作业证件、安全继续教育到期自动提醒，确保持证上岗合规。</w:t>
      </w:r>
    </w:p>
    <w:p w14:paraId="3E4EC0B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3.5.5 安全检查与隐患排查治理</w:t>
      </w:r>
    </w:p>
    <w:p w14:paraId="71BB8D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实现检查计划、现场检查、隐患上报、整改复查、闭环销号全流程管控。</w:t>
      </w:r>
    </w:p>
    <w:p w14:paraId="0427E51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1.检查类型全覆盖：日常巡检、专项检查、节假日检查、季节性检查、第三方督查、上级检查。</w:t>
      </w:r>
    </w:p>
    <w:p w14:paraId="2ACBF1A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2.检查清单标准化：内置燃气、加油加气、消防、设备设施、作业现场标准化检查项，支持自定义清单。</w:t>
      </w:r>
    </w:p>
    <w:p w14:paraId="016A47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3.隐患分级分类：按一般、较大、重大隐患分级管控，区分物的不安全状态、人的不安全行为、管理缺陷。</w:t>
      </w:r>
    </w:p>
    <w:p w14:paraId="1BD2F50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4.整改闭环流程：隐患下发整改任务、明确整改责任人、整改时限、整改措施，上传整改佐证资料，复查合格后方可销号。</w:t>
      </w:r>
    </w:p>
    <w:p w14:paraId="788BE4C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5.数据分析统计：自动统计隐患分布区域、隐患类型、整改完成率、逾期隐患清单，为风险管控提供数据支撑。</w:t>
      </w:r>
    </w:p>
    <w:p w14:paraId="6671144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3.5.6 风险分级管控</w:t>
      </w:r>
    </w:p>
    <w:p w14:paraId="51697D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落实 “双重预防机制” 要求，完成风险辨识、分级、管控、动态更新管理。</w:t>
      </w:r>
    </w:p>
    <w:p w14:paraId="7EAE163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1.风险辨识建档：针对场站、储存区域、作业环节、危化使用点位开展常态化风险辨识。</w:t>
      </w:r>
    </w:p>
    <w:p w14:paraId="3F5FCEA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2.风险等级划分：按照红、橙、黄、蓝四级风险分级，明确管控层级、管控措施、责任人。</w:t>
      </w:r>
    </w:p>
    <w:p w14:paraId="081C04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3.管控措施落地：制定工程措施、管理措施、个体防护、应急措施，常态化落实管控要求。</w:t>
      </w:r>
    </w:p>
    <w:p w14:paraId="216D958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4.动态更新管理：结合技改、作业变更、事故隐患，实时更新风险清单与管控方案。</w:t>
      </w:r>
    </w:p>
    <w:p w14:paraId="3417E40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5.风险地图展示：结合区域点位地图，标注高风险点位分布，直观掌握全域风险态势。</w:t>
      </w:r>
    </w:p>
    <w:p w14:paraId="3ACA0FD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3.5.7 危险作业许可管理</w:t>
      </w:r>
    </w:p>
    <w:p w14:paraId="5A6635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针对动火、受限空间、高处、临时用电、吊装、破土等高风险作业，实现作业审批闭环。</w:t>
      </w:r>
    </w:p>
    <w:p w14:paraId="12FE873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1.作业票证管理：线上申请、审批、签发危险作业票，替代纸质票证，规范作业流程。</w:t>
      </w:r>
    </w:p>
    <w:p w14:paraId="1455C63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2.前置条件审查：作业前安全条件确认、风险分析、隔离措施、气体检测、监护人员配置审查。</w:t>
      </w:r>
    </w:p>
    <w:p w14:paraId="362707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3.分级审批流程：高风险作业升级审批，多层级把关，严控非常规作业风险。</w:t>
      </w:r>
    </w:p>
    <w:p w14:paraId="3022DC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4.现场作业监管：移动端上传作业现场布置、安全措施落实、监护在岗记录。</w:t>
      </w:r>
    </w:p>
    <w:p w14:paraId="54D19B9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5.作业终结归档：作业结束验收、现场恢复确认，票证资料自动归档留存。</w:t>
      </w:r>
    </w:p>
    <w:p w14:paraId="5C9DE92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3.5.8 相关方安全管理</w:t>
      </w:r>
    </w:p>
    <w:p w14:paraId="0A58B1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统一管控施工单位、外包队伍、承运单位、维保单位等第三方安全管理。</w:t>
      </w:r>
    </w:p>
    <w:p w14:paraId="4B84F0D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1.相关方资质台账：收集营业执照、安全生产许可证、特种作业资质、保险资料统一存档。</w:t>
      </w:r>
    </w:p>
    <w:p w14:paraId="10D6D5D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2.入厂准入管理：第三方人员安全教育、安全交底、入厂审批，杜绝无培训、无交底作业。</w:t>
      </w:r>
    </w:p>
    <w:p w14:paraId="588AF5A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3.作业过程监管：第三方作业方案审查、现场安全监管、违章行为记录与考核。</w:t>
      </w:r>
    </w:p>
    <w:p w14:paraId="3B9BCAB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4.履约考核评价：建立相关方安全考核机制，定期评分、不合格单位限制准入。</w:t>
      </w:r>
    </w:p>
    <w:p w14:paraId="0C0B611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5.黑名单管理：对严重违章、隐患整改拒不落实的合作单位纳入预警管理。</w:t>
      </w:r>
    </w:p>
    <w:p w14:paraId="13FEFC0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3.5.9 安全设备设施管理</w:t>
      </w:r>
    </w:p>
    <w:p w14:paraId="449241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6" w:firstLineChars="203"/>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覆盖生产设备、安全附件、消防设施、防护用品、监控设备全生命周期管理。</w:t>
      </w:r>
    </w:p>
    <w:p w14:paraId="0C1DC4C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1.设备基础台账：统一编码、安装位置、规格型号、出厂信息、维保周期、责任人建档。</w:t>
      </w:r>
    </w:p>
    <w:p w14:paraId="0E349FB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2.定期维保管理：制定维保计划、日常保养、定期检测、年度校验，到期自动提醒。</w:t>
      </w:r>
    </w:p>
    <w:p w14:paraId="6AC7E6F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3.备品备件管理：安全耗材、应急物资、防护用品出入库登记、库存预警。</w:t>
      </w:r>
    </w:p>
    <w:p w14:paraId="309BFA3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4.故障维修闭环：设备故障上报、维修派单、修复验收、停用隔离全流程记录。</w:t>
      </w:r>
    </w:p>
    <w:p w14:paraId="7E67660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5.强制检测管控：压力表、安全阀、可燃气体探测器等强检设备周期管理，确保合规有效。</w:t>
      </w:r>
    </w:p>
    <w:p w14:paraId="2506602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3.5.10 职业健康管理</w:t>
      </w:r>
    </w:p>
    <w:p w14:paraId="32C270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6" w:firstLineChars="203"/>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落实职业健康防护要求，保障一线接触危化、粉尘、噪音岗位人员健康。</w:t>
      </w:r>
    </w:p>
    <w:p w14:paraId="464150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1.职业危害辨识：梳理各岗位职业病危害因素，公示危害告知与防护要求。</w:t>
      </w:r>
    </w:p>
    <w:p w14:paraId="123218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2.健康体检管理：岗前、岗中、离岗职业健康体检计划、体检报告存档、异常人员调岗管理。</w:t>
      </w:r>
    </w:p>
    <w:p w14:paraId="692A65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3.防护用品管理：劳动防护用品发放标准、领用登记、定期更换台账管理。</w:t>
      </w:r>
    </w:p>
    <w:p w14:paraId="6657BB8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4.作业环境监测：有毒有害、易燃易爆作业区域环境检测记录归档。</w:t>
      </w:r>
    </w:p>
    <w:p w14:paraId="4FE86D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5.健康宣教培训：职业健康知识培训、危害防控宣传资料统一管理。</w:t>
      </w:r>
    </w:p>
    <w:p w14:paraId="3489C51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3.5.11 应急管理与救援</w:t>
      </w:r>
    </w:p>
    <w:p w14:paraId="46A58D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完善应急预案、应急队伍、物资储备、应急演练、突发事件处置全链条管理。</w:t>
      </w:r>
    </w:p>
    <w:p w14:paraId="3F18FEA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1.应急预案体系：综合预案、专项预案、现场处置方案电子化存档，定期修订更新。</w:t>
      </w:r>
    </w:p>
    <w:p w14:paraId="15870A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2.应急队伍管理：应急救援小组、兼职队员联络方式、职责分工建档。</w:t>
      </w:r>
    </w:p>
    <w:p w14:paraId="7ABFDC6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3.应急物资台账：灭火器、防化装备、堵漏工具、急救物资台账，库存盘点、过期更换提醒。</w:t>
      </w:r>
    </w:p>
    <w:p w14:paraId="28E67F1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4.应急演练管理：演练计划、方案审批、现场实施、演练总结、问题整改闭环。</w:t>
      </w:r>
    </w:p>
    <w:p w14:paraId="5B1766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5.应急值守管理：节假日、特殊时期值班排班、值班记录、突发事件信息上报流程。</w:t>
      </w:r>
    </w:p>
    <w:p w14:paraId="5452539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3.5.12 事故管理</w:t>
      </w:r>
    </w:p>
    <w:p w14:paraId="046FC6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规范生产安全事件、未遂事件、轻微伤害、一般事故的上报、调查、分析、整改管理。</w:t>
      </w:r>
    </w:p>
    <w:p w14:paraId="5A9B477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1.事件快速上报：突发事件一键上报，记录事发时间、地点、经过、损失情况。</w:t>
      </w:r>
    </w:p>
    <w:p w14:paraId="5AE0C2C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2.事故调查分析：形成事故调查报告，分析直接原因、间接原因、管理漏洞。</w:t>
      </w:r>
    </w:p>
    <w:p w14:paraId="141AE70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3.举一反三整改：制定纠正预防措施，同类区域、同类岗位全面排查整改。</w:t>
      </w:r>
    </w:p>
    <w:p w14:paraId="2D5135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4.事故统计分析：按年度、季度统计事件类型、发生规律，优化安全管控重点。</w:t>
      </w:r>
    </w:p>
    <w:p w14:paraId="7A67BC4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5.案例警示教育：事故案例入库，用于日常安全培训与警示教育。</w:t>
      </w:r>
    </w:p>
    <w:p w14:paraId="5EE6763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3.5.13 安全投入管理</w:t>
      </w:r>
    </w:p>
    <w:p w14:paraId="23968B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规范安全生产费用计提、使用、审批、台账统计，保障安全投入合规列支。</w:t>
      </w:r>
    </w:p>
    <w:p w14:paraId="6F00189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1.费用计提标准：按法规要求设定安全费用计提标准，年度预算编制管理。</w:t>
      </w:r>
    </w:p>
    <w:p w14:paraId="1835008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2.费用使用审批：防护用品、消防器材、检测检验、安全培训、技改防护项目线上申请审批。</w:t>
      </w:r>
    </w:p>
    <w:p w14:paraId="410ECB4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3.支出台账管理：每笔安全投入留存票据、合同、验收资料，形成完整支出台账。</w:t>
      </w:r>
    </w:p>
    <w:p w14:paraId="545C70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4.预算执行分析：定期统计预算执行率，合理调配安全投入资源。</w:t>
      </w:r>
    </w:p>
    <w:p w14:paraId="3A1C70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5.合规备查资料：自动汇总安全投入汇总表，满足上级监管审计核查。</w:t>
      </w:r>
    </w:p>
    <w:p w14:paraId="7722A11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45" w:name="_Toc5221"/>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3.6 基础数据可视化看板</w:t>
      </w:r>
      <w:bookmarkEnd w:id="45"/>
    </w:p>
    <w:p w14:paraId="0F3F16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结合企业安全管理运营需求，搭建轻量化综合可视化看板，集中汇聚各大板块核心运行数据，实现安全态势集中展示。</w:t>
      </w:r>
    </w:p>
    <w:p w14:paraId="7AF2E2F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1.核心指标汇总：隐患总数、整改完成率、待办审批、培训完成情况、设备在线率、报警统计关键指标集中展示。</w:t>
      </w:r>
    </w:p>
    <w:p w14:paraId="32677C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2.业务数据图表：以柱状图、饼图、折线图展示隐患类型分布、检查频次、培训人次、作业许可数量等统计数据。</w:t>
      </w:r>
    </w:p>
    <w:p w14:paraId="45CBCB7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3.物联数据总览：视频设备在线状态、工艺参数运行概况、消防设备运行状态、实时报警信息统一展示。</w:t>
      </w:r>
    </w:p>
    <w:p w14:paraId="2C3961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4.预警信息提醒：逾期隐患、到期维保、证件过期、待审批事项集中预警展示。</w:t>
      </w:r>
    </w:p>
    <w:p w14:paraId="1F4AB7B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5.大屏适配优化：适配指挥中心智慧大屏分辨率与展示布局，支持 7×24 小时常态轮播展示。</w:t>
      </w:r>
    </w:p>
    <w:p w14:paraId="26A9924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46" w:name="_Toc20624"/>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3.7 分期功能划分说明</w:t>
      </w:r>
      <w:bookmarkEnd w:id="46"/>
    </w:p>
    <w:p w14:paraId="116DAC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为保障项目建设节奏合理、投入可控，平台采用分期落地模式，合理划分功能建设范围：</w:t>
      </w:r>
    </w:p>
    <w:p w14:paraId="34F724C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1.本期建设范围：平台基础底座、视频统一接入、工艺参数监测、消防设备监控、全模块综合安全管理、可视化看板与区域点位地图，满足日常运营与合规管理刚需。</w:t>
      </w:r>
    </w:p>
    <w:p w14:paraId="07977CA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2.后续升级范围：视频集中存储、AI 智能识别、区域热力分析、大数据深度研判、设备远程联动控制、智能语音交互等进阶功能，结合后期业务发展规划统一升级建设。</w:t>
      </w:r>
    </w:p>
    <w:p w14:paraId="5952962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3.扩展预留设计：系统整体架构、数据接口、数据库结构均预留扩展空间，确保后续功能升级无需整体改造，平滑迭代。</w:t>
      </w:r>
    </w:p>
    <w:p w14:paraId="0652648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2"/>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47" w:name="_Toc1244"/>
      <w:bookmarkStart w:id="48" w:name="_Toc20283"/>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4 非功能性需求</w:t>
      </w:r>
      <w:bookmarkEnd w:id="47"/>
      <w:bookmarkEnd w:id="48"/>
    </w:p>
    <w:p w14:paraId="46EDDEF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49" w:name="_Toc17063"/>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4.1 性能需求</w:t>
      </w:r>
      <w:bookmarkEnd w:id="49"/>
    </w:p>
    <w:p w14:paraId="68E44AF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1.系统响应：常规页面常规操作响应时间≤3 秒，复杂统计、多维度报表查询响应≤5 秒。</w:t>
      </w:r>
    </w:p>
    <w:p w14:paraId="48CAA6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2.并发能力：支持不少于 100 名用户同时在线操作，多终端并行访问无卡顿、无崩溃。</w:t>
      </w:r>
    </w:p>
    <w:p w14:paraId="04FABB9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3.视频性能：稳定支持多路视频并发预览，画面延迟可控，满足日常监控查看需求。</w:t>
      </w:r>
    </w:p>
    <w:p w14:paraId="30231E5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4.数据采集：工艺、消防物联数据采集稳定，数据上传实时、无明显断连与丢失。</w:t>
      </w:r>
    </w:p>
    <w:p w14:paraId="7088890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5.数据承载：数据库可支撑多年业务数据持续存储，支持海量台账与记录快速检索。</w:t>
      </w:r>
    </w:p>
    <w:p w14:paraId="0D0EB37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50" w:name="_Toc29705"/>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4.2 安全性需求</w:t>
      </w:r>
      <w:bookmarkEnd w:id="50"/>
    </w:p>
    <w:p w14:paraId="3B87510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1.账号安全：采用账号密码校验、登录锁定、密码复杂度策略，防范非法登录。</w:t>
      </w:r>
    </w:p>
    <w:p w14:paraId="234296C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2.权限安全：基于角色的分级权限体系，实现菜单权限、数据权限、操作权限精细化隔离。</w:t>
      </w:r>
    </w:p>
    <w:p w14:paraId="1C17155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3.网络安全：业务网络与物联采集网络逻辑隔离，配置防火墙、访问控制策略。</w:t>
      </w:r>
    </w:p>
    <w:p w14:paraId="481D17C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4.数据安全：关键业务数据、设备数据定期自动备份，支持故障快速恢复。</w:t>
      </w:r>
    </w:p>
    <w:p w14:paraId="04D6437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5.操作安全：全模块操作日志留存，关键修改、删除操作留痕，满足安全审计要求。</w:t>
      </w:r>
    </w:p>
    <w:p w14:paraId="15B03D5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51" w:name="_Toc28447"/>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4.3 易用性需求</w:t>
      </w:r>
      <w:bookmarkEnd w:id="51"/>
    </w:p>
    <w:p w14:paraId="0A96080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1.界面设计：界面布局简洁统一，菜单层级清晰，符合国企办公系统操作习惯。</w:t>
      </w:r>
    </w:p>
    <w:p w14:paraId="11646C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2.操作简化：高频业务流程简化操作步骤，移动端适配现场轻量化操作。</w:t>
      </w:r>
    </w:p>
    <w:p w14:paraId="143F9B0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3.统一交互：PC 端、APP、大屏操作逻辑统一，降低学习成本。</w:t>
      </w:r>
    </w:p>
    <w:p w14:paraId="6C32034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4.辅助提示：表单填写、流程审批、异常提示配置文字说明，便于一线人员上手。</w:t>
      </w:r>
    </w:p>
    <w:p w14:paraId="0C6B8BA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5.导出打印：各类台账、报表、记录支持一键导出、打印，适配资料归档需求。</w:t>
      </w:r>
    </w:p>
    <w:p w14:paraId="1AFA989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52" w:name="_Toc31131"/>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4.4 可靠性需求</w:t>
      </w:r>
      <w:bookmarkEnd w:id="52"/>
    </w:p>
    <w:p w14:paraId="04040ED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1.运行稳定：系统支持 7×24 小时连续运行，全年综合可用率满足企业运营要求。</w:t>
      </w:r>
    </w:p>
    <w:p w14:paraId="1BE825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2.容错能力：异常数据、网络波动场景下具备容错机制，避免系统崩溃。</w:t>
      </w:r>
    </w:p>
    <w:p w14:paraId="1740A8D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3.故障恢复：具备数据备份与快速恢复机制，突发故障可快速恢复业务运行。</w:t>
      </w:r>
    </w:p>
    <w:p w14:paraId="0FFA54E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4.设备对接稳定：物联设备对接具备断线重连、自动补传机制，保障数据连续性。</w:t>
      </w:r>
    </w:p>
    <w:p w14:paraId="5BCD76E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5.版本稳定：上线版本成熟稳定，无高频 BUG，保障日常办公连续性。</w:t>
      </w:r>
    </w:p>
    <w:p w14:paraId="6A83028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53" w:name="_Toc10910"/>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4.5 可扩展性需求</w:t>
      </w:r>
      <w:bookmarkEnd w:id="53"/>
    </w:p>
    <w:p w14:paraId="1BC7E5C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1.架构扩展：微服务模块化设计，后续可按需新增模块、扩展业务功能。</w:t>
      </w:r>
    </w:p>
    <w:p w14:paraId="2C11A7C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2.接口扩展：预留标准化第三方对接接口，支持后续与 OA、财务、应急平台等系统联动。</w:t>
      </w:r>
    </w:p>
    <w:p w14:paraId="5381548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3.容量扩展：云服务器、存储资源可横向扩容，适配业务规模扩大、点位增加需求。</w:t>
      </w:r>
    </w:p>
    <w:p w14:paraId="3044C35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4.功能扩展：后台配置化程度高，业务流程、表单字段、检查清单可自定义调整。</w:t>
      </w:r>
    </w:p>
    <w:p w14:paraId="3725B96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54" w:name="_Toc6939"/>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4.6 兼容性需求</w:t>
      </w:r>
      <w:bookmarkEnd w:id="54"/>
    </w:p>
    <w:p w14:paraId="07DAF66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1.浏览器兼容：兼容主流 Chrome、Edge 等国产及通用浏览器，无需绑定特定版本。</w:t>
      </w:r>
    </w:p>
    <w:p w14:paraId="48A0731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2.终端兼容：移动端 APP 适配安卓、IOS 主流系统，适配不同尺寸手机屏幕。</w:t>
      </w:r>
    </w:p>
    <w:p w14:paraId="5417EC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3.协议兼容：视频、工艺、消防设备兼容行业主流通用协议，适配多品牌老旧设备对接。</w:t>
      </w:r>
    </w:p>
    <w:p w14:paraId="69CE98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4.文件兼容：支持 Word、Excel、PDF、图片、压缩包等常用格式上传预览。</w:t>
      </w:r>
    </w:p>
    <w:p w14:paraId="2DBAED0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outlineLvl w:val="3"/>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bookmarkStart w:id="55" w:name="_Toc8257"/>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4.7 可维护性需求</w:t>
      </w:r>
      <w:bookmarkEnd w:id="55"/>
    </w:p>
    <w:p w14:paraId="1C9AFE4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1.可视化运维：后台提供系统运行状态、接口连通性、设备在线状态可视化查看。</w:t>
      </w:r>
    </w:p>
    <w:p w14:paraId="7D7083E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2.配置化管理：业务规则、预警阈值、流程节点无需代码修改，后台可视化配置。</w:t>
      </w:r>
    </w:p>
    <w:p w14:paraId="5EBC38E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3.问题排查：日志分类清晰，接口日志、系统日志、操作日志独立区分，便于快速排障。</w:t>
      </w:r>
    </w:p>
    <w:p w14:paraId="09EE39B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4.文档完整：配套完整运维手册、操作手册，便于后期内部运维人员自主维护。</w:t>
      </w:r>
    </w:p>
    <w:p w14:paraId="141A64B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2"/>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56" w:name="_Toc10603"/>
      <w:bookmarkStart w:id="57" w:name="_Toc8606"/>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5 接口需求</w:t>
      </w:r>
      <w:bookmarkEnd w:id="56"/>
      <w:bookmarkEnd w:id="57"/>
    </w:p>
    <w:p w14:paraId="16EC11F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58" w:name="_Toc11981"/>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5.1 内部系统接口</w:t>
      </w:r>
      <w:bookmarkEnd w:id="58"/>
    </w:p>
    <w:p w14:paraId="26E8E1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实现平台内部各模块数据互通，包含用户权限接口、流程引擎接口、消息推送接口、数据共享接口，保障四大业务板块数据联动、业务协同。</w:t>
      </w:r>
    </w:p>
    <w:p w14:paraId="5E09F78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59" w:name="_Toc15354"/>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5.2 外部系统接口</w:t>
      </w:r>
      <w:bookmarkEnd w:id="59"/>
    </w:p>
    <w:p w14:paraId="7356C4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预留标准化对接能力，支持后期与上级监管平台、企业 OA 系统、财务系统、应急管理平台数据交互，采用安全鉴权机制，保障跨系统数据传输安全。</w:t>
      </w:r>
    </w:p>
    <w:p w14:paraId="5F0C4C6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60" w:name="_Toc31915"/>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5.3 硬件设备接口</w:t>
      </w:r>
      <w:bookmarkEnd w:id="60"/>
    </w:p>
    <w:p w14:paraId="1DD5C8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1.视频设备接口：兼容 GB/T28181、ONVIF、RTSP 等通用安防协议。</w:t>
      </w:r>
    </w:p>
    <w:p w14:paraId="07B35BD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2.工艺设备接口：支持 Modbus、OPC UA、MQTT 等工业通用协议。</w:t>
      </w:r>
    </w:p>
    <w:p w14:paraId="55B3DD2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3.消防设备接口：适配 BACnet、Modbus 等消防主机通用对接协议。</w:t>
      </w:r>
    </w:p>
    <w:p w14:paraId="2FEACFF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61" w:name="_Toc347"/>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5.4 接口安全规范</w:t>
      </w:r>
      <w:bookmarkEnd w:id="61"/>
    </w:p>
    <w:p w14:paraId="6802EB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所有对外接口统一进行身份鉴权、加密传输、访问限流、调用日志记录，防止越权调用、恶意访问，保障物联数据与业务数据安全。</w:t>
      </w:r>
    </w:p>
    <w:p w14:paraId="6587C0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2"/>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62" w:name="_Toc24750"/>
      <w:bookmarkStart w:id="63" w:name="_Toc25666"/>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6 实施计划</w:t>
      </w:r>
      <w:bookmarkEnd w:id="62"/>
      <w:bookmarkEnd w:id="63"/>
    </w:p>
    <w:p w14:paraId="2088829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64" w:name="_Toc30079"/>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6.1 实施阶段划分</w:t>
      </w:r>
      <w:bookmarkEnd w:id="64"/>
    </w:p>
    <w:p w14:paraId="699A5A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1.需求调研与确认阶段：现场业务调研、设备摸排、需求梳理、方案定稿。</w:t>
      </w:r>
    </w:p>
    <w:p w14:paraId="1A235AA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2.系统设计开发阶段：架构搭建、模块开发、页面设计、接口开发。</w:t>
      </w:r>
    </w:p>
    <w:p w14:paraId="7C7BF9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3.设备对接联调阶段：视频、工艺、消防设备逐项适配、点位调试、数据联调。</w:t>
      </w:r>
    </w:p>
    <w:p w14:paraId="3A10C8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4.系统测试优化阶段：功能测试、压力测试、多终端适配测试、问题整改优化。</w:t>
      </w:r>
    </w:p>
    <w:p w14:paraId="61D19DE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5.部署上线与培训阶段：现场部署、数据初始化、分级用户培训、试运行上线。</w:t>
      </w:r>
    </w:p>
    <w:p w14:paraId="6B58D51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65" w:name="_Toc28127"/>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6.2 项目实施里程碑</w:t>
      </w:r>
      <w:bookmarkEnd w:id="65"/>
    </w:p>
    <w:p w14:paraId="745C01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合理制定项目关键节点，实行进度倒排、节点管控，定期同步项目推进情况，保障项目按期落地交付。</w:t>
      </w:r>
    </w:p>
    <w:p w14:paraId="37A5D88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66" w:name="_Toc12984"/>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6.3 培训计划</w:t>
      </w:r>
      <w:bookmarkEnd w:id="66"/>
    </w:p>
    <w:p w14:paraId="3F357F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采用分层分级培训模式，分为管理员运维培训、部门管理员业务培训、一线操作人员移动端实操培训，配套操作手册、图文指引、操作短视频，确保全员熟练使用系统。</w:t>
      </w:r>
    </w:p>
    <w:p w14:paraId="65DA007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67" w:name="_Toc8942"/>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6.4 数据迁移与上线</w:t>
      </w:r>
      <w:bookmarkEnd w:id="67"/>
    </w:p>
    <w:p w14:paraId="48783B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统一梳理历史安全台账、设备档案、人员基础数据，通过模板批量导入完成初始化；采用分区域、分模块渐进式上线模式，降低切换风险，试运行周期内持续优化调整，保障平稳过渡。</w:t>
      </w:r>
    </w:p>
    <w:p w14:paraId="6C354DC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2"/>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68" w:name="_Toc4362"/>
      <w:bookmarkStart w:id="69" w:name="_Toc31738"/>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7 验收标准</w:t>
      </w:r>
      <w:bookmarkEnd w:id="68"/>
      <w:bookmarkEnd w:id="69"/>
    </w:p>
    <w:p w14:paraId="55C8313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70" w:name="_Toc510"/>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7.1 功能验收</w:t>
      </w:r>
      <w:bookmarkEnd w:id="70"/>
    </w:p>
    <w:p w14:paraId="49D43A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所有本期规划建设模块完整落地，业务流程完整闭环，物联设备数据采集展示正常，台账报表、导出打印、消息提醒、权限管控功能全部正常使用，满足企业日常安全管理业务需求。</w:t>
      </w:r>
    </w:p>
    <w:p w14:paraId="2426CDA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71" w:name="_Toc20974"/>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7.2 性能验收</w:t>
      </w:r>
      <w:bookmarkEnd w:id="71"/>
    </w:p>
    <w:p w14:paraId="05F29B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系统响应速度、并发承载、视频预览、数据采集等性能指标达到设计要求，长时间连续运行稳定无异常。</w:t>
      </w:r>
    </w:p>
    <w:p w14:paraId="162E7D8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72" w:name="_Toc15321"/>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7.3 接口验收</w:t>
      </w:r>
      <w:bookmarkEnd w:id="72"/>
    </w:p>
    <w:p w14:paraId="06D9DF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各类硬件对接接口、内部交互接口运行稳定，数据传输实时准确，接口文档完整规范。</w:t>
      </w:r>
    </w:p>
    <w:p w14:paraId="7BD5845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73" w:name="_Toc12755"/>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7.4 安全验收</w:t>
      </w:r>
      <w:bookmarkEnd w:id="73"/>
    </w:p>
    <w:p w14:paraId="4E7142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权限隔离、数据备份、操作日志、网络防护等安全措施落实到位，无安全漏洞与数据风险。</w:t>
      </w:r>
    </w:p>
    <w:p w14:paraId="2974E92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74" w:name="_Toc12765"/>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7.5 文档验收</w:t>
      </w:r>
      <w:bookmarkEnd w:id="74"/>
    </w:p>
    <w:p w14:paraId="6D38F4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完整交付需求报告、设计方案、接口文档、操作手册、运维手册、测试报告等全套资料，统一归档交付。</w:t>
      </w:r>
    </w:p>
    <w:p w14:paraId="2345654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2"/>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75" w:name="_Toc21579"/>
      <w:bookmarkStart w:id="76" w:name="_Toc11846"/>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8 风险分析与应对措施</w:t>
      </w:r>
      <w:bookmarkEnd w:id="75"/>
      <w:bookmarkEnd w:id="76"/>
    </w:p>
    <w:p w14:paraId="26FB1F4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77" w:name="_Toc27668"/>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8.1 技术风险</w:t>
      </w:r>
      <w:bookmarkEnd w:id="77"/>
    </w:p>
    <w:p w14:paraId="55235A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多品牌、多型号老旧设备协议不统一，存在对接适配难度。应对：前期全面摸排设备型号，提前开展协议适配测试；采用通用中间件适配方案，分步联调，降低兼容风险。</w:t>
      </w:r>
    </w:p>
    <w:p w14:paraId="7D07C31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78" w:name="_Toc13170"/>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8.2 进度风险</w:t>
      </w:r>
      <w:bookmarkEnd w:id="78"/>
    </w:p>
    <w:p w14:paraId="33E343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业务需求调整、现场施工配合不到位，易造成工期延后。应对：前期锁定需求范围，建立变更管控机制；建立周例会协调机制，及时解决现场卡点问题。</w:t>
      </w:r>
    </w:p>
    <w:p w14:paraId="2E30456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79" w:name="_Toc19802"/>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8.3 业务适配风险</w:t>
      </w:r>
      <w:bookmarkEnd w:id="79"/>
    </w:p>
    <w:p w14:paraId="45B98A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员工长期依赖线下办公，线上化操作适应难度大。应对：系统贴合现有业务流程设计，操作轻量化；强化实操培训，试运行阶段专人驻场指导，逐步养成线上办公习惯。</w:t>
      </w:r>
    </w:p>
    <w:p w14:paraId="73A22D7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pPr>
      <w:bookmarkStart w:id="80" w:name="_Toc6917"/>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8.4 数据安全风险</w:t>
      </w:r>
      <w:bookmarkEnd w:id="80"/>
    </w:p>
    <w:p w14:paraId="31BD951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1"/>
          <w:szCs w:val="21"/>
          <w:lang w:val="en-US" w:eastAsia="zh-CN" w:bidi="ar-SA"/>
          <w14:textFill>
            <w14:solidFill>
              <w14:schemeClr w14:val="tx1"/>
            </w14:solidFill>
          </w14:textFill>
        </w:rPr>
        <w:t>多类敏感运营数据、安全数据集中管理，存在泄露、篡改风险。应对：落实网络隔离、分级权限、数据加密、定期备份，全程操作留痕，全方位保障数据安全。</w:t>
      </w:r>
    </w:p>
    <w:p w14:paraId="0DEBAC7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2"/>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bookmarkStart w:id="81" w:name="_Toc23946"/>
      <w:bookmarkStart w:id="82" w:name="_Toc9932"/>
      <w:r>
        <w:rPr>
          <w:rFonts w:hint="eastAsia" w:asciiTheme="minorEastAsia" w:hAnsiTheme="minorEastAsia" w:eastAsiaTheme="minorEastAsia" w:cstheme="minorEastAsia"/>
          <w:b/>
          <w:bCs/>
          <w:color w:val="000000" w:themeColor="text1"/>
          <w:kern w:val="2"/>
          <w:sz w:val="21"/>
          <w:szCs w:val="21"/>
          <w:lang w:val="en-US" w:eastAsia="zh-CN" w:bidi="ar-SA"/>
          <w14:textFill>
            <w14:solidFill>
              <w14:schemeClr w14:val="tx1"/>
            </w14:solidFill>
          </w14:textFill>
        </w:rPr>
        <w:t>9 硬件要求</w:t>
      </w:r>
      <w:bookmarkEnd w:id="81"/>
      <w:bookmarkEnd w:id="82"/>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2395"/>
        <w:gridCol w:w="1872"/>
        <w:gridCol w:w="2128"/>
      </w:tblGrid>
      <w:tr w14:paraId="105A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240" w:type="dxa"/>
            <w:shd w:val="clear" w:color="auto" w:fill="DCE6F2"/>
            <w:noWrap w:val="0"/>
            <w:vAlign w:val="center"/>
          </w:tcPr>
          <w:p w14:paraId="46E5ABE0">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设备名称</w:t>
            </w:r>
          </w:p>
        </w:tc>
        <w:tc>
          <w:tcPr>
            <w:tcW w:w="2512" w:type="dxa"/>
            <w:shd w:val="clear" w:color="auto" w:fill="DCE6F2"/>
            <w:noWrap w:val="0"/>
            <w:vAlign w:val="center"/>
          </w:tcPr>
          <w:p w14:paraId="79C52056">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规格要求</w:t>
            </w:r>
          </w:p>
        </w:tc>
        <w:tc>
          <w:tcPr>
            <w:tcW w:w="1968" w:type="dxa"/>
            <w:shd w:val="clear" w:color="auto" w:fill="DCE6F2"/>
            <w:noWrap w:val="0"/>
            <w:vAlign w:val="center"/>
          </w:tcPr>
          <w:p w14:paraId="21C2CFC9">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数量</w:t>
            </w:r>
          </w:p>
        </w:tc>
        <w:tc>
          <w:tcPr>
            <w:tcW w:w="2240" w:type="dxa"/>
            <w:shd w:val="clear" w:color="auto" w:fill="DCE6F2"/>
            <w:noWrap w:val="0"/>
            <w:vAlign w:val="center"/>
          </w:tcPr>
          <w:p w14:paraId="17578224">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备注</w:t>
            </w:r>
          </w:p>
        </w:tc>
      </w:tr>
      <w:tr w14:paraId="5BE0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2240" w:type="dxa"/>
            <w:noWrap w:val="0"/>
            <w:vAlign w:val="center"/>
          </w:tcPr>
          <w:p w14:paraId="3A87EAC4">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智慧大屏</w:t>
            </w:r>
          </w:p>
        </w:tc>
        <w:tc>
          <w:tcPr>
            <w:tcW w:w="2512" w:type="dxa"/>
            <w:noWrap w:val="0"/>
            <w:vAlign w:val="center"/>
          </w:tcPr>
          <w:p w14:paraId="40092887">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高清显示，支持视频拼接、多画面展示</w:t>
            </w:r>
          </w:p>
        </w:tc>
        <w:tc>
          <w:tcPr>
            <w:tcW w:w="1968" w:type="dxa"/>
            <w:noWrap w:val="0"/>
            <w:vAlign w:val="center"/>
          </w:tcPr>
          <w:p w14:paraId="09C7D38B">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0</w:t>
            </w:r>
            <w:r>
              <w:rPr>
                <w:rFonts w:hint="eastAsia" w:asciiTheme="minorEastAsia" w:hAnsiTheme="minorEastAsia" w:eastAsiaTheme="minorEastAsia" w:cstheme="minorEastAsia"/>
                <w:color w:val="000000" w:themeColor="text1"/>
                <w:sz w:val="21"/>
                <w:szCs w:val="21"/>
                <w14:textFill>
                  <w14:solidFill>
                    <w14:schemeClr w14:val="tx1"/>
                  </w14:solidFill>
                </w14:textFill>
              </w:rPr>
              <w:t>块</w:t>
            </w:r>
          </w:p>
        </w:tc>
        <w:tc>
          <w:tcPr>
            <w:tcW w:w="2240" w:type="dxa"/>
            <w:noWrap w:val="0"/>
            <w:vAlign w:val="center"/>
          </w:tcPr>
          <w:p w14:paraId="4C8A6690">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使用</w:t>
            </w:r>
            <w:r>
              <w:rPr>
                <w:rFonts w:hint="eastAsia" w:asciiTheme="minorEastAsia" w:hAnsiTheme="minorEastAsia" w:eastAsiaTheme="minorEastAsia" w:cstheme="minorEastAsia"/>
                <w:color w:val="000000" w:themeColor="text1"/>
                <w:sz w:val="21"/>
                <w:szCs w:val="21"/>
                <w14:textFill>
                  <w14:solidFill>
                    <w14:schemeClr w14:val="tx1"/>
                  </w14:solidFill>
                </w14:textFill>
              </w:rPr>
              <w:t>能源研究院</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现有大屏</w:t>
            </w:r>
          </w:p>
        </w:tc>
      </w:tr>
      <w:tr w14:paraId="081A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2240" w:type="dxa"/>
            <w:noWrap w:val="0"/>
            <w:vAlign w:val="center"/>
          </w:tcPr>
          <w:p w14:paraId="6478E24B">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云服务器</w:t>
            </w:r>
          </w:p>
        </w:tc>
        <w:tc>
          <w:tcPr>
            <w:tcW w:w="2512" w:type="dxa"/>
            <w:noWrap w:val="0"/>
            <w:vAlign w:val="center"/>
          </w:tcPr>
          <w:p w14:paraId="4C5A3436">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企业级，满足系统运行与数据存储</w:t>
            </w:r>
          </w:p>
        </w:tc>
        <w:tc>
          <w:tcPr>
            <w:tcW w:w="1968" w:type="dxa"/>
            <w:noWrap w:val="0"/>
            <w:vAlign w:val="center"/>
          </w:tcPr>
          <w:p w14:paraId="79DC5D77">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1套</w:t>
            </w:r>
          </w:p>
        </w:tc>
        <w:tc>
          <w:tcPr>
            <w:tcW w:w="2240" w:type="dxa"/>
            <w:noWrap w:val="0"/>
            <w:vAlign w:val="center"/>
          </w:tcPr>
          <w:p w14:paraId="2E340B31">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按需配置</w:t>
            </w:r>
          </w:p>
        </w:tc>
      </w:tr>
      <w:tr w14:paraId="3C09B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240" w:type="dxa"/>
            <w:noWrap w:val="0"/>
            <w:vAlign w:val="center"/>
          </w:tcPr>
          <w:p w14:paraId="197ABC89">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网络设备</w:t>
            </w:r>
          </w:p>
        </w:tc>
        <w:tc>
          <w:tcPr>
            <w:tcW w:w="2512" w:type="dxa"/>
            <w:noWrap w:val="0"/>
            <w:vAlign w:val="center"/>
          </w:tcPr>
          <w:p w14:paraId="13E2A278">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满足数据传输与安全隔离</w:t>
            </w:r>
          </w:p>
        </w:tc>
        <w:tc>
          <w:tcPr>
            <w:tcW w:w="1968" w:type="dxa"/>
            <w:noWrap w:val="0"/>
            <w:vAlign w:val="center"/>
          </w:tcPr>
          <w:p w14:paraId="3BCC2A9D">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1批</w:t>
            </w:r>
          </w:p>
        </w:tc>
        <w:tc>
          <w:tcPr>
            <w:tcW w:w="2240" w:type="dxa"/>
            <w:noWrap w:val="0"/>
            <w:vAlign w:val="center"/>
          </w:tcPr>
          <w:p w14:paraId="7DBCB456">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利旧为主</w:t>
            </w:r>
          </w:p>
        </w:tc>
      </w:tr>
      <w:tr w14:paraId="4DC7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2240" w:type="dxa"/>
            <w:noWrap w:val="0"/>
            <w:vAlign w:val="center"/>
          </w:tcPr>
          <w:p w14:paraId="6D21204D">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移动终端</w:t>
            </w:r>
          </w:p>
        </w:tc>
        <w:tc>
          <w:tcPr>
            <w:tcW w:w="2512" w:type="dxa"/>
            <w:noWrap w:val="0"/>
            <w:vAlign w:val="center"/>
          </w:tcPr>
          <w:p w14:paraId="00420862">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支持手机APP安装使用</w:t>
            </w:r>
          </w:p>
        </w:tc>
        <w:tc>
          <w:tcPr>
            <w:tcW w:w="1968" w:type="dxa"/>
            <w:noWrap w:val="0"/>
            <w:vAlign w:val="center"/>
          </w:tcPr>
          <w:p w14:paraId="176B9E1A">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若干</w:t>
            </w:r>
          </w:p>
        </w:tc>
        <w:tc>
          <w:tcPr>
            <w:tcW w:w="2240" w:type="dxa"/>
            <w:noWrap w:val="0"/>
            <w:vAlign w:val="center"/>
          </w:tcPr>
          <w:p w14:paraId="1D219AB3">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现有手机</w:t>
            </w:r>
          </w:p>
        </w:tc>
      </w:tr>
    </w:tbl>
    <w:p w14:paraId="37AA83FD">
      <w:pPr>
        <w:bidi w:val="0"/>
        <w:spacing w:line="240" w:lineRule="auto"/>
        <w:rPr>
          <w:rFonts w:hint="eastAsia"/>
          <w:color w:val="000000" w:themeColor="text1"/>
          <w:lang w:val="en-US" w:eastAsia="zh-CN"/>
          <w14:textFill>
            <w14:solidFill>
              <w14:schemeClr w14:val="tx1"/>
            </w14:solidFill>
          </w14:textFill>
        </w:rPr>
      </w:pPr>
    </w:p>
    <w:p w14:paraId="30B09799">
      <w:pPr>
        <w:bidi w:val="0"/>
        <w:spacing w:line="240" w:lineRule="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注：云服务器由采购人负责部署，采购人现有网络已配置防火墙。手机为员工自有设备</w:t>
      </w:r>
    </w:p>
    <w:p w14:paraId="58F1E1CC">
      <w:pPr>
        <w:pStyle w:val="4"/>
        <w:pBdr>
          <w:top w:val="none" w:color="auto" w:sz="0" w:space="0"/>
          <w:left w:val="none" w:color="auto" w:sz="0" w:space="0"/>
          <w:bottom w:val="none" w:color="auto" w:sz="0" w:space="0"/>
          <w:right w:val="none" w:color="auto" w:sz="0" w:space="0"/>
        </w:pBdr>
        <w:adjustRightInd/>
        <w:snapToGrid/>
        <w:spacing w:line="360" w:lineRule="auto"/>
        <w:ind w:firstLine="422"/>
        <w:outlineLvl w:val="2"/>
        <w:rPr>
          <w:rFonts w:hint="eastAsia" w:asciiTheme="minorEastAsia" w:hAnsiTheme="minorEastAsia" w:eastAsiaTheme="minorEastAsia" w:cstheme="minorEastAsia"/>
          <w:color w:val="000000" w:themeColor="text1"/>
          <w:kern w:val="2"/>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lang w:val="en-US" w:eastAsia="zh-CN"/>
          <w14:textFill>
            <w14:solidFill>
              <w14:schemeClr w14:val="tx1"/>
            </w14:solidFill>
          </w14:textFill>
        </w:rPr>
        <w:t>10.报价要求</w:t>
      </w:r>
    </w:p>
    <w:p w14:paraId="332AD0DD">
      <w:pPr>
        <w:widowControl w:val="0"/>
        <w:bidi w:val="0"/>
        <w:adjustRightInd/>
        <w:snapToGrid/>
        <w:spacing w:line="360" w:lineRule="auto"/>
        <w:ind w:firstLine="420" w:firstLineChars="200"/>
        <w:jc w:val="both"/>
        <w:rPr>
          <w:rFonts w:hint="eastAsia" w:asciiTheme="minorEastAsia" w:hAnsiTheme="minorEastAsia" w:eastAsiaTheme="minorEastAsia" w:cstheme="minorEastAsia"/>
          <w:color w:val="000000" w:themeColor="text1"/>
          <w:kern w:val="2"/>
          <w:szCs w:val="21"/>
          <w14:textFill>
            <w14:solidFill>
              <w14:schemeClr w14:val="tx1"/>
            </w14:solidFill>
          </w14:textFill>
        </w:rPr>
      </w:pPr>
      <w:r>
        <w:rPr>
          <w:rFonts w:hint="eastAsia" w:asciiTheme="minorEastAsia" w:hAnsiTheme="minorEastAsia" w:eastAsiaTheme="minorEastAsia" w:cstheme="minorEastAsia"/>
          <w:color w:val="000000" w:themeColor="text1"/>
          <w:kern w:val="2"/>
          <w:szCs w:val="21"/>
          <w14:textFill>
            <w14:solidFill>
              <w14:schemeClr w14:val="tx1"/>
            </w14:solidFill>
          </w14:textFill>
        </w:rPr>
        <w:t>1.报价方式：以人民币报价。</w:t>
      </w:r>
    </w:p>
    <w:p w14:paraId="291FFF78">
      <w:pPr>
        <w:widowControl w:val="0"/>
        <w:bidi w:val="0"/>
        <w:adjustRightInd/>
        <w:snapToGrid/>
        <w:spacing w:line="360" w:lineRule="auto"/>
        <w:ind w:firstLine="420" w:firstLineChars="200"/>
        <w:jc w:val="both"/>
        <w:rPr>
          <w:rFonts w:hint="eastAsia" w:asciiTheme="minorEastAsia" w:hAnsiTheme="minorEastAsia" w:eastAsiaTheme="minorEastAsia" w:cstheme="minorEastAsia"/>
          <w:color w:val="000000" w:themeColor="text1"/>
          <w:kern w:val="2"/>
          <w:szCs w:val="21"/>
          <w14:textFill>
            <w14:solidFill>
              <w14:schemeClr w14:val="tx1"/>
            </w14:solidFill>
          </w14:textFill>
        </w:rPr>
      </w:pPr>
      <w:r>
        <w:rPr>
          <w:rFonts w:hint="eastAsia" w:asciiTheme="minorEastAsia" w:hAnsiTheme="minorEastAsia" w:eastAsiaTheme="minorEastAsia" w:cstheme="minorEastAsia"/>
          <w:color w:val="000000" w:themeColor="text1"/>
          <w:kern w:val="2"/>
          <w:szCs w:val="21"/>
          <w14:textFill>
            <w14:solidFill>
              <w14:schemeClr w14:val="tx1"/>
            </w14:solidFill>
          </w14:textFill>
        </w:rPr>
        <w:t>2.报价应包含完成本次采购所有标的内容的费用，包含服务费用、人工费、材料费、调试费、</w:t>
      </w:r>
      <w:r>
        <w:rPr>
          <w:rFonts w:hint="eastAsia"/>
          <w:color w:val="000000" w:themeColor="text1"/>
          <w:lang w:val="en-US" w:eastAsia="zh-CN"/>
          <w14:textFill>
            <w14:solidFill>
              <w14:schemeClr w14:val="tx1"/>
            </w14:solidFill>
          </w14:textFill>
        </w:rPr>
        <w:t>流量卡费用（运行一年的费用）、</w:t>
      </w:r>
      <w:r>
        <w:rPr>
          <w:rFonts w:hint="eastAsia" w:asciiTheme="minorEastAsia" w:hAnsiTheme="minorEastAsia" w:eastAsiaTheme="minorEastAsia" w:cstheme="minorEastAsia"/>
          <w:color w:val="000000" w:themeColor="text1"/>
          <w:kern w:val="2"/>
          <w:szCs w:val="21"/>
          <w14:textFill>
            <w14:solidFill>
              <w14:schemeClr w14:val="tx1"/>
            </w14:solidFill>
          </w14:textFill>
        </w:rPr>
        <w:t>各种税务费及合同实施过程中的不可预见费用等全部费用（含采购文件所要求的必要的辅助材料费用)和售后服务费等。</w:t>
      </w:r>
    </w:p>
    <w:p w14:paraId="6C35C7A4">
      <w:pPr>
        <w:widowControl w:val="0"/>
        <w:bidi w:val="0"/>
        <w:adjustRightInd/>
        <w:snapToGrid/>
        <w:ind w:firstLine="420" w:firstLineChars="200"/>
        <w:jc w:val="both"/>
        <w:rPr>
          <w:rFonts w:hint="eastAsia" w:asciiTheme="minorEastAsia" w:hAnsiTheme="minorEastAsia" w:eastAsiaTheme="minorEastAsia" w:cstheme="minorEastAsia"/>
          <w:color w:val="000000" w:themeColor="text1"/>
          <w:kern w:val="2"/>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14:textFill>
            <w14:solidFill>
              <w14:schemeClr w14:val="tx1"/>
            </w14:solidFill>
          </w14:textFill>
        </w:rPr>
        <w:t>3.报价应包含所有应支付的对专利权和版权、设计或其他知识产权而需要向其他方支付的版税</w:t>
      </w:r>
      <w:r>
        <w:rPr>
          <w:rFonts w:hint="eastAsia" w:asciiTheme="minorEastAsia" w:hAnsiTheme="minorEastAsia" w:eastAsiaTheme="minorEastAsia" w:cstheme="minorEastAsia"/>
          <w:color w:val="000000" w:themeColor="text1"/>
          <w:kern w:val="2"/>
          <w:szCs w:val="21"/>
          <w:lang w:eastAsia="zh-CN"/>
          <w14:textFill>
            <w14:solidFill>
              <w14:schemeClr w14:val="tx1"/>
            </w14:solidFill>
          </w14:textFill>
        </w:rPr>
        <w:t>。</w:t>
      </w:r>
    </w:p>
    <w:p w14:paraId="0CC262B0">
      <w:pPr>
        <w:widowControl w:val="0"/>
        <w:adjustRightInd/>
        <w:snapToGrid/>
        <w:ind w:left="0" w:firstLine="420" w:firstLineChars="200"/>
        <w:jc w:val="both"/>
        <w:rPr>
          <w:rFonts w:hint="eastAsia" w:asciiTheme="minorEastAsia" w:hAnsiTheme="minorEastAsia" w:eastAsiaTheme="minorEastAsia" w:cstheme="minorEastAsia"/>
          <w:color w:val="000000" w:themeColor="text1"/>
          <w:kern w:val="2"/>
          <w:szCs w:val="21"/>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kern w:val="2"/>
          <w:szCs w:val="21"/>
          <w14:textFill>
            <w14:solidFill>
              <w14:schemeClr w14:val="tx1"/>
            </w14:solidFill>
          </w14:textFill>
        </w:rPr>
        <w:t>本项目需要投标人对免费质保期后的每年运维费用进行报价，报价不得高于本项目投标报价的7%，前述费用不计入在本项目投标报价中。免费质保期后，采购人有权在不高于本次运维报价的情况下与中标人洽商确定运维费用。</w:t>
      </w:r>
    </w:p>
    <w:p w14:paraId="096F4F88">
      <w:pPr>
        <w:pStyle w:val="4"/>
        <w:pBdr>
          <w:top w:val="none" w:color="auto" w:sz="0" w:space="0"/>
          <w:left w:val="none" w:color="auto" w:sz="0" w:space="0"/>
          <w:bottom w:val="none" w:color="auto" w:sz="0" w:space="0"/>
          <w:right w:val="none" w:color="auto" w:sz="0" w:space="0"/>
        </w:pBdr>
        <w:adjustRightInd/>
        <w:snapToGrid/>
        <w:ind w:firstLine="422"/>
        <w:outlineLvl w:val="2"/>
        <w:rPr>
          <w:rFonts w:hint="eastAsia" w:asciiTheme="minorEastAsia" w:hAnsiTheme="minorEastAsia" w:eastAsiaTheme="minorEastAsia" w:cstheme="minorEastAsia"/>
          <w:color w:val="000000" w:themeColor="text1"/>
          <w:kern w:val="2"/>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lang w:val="en-US" w:eastAsia="zh-CN"/>
          <w14:textFill>
            <w14:solidFill>
              <w14:schemeClr w14:val="tx1"/>
            </w14:solidFill>
          </w14:textFill>
        </w:rPr>
        <w:t>11.其他要求</w:t>
      </w:r>
    </w:p>
    <w:p w14:paraId="1ED582E4">
      <w:pPr>
        <w:widowControl w:val="0"/>
        <w:adjustRightInd/>
        <w:snapToGrid/>
        <w:ind w:left="0" w:firstLine="420" w:firstLineChars="200"/>
        <w:jc w:val="both"/>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1）本项目对系统平台的基本要求为：需支持跳转至对应视频页面。</w:t>
      </w:r>
    </w:p>
    <w:p w14:paraId="6A88AD6B">
      <w:pPr>
        <w:widowControl w:val="0"/>
        <w:adjustRightInd/>
        <w:snapToGrid/>
        <w:ind w:left="0" w:firstLine="420" w:firstLineChars="200"/>
        <w:jc w:val="both"/>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2）各主体监控接入路数如下：</w:t>
      </w:r>
    </w:p>
    <w:p w14:paraId="042BD924">
      <w:pPr>
        <w:widowControl w:val="0"/>
        <w:adjustRightInd/>
        <w:snapToGrid/>
        <w:ind w:left="0" w:firstLine="420" w:firstLineChars="200"/>
        <w:jc w:val="both"/>
        <w:rPr>
          <w:rFonts w:hint="default" w:asciiTheme="minorEastAsia" w:hAnsiTheme="minorEastAsia" w:eastAsiaTheme="minorEastAsia" w:cstheme="minorEastAsia"/>
          <w:color w:val="000000" w:themeColor="text1"/>
          <w:kern w:val="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①新锋燃气</w:t>
      </w:r>
    </w:p>
    <w:p w14:paraId="67353419">
      <w:pPr>
        <w:widowControl w:val="0"/>
        <w:adjustRightInd/>
        <w:snapToGrid/>
        <w:ind w:left="0" w:firstLine="420" w:firstLineChars="200"/>
        <w:jc w:val="both"/>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茶山气站：64路</w:t>
      </w:r>
    </w:p>
    <w:p w14:paraId="781D44C1">
      <w:pPr>
        <w:widowControl w:val="0"/>
        <w:adjustRightInd/>
        <w:snapToGrid/>
        <w:ind w:left="0" w:firstLine="420" w:firstLineChars="200"/>
        <w:jc w:val="both"/>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 xml:space="preserve">供应站合计71路 </w:t>
      </w:r>
    </w:p>
    <w:p w14:paraId="195153F4">
      <w:pPr>
        <w:widowControl w:val="0"/>
        <w:adjustRightInd/>
        <w:snapToGrid/>
        <w:ind w:left="0" w:firstLine="420" w:firstLineChars="200"/>
        <w:jc w:val="both"/>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②新峰交通加气站</w:t>
      </w:r>
    </w:p>
    <w:p w14:paraId="5BC2B31C">
      <w:pPr>
        <w:widowControl w:val="0"/>
        <w:adjustRightInd/>
        <w:snapToGrid/>
        <w:ind w:left="0" w:firstLine="420" w:firstLineChars="200"/>
        <w:jc w:val="both"/>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（1）加氢站：14路</w:t>
      </w:r>
    </w:p>
    <w:p w14:paraId="60E24C71">
      <w:pPr>
        <w:widowControl w:val="0"/>
        <w:adjustRightInd/>
        <w:snapToGrid/>
        <w:ind w:left="0" w:firstLine="420" w:firstLineChars="200"/>
        <w:jc w:val="both"/>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（2）大岭山加气站：12路</w:t>
      </w:r>
    </w:p>
    <w:p w14:paraId="7272C7D2">
      <w:pPr>
        <w:widowControl w:val="0"/>
        <w:adjustRightInd/>
        <w:snapToGrid/>
        <w:ind w:left="0" w:firstLine="420" w:firstLineChars="200"/>
        <w:jc w:val="both"/>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（3）厚街加气站：12路</w:t>
      </w:r>
    </w:p>
    <w:p w14:paraId="2438AA51">
      <w:pPr>
        <w:widowControl w:val="0"/>
        <w:adjustRightInd/>
        <w:snapToGrid/>
        <w:ind w:left="0" w:firstLine="420" w:firstLineChars="200"/>
        <w:jc w:val="both"/>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③新能源：已有整合平台，合计约1300路</w:t>
      </w:r>
    </w:p>
    <w:p w14:paraId="511BF91A">
      <w:pPr>
        <w:widowControl w:val="0"/>
        <w:adjustRightInd/>
        <w:snapToGrid/>
        <w:ind w:left="0" w:firstLine="420" w:firstLineChars="200"/>
        <w:jc w:val="both"/>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④能创产业园：165路，品牌为大华</w:t>
      </w:r>
    </w:p>
    <w:p w14:paraId="15994DCA">
      <w:pPr>
        <w:widowControl w:val="0"/>
        <w:adjustRightInd/>
        <w:snapToGrid/>
        <w:ind w:left="0" w:firstLine="420" w:firstLineChars="200"/>
        <w:jc w:val="both"/>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⑤加油站：新华站27路，振华站26路，岗贝站22路，官桥站47路</w:t>
      </w:r>
    </w:p>
    <w:p w14:paraId="33B09E19">
      <w:pPr>
        <w:widowControl w:val="0"/>
        <w:adjustRightInd/>
        <w:snapToGrid/>
        <w:ind w:left="0" w:firstLine="420" w:firstLineChars="200"/>
        <w:jc w:val="both"/>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⑥充电桩公司：336路</w:t>
      </w:r>
    </w:p>
    <w:p w14:paraId="27DA15F9">
      <w:pPr>
        <w:widowControl w:val="0"/>
        <w:adjustRightInd/>
        <w:snapToGrid/>
        <w:ind w:left="0" w:firstLine="420" w:firstLineChars="200"/>
        <w:jc w:val="both"/>
        <w:rPr>
          <w:rFonts w:hint="eastAsia"/>
          <w:color w:val="000000" w:themeColor="text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2"/>
          <w:szCs w:val="21"/>
          <w:lang w:val="en-US" w:eastAsia="zh-CN"/>
          <w14:textFill>
            <w14:solidFill>
              <w14:schemeClr w14:val="tx1"/>
            </w14:solidFill>
          </w14:textFill>
        </w:rPr>
        <w:t>3）</w:t>
      </w:r>
      <w:r>
        <w:rPr>
          <w:rFonts w:hint="eastAsia"/>
          <w:color w:val="000000" w:themeColor="text1"/>
          <w:lang w:val="en-US" w:eastAsia="zh-CN"/>
          <w14:textFill>
            <w14:solidFill>
              <w14:schemeClr w14:val="tx1"/>
            </w14:solidFill>
          </w14:textFill>
        </w:rPr>
        <w:t>本项目无需对接具体设备，通过新增DTU采集网关即可完成与现有网关的数据对接，上述所有对接及设备费用均已包含在包干费用中。集团下属站点具体数量为：加油站4座、加气站2座、加氢站1座、液化石油气贮配站1座。</w:t>
      </w:r>
    </w:p>
    <w:p w14:paraId="3B18CF0B">
      <w:pPr>
        <w:widowControl w:val="0"/>
        <w:adjustRightInd/>
        <w:snapToGrid/>
        <w:ind w:left="0" w:firstLine="420" w:firstLineChars="200"/>
        <w:jc w:val="both"/>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网关费用机改造设备的费用包含在包干费用。消防主机：能源大厦1座主机（深圳市高新投三江电子股份有限公司JB-QBL-A310型），创业园2座消防主机（深圳市泛海三江JB-QTL-A116型）。加油加气站没有消防主机，已有工艺参数的中控平台。</w:t>
      </w:r>
    </w:p>
    <w:p w14:paraId="6CC5436C">
      <w:pPr>
        <w:widowControl w:val="0"/>
        <w:adjustRightInd/>
        <w:snapToGrid/>
        <w:ind w:firstLine="560" w:firstLineChars="200"/>
        <w:jc w:val="both"/>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br w:type="page"/>
      </w:r>
    </w:p>
    <w:p w14:paraId="0F7211BE">
      <w:pPr>
        <w:pStyle w:val="2"/>
        <w:spacing w:before="0" w:after="0" w:line="240" w:lineRule="auto"/>
        <w:rPr>
          <w:color w:val="000000" w:themeColor="text1"/>
          <w:sz w:val="24"/>
          <w:szCs w:val="24"/>
          <w14:textFill>
            <w14:solidFill>
              <w14:schemeClr w14:val="tx1"/>
            </w14:solidFill>
          </w14:textFill>
        </w:rPr>
      </w:pPr>
      <w:bookmarkStart w:id="83" w:name="_Toc23482"/>
      <w:bookmarkStart w:id="84" w:name="_Toc23133"/>
      <w:r>
        <w:rPr>
          <w:rFonts w:hint="eastAsia"/>
          <w:color w:val="000000" w:themeColor="text1"/>
          <w:sz w:val="28"/>
          <w:szCs w:val="28"/>
          <w14:textFill>
            <w14:solidFill>
              <w14:schemeClr w14:val="tx1"/>
            </w14:solidFill>
          </w14:textFill>
        </w:rPr>
        <w:t>第四部分投标人须知</w:t>
      </w:r>
      <w:bookmarkEnd w:id="83"/>
      <w:bookmarkEnd w:id="84"/>
    </w:p>
    <w:p w14:paraId="673B4052">
      <w:pPr>
        <w:pStyle w:val="3"/>
        <w:numPr>
          <w:ilvl w:val="0"/>
          <w:numId w:val="2"/>
        </w:numPr>
        <w:spacing w:before="0" w:after="0" w:line="480" w:lineRule="auto"/>
        <w:jc w:val="center"/>
        <w:rPr>
          <w:rFonts w:ascii="宋体" w:hAnsi="宋体"/>
          <w:color w:val="000000" w:themeColor="text1"/>
          <w14:textFill>
            <w14:solidFill>
              <w14:schemeClr w14:val="tx1"/>
            </w14:solidFill>
          </w14:textFill>
        </w:rPr>
      </w:pPr>
      <w:bookmarkStart w:id="85" w:name="_Toc497"/>
      <w:bookmarkStart w:id="86" w:name="_Toc29659"/>
      <w:r>
        <w:rPr>
          <w:rFonts w:hint="eastAsia" w:ascii="宋体" w:hAnsi="宋体"/>
          <w:color w:val="000000" w:themeColor="text1"/>
          <w14:textFill>
            <w14:solidFill>
              <w14:schemeClr w14:val="tx1"/>
            </w14:solidFill>
          </w14:textFill>
        </w:rPr>
        <w:t>说明</w:t>
      </w:r>
      <w:bookmarkEnd w:id="85"/>
      <w:bookmarkEnd w:id="86"/>
    </w:p>
    <w:p w14:paraId="4C87C24C">
      <w:pPr>
        <w:pStyle w:val="4"/>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87" w:name="_Toc12159"/>
      <w:bookmarkStart w:id="88" w:name="_Toc3946"/>
      <w:bookmarkStart w:id="89" w:name="_Toc3534"/>
      <w:r>
        <w:rPr>
          <w:rFonts w:hint="default" w:ascii="宋体" w:hAnsi="宋体" w:eastAsia="宋体" w:cs="宋体"/>
          <w:b/>
          <w:bCs/>
          <w:color w:val="000000" w:themeColor="text1"/>
          <w:sz w:val="21"/>
          <w:szCs w:val="21"/>
          <w:lang w:val="en-US" w:eastAsia="zh-CN" w:bidi="ar-SA"/>
          <w14:textFill>
            <w14:solidFill>
              <w14:schemeClr w14:val="tx1"/>
            </w14:solidFill>
          </w14:textFill>
        </w:rPr>
        <w:t>1.</w:t>
      </w:r>
      <w:r>
        <w:rPr>
          <w:rFonts w:hint="eastAsia" w:ascii="宋体" w:hAnsi="宋体" w:cs="宋体"/>
          <w:color w:val="000000" w:themeColor="text1"/>
          <w:sz w:val="21"/>
          <w:szCs w:val="21"/>
          <w14:textFill>
            <w14:solidFill>
              <w14:schemeClr w14:val="tx1"/>
            </w14:solidFill>
          </w14:textFill>
        </w:rPr>
        <w:t>适用范围</w:t>
      </w:r>
      <w:bookmarkEnd w:id="87"/>
      <w:bookmarkEnd w:id="88"/>
      <w:bookmarkEnd w:id="89"/>
    </w:p>
    <w:p w14:paraId="723E888F">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1.1.</w:t>
      </w:r>
      <w:r>
        <w:rPr>
          <w:rFonts w:hint="eastAsia" w:ascii="宋体" w:hAnsi="宋体" w:cs="宋体"/>
          <w:color w:val="000000" w:themeColor="text1"/>
          <w:szCs w:val="21"/>
          <w14:textFill>
            <w14:solidFill>
              <w14:schemeClr w14:val="tx1"/>
            </w14:solidFill>
          </w14:textFill>
        </w:rPr>
        <w:t>采购范围：见本文件《用户需求书》</w:t>
      </w:r>
    </w:p>
    <w:p w14:paraId="6861EF25">
      <w:pPr>
        <w:rPr>
          <w:rFonts w:ascii="宋体" w:hAnsi="宋体" w:cs="宋体"/>
          <w:color w:val="000000" w:themeColor="text1"/>
          <w14:textFill>
            <w14:solidFill>
              <w14:schemeClr w14:val="tx1"/>
            </w14:solidFill>
          </w14:textFill>
        </w:rPr>
      </w:pPr>
    </w:p>
    <w:p w14:paraId="28734A27">
      <w:pPr>
        <w:pStyle w:val="4"/>
        <w:widowControl w:val="0"/>
        <w:numPr>
          <w:ilvl w:val="0"/>
          <w:numId w:val="0"/>
        </w:numPr>
        <w:overflowPunct w:val="0"/>
        <w:ind w:left="425" w:leftChars="0" w:hanging="425" w:firstLineChars="0"/>
        <w:rPr>
          <w:rFonts w:ascii="宋体" w:hAnsi="宋体" w:cs="宋体"/>
          <w:vanish/>
          <w:color w:val="000000" w:themeColor="text1"/>
          <w:szCs w:val="21"/>
          <w14:textFill>
            <w14:solidFill>
              <w14:schemeClr w14:val="tx1"/>
            </w14:solidFill>
          </w14:textFill>
        </w:rPr>
      </w:pPr>
      <w:bookmarkStart w:id="90" w:name="_Toc1530"/>
      <w:bookmarkStart w:id="91" w:name="_Toc14042"/>
      <w:bookmarkStart w:id="92" w:name="_Toc382049092"/>
      <w:bookmarkStart w:id="93" w:name="_Toc32424"/>
      <w:bookmarkStart w:id="94" w:name="_Toc303084246"/>
      <w:bookmarkStart w:id="95" w:name="_Toc20286"/>
      <w:bookmarkStart w:id="96" w:name="_Toc298847174"/>
      <w:r>
        <w:rPr>
          <w:rFonts w:hint="default" w:ascii="宋体" w:hAnsi="宋体" w:eastAsia="宋体" w:cs="宋体"/>
          <w:b/>
          <w:bCs/>
          <w:color w:val="000000" w:themeColor="text1"/>
          <w:sz w:val="21"/>
          <w:szCs w:val="21"/>
          <w:lang w:val="en-US" w:eastAsia="zh-CN" w:bidi="ar-SA"/>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定义</w:t>
      </w:r>
      <w:bookmarkEnd w:id="90"/>
      <w:bookmarkEnd w:id="91"/>
      <w:bookmarkEnd w:id="92"/>
      <w:bookmarkEnd w:id="93"/>
      <w:bookmarkEnd w:id="94"/>
      <w:bookmarkEnd w:id="95"/>
      <w:bookmarkEnd w:id="96"/>
    </w:p>
    <w:p w14:paraId="53AA295E">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采购人：见投标邀请书。</w:t>
      </w:r>
    </w:p>
    <w:p w14:paraId="04934CF2">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投标人：响应采购并且符合采购文件规定资格条件和参加投标竞争的法人、其他组织或者自然人。</w:t>
      </w:r>
    </w:p>
    <w:p w14:paraId="4027A346">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法人：法人是依法在国内进行注册并具有民事权利能力和民事行为能力，依法独立享有民事权利和承担民事义务的组织。</w:t>
      </w:r>
    </w:p>
    <w:p w14:paraId="67ACDC45">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中标人：指经评标委员会评审推荐、采购人确认的获得本项目中标资格的投标人。</w:t>
      </w:r>
    </w:p>
    <w:p w14:paraId="3D140858">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2.5.</w:t>
      </w:r>
      <w:r>
        <w:rPr>
          <w:rFonts w:hint="eastAsia" w:ascii="宋体" w:hAnsi="宋体" w:cs="宋体"/>
          <w:color w:val="000000" w:themeColor="text1"/>
          <w:szCs w:val="21"/>
          <w14:textFill>
            <w14:solidFill>
              <w14:schemeClr w14:val="tx1"/>
            </w14:solidFill>
          </w14:textFill>
        </w:rPr>
        <w:t>采购代理机构：见投标邀请书。</w:t>
      </w:r>
    </w:p>
    <w:p w14:paraId="10057ADF">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评标委员会：评标委员会是依据相关规定组建的专门负责本次采购其评标工作的临时性机构。</w:t>
      </w:r>
    </w:p>
    <w:p w14:paraId="4477D99E">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2.7.</w:t>
      </w:r>
      <w:r>
        <w:rPr>
          <w:rFonts w:hint="eastAsia" w:ascii="宋体" w:hAnsi="宋体" w:cs="宋体"/>
          <w:color w:val="000000" w:themeColor="text1"/>
          <w:szCs w:val="21"/>
          <w14:textFill>
            <w14:solidFill>
              <w14:schemeClr w14:val="tx1"/>
            </w14:solidFill>
          </w14:textFill>
        </w:rPr>
        <w:t>合同：指由本次采购所产生的合同或合约文件。</w:t>
      </w:r>
    </w:p>
    <w:p w14:paraId="48C1B51C">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2.8.</w:t>
      </w:r>
      <w:r>
        <w:rPr>
          <w:rFonts w:hint="eastAsia" w:ascii="宋体" w:hAnsi="宋体" w:cs="宋体"/>
          <w:color w:val="000000" w:themeColor="text1"/>
          <w:szCs w:val="21"/>
          <w14:textFill>
            <w14:solidFill>
              <w14:schemeClr w14:val="tx1"/>
            </w14:solidFill>
          </w14:textFill>
        </w:rPr>
        <w:t>公章：公章是指经过正规的法定程序并备案的法人公章与投标专用章。（投标人如在投标文件中使用“投标专用章”，应提供法定代表人签字或加盖公章说明该“投标专用章”与法人公章具备同等效力的证明文件，且投标当天应携带相关原件到现场，以供核查。因投标文件未提供相关手续复印件和无法核查投标专用章的真实性而导致的后果由投标人自行承担。）</w:t>
      </w:r>
    </w:p>
    <w:p w14:paraId="1971DAA9">
      <w:pPr>
        <w:widowControl w:val="0"/>
        <w:numPr>
          <w:ilvl w:val="1"/>
          <w:numId w:val="0"/>
        </w:numPr>
        <w:overflowPunct w:val="0"/>
        <w:ind w:left="567" w:leftChars="0" w:hanging="567" w:firstLineChars="0"/>
        <w:rPr>
          <w:rFonts w:ascii="宋体" w:hAnsi="宋体" w:cs="宋体"/>
          <w:color w:val="000000" w:themeColor="text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2.9.</w:t>
      </w:r>
      <w:r>
        <w:rPr>
          <w:rFonts w:hint="eastAsia" w:ascii="宋体" w:hAnsi="宋体" w:cs="宋体"/>
          <w:color w:val="000000" w:themeColor="text1"/>
          <w:szCs w:val="21"/>
          <w14:textFill>
            <w14:solidFill>
              <w14:schemeClr w14:val="tx1"/>
            </w14:solidFill>
          </w14:textFill>
        </w:rPr>
        <w:t>时间：本文件规定按日计算期间的，开始当天不计入，从次日开始计算。期限的最后一日是国家法定节假日的，顺延到节假日后的次日为期限的最后一日。</w:t>
      </w:r>
    </w:p>
    <w:p w14:paraId="34F0A886">
      <w:pPr>
        <w:pStyle w:val="4"/>
        <w:widowControl w:val="0"/>
        <w:numPr>
          <w:ilvl w:val="0"/>
          <w:numId w:val="0"/>
        </w:numPr>
        <w:overflowPunct w:val="0"/>
        <w:ind w:left="425" w:leftChars="0" w:hanging="425" w:firstLineChars="0"/>
        <w:rPr>
          <w:rFonts w:ascii="宋体" w:hAnsi="宋体" w:cs="宋体"/>
          <w:vanish/>
          <w:color w:val="000000" w:themeColor="text1"/>
          <w:szCs w:val="21"/>
          <w14:textFill>
            <w14:solidFill>
              <w14:schemeClr w14:val="tx1"/>
            </w14:solidFill>
          </w14:textFill>
        </w:rPr>
      </w:pPr>
      <w:bookmarkStart w:id="97" w:name="_Toc31648"/>
      <w:bookmarkStart w:id="98" w:name="_Toc11624"/>
      <w:bookmarkStart w:id="99" w:name="_Toc8290"/>
      <w:r>
        <w:rPr>
          <w:rFonts w:hint="default" w:ascii="宋体" w:hAnsi="宋体" w:eastAsia="宋体" w:cs="宋体"/>
          <w:b/>
          <w:bCs/>
          <w:color w:val="000000" w:themeColor="text1"/>
          <w:sz w:val="21"/>
          <w:szCs w:val="21"/>
          <w:lang w:val="en-US" w:eastAsia="zh-CN" w:bidi="ar-SA"/>
          <w14:textFill>
            <w14:solidFill>
              <w14:schemeClr w14:val="tx1"/>
            </w14:solidFill>
          </w14:textFill>
        </w:rPr>
        <w:t>3.</w:t>
      </w:r>
      <w:r>
        <w:rPr>
          <w:rFonts w:hint="eastAsia" w:ascii="宋体" w:hAnsi="宋体" w:cs="宋体"/>
          <w:color w:val="000000" w:themeColor="text1"/>
          <w:sz w:val="21"/>
          <w:szCs w:val="21"/>
          <w14:textFill>
            <w14:solidFill>
              <w14:schemeClr w14:val="tx1"/>
            </w14:solidFill>
          </w14:textFill>
        </w:rPr>
        <w:t>货物和服务</w:t>
      </w:r>
      <w:bookmarkEnd w:id="97"/>
      <w:bookmarkEnd w:id="98"/>
      <w:bookmarkEnd w:id="99"/>
    </w:p>
    <w:p w14:paraId="5909A873">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3.1.</w:t>
      </w:r>
      <w:r>
        <w:rPr>
          <w:rFonts w:hint="eastAsia" w:ascii="宋体" w:hAnsi="宋体" w:cs="宋体"/>
          <w:color w:val="000000" w:themeColor="text1"/>
          <w:szCs w:val="21"/>
          <w14:textFill>
            <w14:solidFill>
              <w14:schemeClr w14:val="tx1"/>
            </w14:solidFill>
          </w14:textFill>
        </w:rPr>
        <w:t>货物是指各种形态和种类的物品，包括原材料、燃料、设备、产品等。</w:t>
      </w:r>
    </w:p>
    <w:p w14:paraId="60ADD24E">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3.2.</w:t>
      </w:r>
      <w:r>
        <w:rPr>
          <w:rFonts w:hint="eastAsia" w:ascii="宋体" w:hAnsi="宋体" w:cs="宋体"/>
          <w:color w:val="000000" w:themeColor="text1"/>
          <w:szCs w:val="21"/>
          <w14:textFill>
            <w14:solidFill>
              <w14:schemeClr w14:val="tx1"/>
            </w14:solidFill>
          </w14:textFill>
        </w:rPr>
        <w:t>服务是指除货物和工程以外的其他采购对象。</w:t>
      </w:r>
    </w:p>
    <w:p w14:paraId="7BEC68CF">
      <w:pPr>
        <w:rPr>
          <w:rFonts w:ascii="宋体" w:hAnsi="宋体" w:cs="宋体"/>
          <w:color w:val="000000" w:themeColor="text1"/>
          <w14:textFill>
            <w14:solidFill>
              <w14:schemeClr w14:val="tx1"/>
            </w14:solidFill>
          </w14:textFill>
        </w:rPr>
      </w:pPr>
    </w:p>
    <w:p w14:paraId="06A04A5C">
      <w:pPr>
        <w:pStyle w:val="4"/>
        <w:widowControl w:val="0"/>
        <w:numPr>
          <w:ilvl w:val="0"/>
          <w:numId w:val="0"/>
        </w:numPr>
        <w:overflowPunct w:val="0"/>
        <w:ind w:left="425" w:leftChars="0" w:hanging="425" w:firstLineChars="0"/>
        <w:rPr>
          <w:rFonts w:ascii="宋体" w:hAnsi="宋体" w:cs="宋体"/>
          <w:vanish/>
          <w:color w:val="000000" w:themeColor="text1"/>
          <w:szCs w:val="21"/>
          <w14:textFill>
            <w14:solidFill>
              <w14:schemeClr w14:val="tx1"/>
            </w14:solidFill>
          </w14:textFill>
        </w:rPr>
      </w:pPr>
      <w:bookmarkStart w:id="100" w:name="_Toc12170"/>
      <w:bookmarkStart w:id="101" w:name="_Toc15719"/>
      <w:bookmarkStart w:id="102" w:name="_Toc6581"/>
      <w:r>
        <w:rPr>
          <w:rFonts w:hint="default" w:ascii="宋体" w:hAnsi="宋体" w:eastAsia="宋体" w:cs="宋体"/>
          <w:b/>
          <w:bCs/>
          <w:color w:val="000000" w:themeColor="text1"/>
          <w:sz w:val="21"/>
          <w:szCs w:val="21"/>
          <w:lang w:val="en-US" w:eastAsia="zh-CN" w:bidi="ar-SA"/>
          <w14:textFill>
            <w14:solidFill>
              <w14:schemeClr w14:val="tx1"/>
            </w14:solidFill>
          </w14:textFill>
        </w:rPr>
        <w:t>4.</w:t>
      </w:r>
      <w:r>
        <w:rPr>
          <w:rFonts w:hint="eastAsia" w:ascii="宋体" w:hAnsi="宋体" w:cs="宋体"/>
          <w:color w:val="000000" w:themeColor="text1"/>
          <w:sz w:val="21"/>
          <w:szCs w:val="21"/>
          <w14:textFill>
            <w14:solidFill>
              <w14:schemeClr w14:val="tx1"/>
            </w14:solidFill>
          </w14:textFill>
        </w:rPr>
        <w:t>投标费用</w:t>
      </w:r>
      <w:bookmarkEnd w:id="100"/>
      <w:bookmarkEnd w:id="101"/>
      <w:bookmarkEnd w:id="102"/>
    </w:p>
    <w:p w14:paraId="45986FAF">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4.1.</w:t>
      </w:r>
      <w:r>
        <w:rPr>
          <w:rFonts w:hint="eastAsia" w:ascii="宋体" w:hAnsi="宋体" w:cs="宋体"/>
          <w:color w:val="000000" w:themeColor="text1"/>
          <w:szCs w:val="21"/>
          <w14:textFill>
            <w14:solidFill>
              <w14:schemeClr w14:val="tx1"/>
            </w14:solidFill>
          </w14:textFill>
        </w:rPr>
        <w:t>投标人应承担所有与编写投标文件和参加投标有关的自身的所有费用，不论投标的结果如何，采购代理机构和采购人在任何情况下均无义务和责任承担这些费用。</w:t>
      </w:r>
    </w:p>
    <w:p w14:paraId="5222E049">
      <w:pPr>
        <w:pStyle w:val="4"/>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03" w:name="_Toc5320"/>
      <w:bookmarkStart w:id="104" w:name="_Toc6180"/>
      <w:bookmarkStart w:id="105" w:name="_Toc19367"/>
      <w:r>
        <w:rPr>
          <w:rFonts w:hint="default" w:ascii="宋体" w:hAnsi="宋体" w:eastAsia="宋体" w:cs="宋体"/>
          <w:b/>
          <w:bCs/>
          <w:color w:val="000000" w:themeColor="text1"/>
          <w:sz w:val="21"/>
          <w:szCs w:val="21"/>
          <w:lang w:val="en-US" w:eastAsia="zh-CN" w:bidi="ar-SA"/>
          <w14:textFill>
            <w14:solidFill>
              <w14:schemeClr w14:val="tx1"/>
            </w14:solidFill>
          </w14:textFill>
        </w:rPr>
        <w:t>5.</w:t>
      </w:r>
      <w:r>
        <w:rPr>
          <w:rFonts w:hint="eastAsia" w:ascii="宋体" w:hAnsi="宋体" w:cs="宋体"/>
          <w:color w:val="000000" w:themeColor="text1"/>
          <w:sz w:val="21"/>
          <w:szCs w:val="21"/>
          <w14:textFill>
            <w14:solidFill>
              <w14:schemeClr w14:val="tx1"/>
            </w14:solidFill>
          </w14:textFill>
        </w:rPr>
        <w:t>知识产权</w:t>
      </w:r>
      <w:bookmarkEnd w:id="103"/>
      <w:bookmarkEnd w:id="104"/>
      <w:bookmarkEnd w:id="105"/>
    </w:p>
    <w:p w14:paraId="61F6F5EB">
      <w:pPr>
        <w:pStyle w:val="43"/>
        <w:widowControl w:val="0"/>
        <w:adjustRightInd/>
        <w:snapToGrid/>
        <w:ind w:left="425" w:hanging="425" w:firstLineChars="0"/>
        <w:jc w:val="both"/>
        <w:rPr>
          <w:rFonts w:ascii="宋体" w:hAnsi="宋体" w:cs="宋体"/>
          <w:vanish/>
          <w:color w:val="000000" w:themeColor="text1"/>
          <w:szCs w:val="21"/>
          <w14:textFill>
            <w14:solidFill>
              <w14:schemeClr w14:val="tx1"/>
            </w14:solidFill>
          </w14:textFill>
        </w:rPr>
      </w:pPr>
    </w:p>
    <w:p w14:paraId="1B2DBA27">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14:paraId="3C85A77C">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5.2.</w:t>
      </w:r>
      <w:r>
        <w:rPr>
          <w:rFonts w:hint="eastAsia" w:ascii="宋体" w:hAnsi="宋体" w:cs="宋体"/>
          <w:color w:val="000000" w:themeColor="text1"/>
          <w:szCs w:val="21"/>
          <w14:textFill>
            <w14:solidFill>
              <w14:schemeClr w14:val="tx1"/>
            </w14:solidFill>
          </w14:textFill>
        </w:rPr>
        <w:t>采购人享有本项目实施过程中产生的知识成果及知识产权。</w:t>
      </w:r>
    </w:p>
    <w:p w14:paraId="32923766">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5.3.</w:t>
      </w:r>
      <w:r>
        <w:rPr>
          <w:rFonts w:hint="eastAsia" w:ascii="宋体" w:hAnsi="宋体" w:cs="宋体"/>
          <w:color w:val="000000" w:themeColor="text1"/>
          <w:szCs w:val="21"/>
          <w14:textFill>
            <w14:solidFill>
              <w14:schemeClr w14:val="tx1"/>
            </w14:solidFill>
          </w14:textFill>
        </w:rPr>
        <w:t>投标人如欲在项目实施过程中采用自有知识成果，需在投标文件中声明，并提供相关知识产权证明文件。使用该知识成果后，投标人需提供开发接口和开发手册等技术文档。</w:t>
      </w:r>
    </w:p>
    <w:p w14:paraId="1756AC01">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5.4.</w:t>
      </w:r>
      <w:r>
        <w:rPr>
          <w:rFonts w:hint="eastAsia" w:ascii="宋体" w:hAnsi="宋体" w:cs="宋体"/>
          <w:color w:val="000000" w:themeColor="text1"/>
          <w:szCs w:val="21"/>
          <w14:textFill>
            <w14:solidFill>
              <w14:schemeClr w14:val="tx1"/>
            </w14:solidFill>
          </w14:textFill>
        </w:rPr>
        <w:t>采购货物为计算机办公设备时，投标人提供的产品必须是预装正版操作系统软件的计算机产品。</w:t>
      </w:r>
    </w:p>
    <w:p w14:paraId="5644AFBF">
      <w:pPr>
        <w:pStyle w:val="4"/>
        <w:widowControl w:val="0"/>
        <w:numPr>
          <w:ilvl w:val="0"/>
          <w:numId w:val="0"/>
        </w:numPr>
        <w:overflowPunct w:val="0"/>
        <w:ind w:left="425" w:leftChars="0" w:hanging="425" w:firstLineChars="0"/>
        <w:rPr>
          <w:rFonts w:ascii="宋体" w:hAnsi="宋体" w:cs="宋体"/>
          <w:vanish/>
          <w:color w:val="000000" w:themeColor="text1"/>
          <w:szCs w:val="21"/>
          <w14:textFill>
            <w14:solidFill>
              <w14:schemeClr w14:val="tx1"/>
            </w14:solidFill>
          </w14:textFill>
        </w:rPr>
      </w:pPr>
      <w:bookmarkStart w:id="106" w:name="_Toc2352"/>
      <w:bookmarkStart w:id="107" w:name="_Toc23807"/>
      <w:bookmarkStart w:id="108" w:name="_Toc7629"/>
      <w:r>
        <w:rPr>
          <w:rFonts w:hint="default" w:ascii="宋体" w:hAnsi="宋体" w:eastAsia="宋体" w:cs="宋体"/>
          <w:b/>
          <w:bCs/>
          <w:color w:val="000000" w:themeColor="text1"/>
          <w:sz w:val="21"/>
          <w:szCs w:val="21"/>
          <w:lang w:val="en-US" w:eastAsia="zh-CN" w:bidi="ar-SA"/>
          <w14:textFill>
            <w14:solidFill>
              <w14:schemeClr w14:val="tx1"/>
            </w14:solidFill>
          </w14:textFill>
        </w:rPr>
        <w:t>6.</w:t>
      </w:r>
      <w:r>
        <w:rPr>
          <w:rFonts w:hint="eastAsia" w:ascii="宋体" w:hAnsi="宋体" w:cs="宋体"/>
          <w:color w:val="000000" w:themeColor="text1"/>
          <w:sz w:val="21"/>
          <w:szCs w:val="21"/>
          <w14:textFill>
            <w14:solidFill>
              <w14:schemeClr w14:val="tx1"/>
            </w14:solidFill>
          </w14:textFill>
        </w:rPr>
        <w:t>关于联合体投标</w:t>
      </w:r>
      <w:bookmarkEnd w:id="106"/>
      <w:bookmarkEnd w:id="107"/>
      <w:bookmarkEnd w:id="108"/>
    </w:p>
    <w:p w14:paraId="2EA4CC9C">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6.1.</w:t>
      </w:r>
      <w:r>
        <w:rPr>
          <w:rFonts w:hint="eastAsia" w:ascii="宋体" w:hAnsi="宋体" w:cs="宋体"/>
          <w:color w:val="000000" w:themeColor="text1"/>
          <w:szCs w:val="21"/>
          <w14:textFill>
            <w14:solidFill>
              <w14:schemeClr w14:val="tx1"/>
            </w14:solidFill>
          </w14:textFill>
        </w:rPr>
        <w:t>对接受联合体投标的项目：两个以上的自然人、法人或者其他组织可以组成一个联合体，以一个投标人的身份共同参加采购活动。</w:t>
      </w:r>
    </w:p>
    <w:p w14:paraId="2D97FBAE">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6.2.</w:t>
      </w:r>
      <w:r>
        <w:rPr>
          <w:rFonts w:hint="eastAsia" w:ascii="宋体" w:hAnsi="宋体" w:cs="宋体"/>
          <w:color w:val="000000" w:themeColor="text1"/>
          <w:szCs w:val="21"/>
          <w14:textFill>
            <w14:solidFill>
              <w14:schemeClr w14:val="tx1"/>
            </w14:solidFill>
          </w14:textFill>
        </w:rPr>
        <w:t>以联合体形式参与项目的供应商在领购采购文件时，应提供所有联合体组成成员的营业执照复印件，并加盖各联合体组成成员的公章。</w:t>
      </w:r>
    </w:p>
    <w:p w14:paraId="63AB0870">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6.3.</w:t>
      </w:r>
      <w:r>
        <w:rPr>
          <w:rFonts w:hint="eastAsia" w:ascii="宋体" w:hAnsi="宋体" w:cs="宋体"/>
          <w:color w:val="000000" w:themeColor="text1"/>
          <w:szCs w:val="21"/>
          <w14:textFill>
            <w14:solidFill>
              <w14:schemeClr w14:val="tx1"/>
            </w14:solidFill>
          </w14:textFill>
        </w:rPr>
        <w:t>联合体各方均应具有独立承担民事责任能力的法人或其他组织。</w:t>
      </w:r>
    </w:p>
    <w:p w14:paraId="2F92A796">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6.4.</w:t>
      </w:r>
      <w:r>
        <w:rPr>
          <w:rFonts w:hint="eastAsia" w:ascii="宋体" w:hAnsi="宋体" w:cs="宋体"/>
          <w:color w:val="000000" w:themeColor="text1"/>
          <w:szCs w:val="21"/>
          <w14:textFill>
            <w14:solidFill>
              <w14:schemeClr w14:val="tx1"/>
            </w14:solidFill>
          </w14:textFill>
        </w:rPr>
        <w:t>两个以上的自然人、法人或者其他组织组成一个联合体，以一个供应商的身份共同参加采购活动的，应当对所有联合体成员进行信用记录查询，联合体成员存在不良信用记录的，视同联合体存在不良信用记录。</w:t>
      </w:r>
    </w:p>
    <w:p w14:paraId="08BD8134">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6.5.</w:t>
      </w:r>
      <w:r>
        <w:rPr>
          <w:rFonts w:hint="eastAsia" w:ascii="宋体" w:hAnsi="宋体" w:cs="宋体"/>
          <w:color w:val="000000" w:themeColor="text1"/>
          <w:szCs w:val="21"/>
          <w14:textFill>
            <w14:solidFill>
              <w14:schemeClr w14:val="tx1"/>
            </w14:solidFill>
          </w14:textFill>
        </w:rPr>
        <w:t>采购文件对投标人资格条件有规定的，联合体各方均应当具备规定的相应资格条件。由同一专业的单位组成的联合体，按照资质等级较低的单位确定资质等级。</w:t>
      </w:r>
    </w:p>
    <w:p w14:paraId="007136C4">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6.6.</w:t>
      </w:r>
      <w:r>
        <w:rPr>
          <w:rFonts w:hint="eastAsia" w:ascii="宋体" w:hAnsi="宋体" w:cs="宋体"/>
          <w:color w:val="000000" w:themeColor="text1"/>
          <w:szCs w:val="21"/>
          <w14:textFill>
            <w14:solidFill>
              <w14:schemeClr w14:val="tx1"/>
            </w14:solidFill>
          </w14:textFill>
        </w:rPr>
        <w:t>联合体各方之间应当签订共同投标协议并在投标文件内提交，明确约定联合体各方承担的工作和相应的责任。联合体各方签订共同投标协议后，不得再以自己名义单独在同一项目中投标，也不得组成新的联合体参加同一项目投标。</w:t>
      </w:r>
    </w:p>
    <w:p w14:paraId="7BDF4701">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6.7.</w:t>
      </w:r>
      <w:r>
        <w:rPr>
          <w:rFonts w:hint="eastAsia" w:ascii="宋体" w:hAnsi="宋体" w:cs="宋体"/>
          <w:color w:val="000000" w:themeColor="text1"/>
          <w:szCs w:val="21"/>
          <w14:textFill>
            <w14:solidFill>
              <w14:schemeClr w14:val="tx1"/>
            </w14:solidFill>
          </w14:textFill>
        </w:rPr>
        <w:t>供应商为联合体的，可以由联合体中的任意一方交纳保证金，其交纳的保证金对联合体各方均具有约束力。</w:t>
      </w:r>
    </w:p>
    <w:p w14:paraId="4D28B7BF">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6.8.</w:t>
      </w:r>
      <w:r>
        <w:rPr>
          <w:rFonts w:hint="eastAsia" w:ascii="宋体" w:hAnsi="宋体" w:cs="宋体"/>
          <w:color w:val="000000" w:themeColor="text1"/>
          <w:szCs w:val="21"/>
          <w14:textFill>
            <w14:solidFill>
              <w14:schemeClr w14:val="tx1"/>
            </w14:solidFill>
          </w14:textFill>
        </w:rPr>
        <w:t>除联合体协议明确授权盖章单位外，联合体投标时投标文件中所有要求盖章的地方均须加盖联合体所有组成成员的公章，否则该处盖章无效。</w:t>
      </w:r>
    </w:p>
    <w:p w14:paraId="639E3A4A">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6.9.</w:t>
      </w:r>
      <w:r>
        <w:rPr>
          <w:rFonts w:hint="eastAsia" w:ascii="宋体" w:hAnsi="宋体" w:cs="宋体"/>
          <w:color w:val="000000" w:themeColor="text1"/>
          <w:szCs w:val="21"/>
          <w14:textFill>
            <w14:solidFill>
              <w14:schemeClr w14:val="tx1"/>
            </w14:solidFill>
          </w14:textFill>
        </w:rPr>
        <w:t>联合体进行评分时，业绩、奖项等的认定和评分根据共同投标协议约定的各方承担的工作和相应责任，确定一方打分，不累加打分；评审标准不明确或难以明确以哪一方计算评分情况时，则按主体方情况评分。</w:t>
      </w:r>
    </w:p>
    <w:p w14:paraId="2ABD26EB">
      <w:pPr>
        <w:pStyle w:val="4"/>
        <w:widowControl w:val="0"/>
        <w:numPr>
          <w:ilvl w:val="0"/>
          <w:numId w:val="0"/>
        </w:numPr>
        <w:overflowPunct w:val="0"/>
        <w:ind w:left="425" w:leftChars="0" w:hanging="425" w:firstLineChars="0"/>
        <w:rPr>
          <w:rFonts w:ascii="宋体" w:hAnsi="宋体" w:cs="宋体"/>
          <w:vanish/>
          <w:color w:val="000000" w:themeColor="text1"/>
          <w:szCs w:val="21"/>
          <w14:textFill>
            <w14:solidFill>
              <w14:schemeClr w14:val="tx1"/>
            </w14:solidFill>
          </w14:textFill>
        </w:rPr>
      </w:pPr>
      <w:bookmarkStart w:id="109" w:name="_Toc28831"/>
      <w:bookmarkStart w:id="110" w:name="_Toc3572"/>
      <w:bookmarkStart w:id="111" w:name="_Toc25970"/>
      <w:r>
        <w:rPr>
          <w:rFonts w:hint="default" w:ascii="宋体" w:hAnsi="宋体" w:eastAsia="宋体" w:cs="宋体"/>
          <w:b/>
          <w:bCs/>
          <w:color w:val="000000" w:themeColor="text1"/>
          <w:sz w:val="21"/>
          <w:szCs w:val="21"/>
          <w:lang w:val="en-US" w:eastAsia="zh-CN" w:bidi="ar-SA"/>
          <w14:textFill>
            <w14:solidFill>
              <w14:schemeClr w14:val="tx1"/>
            </w14:solidFill>
          </w14:textFill>
        </w:rPr>
        <w:t>7.</w:t>
      </w:r>
      <w:r>
        <w:rPr>
          <w:rFonts w:hint="eastAsia" w:ascii="宋体" w:hAnsi="宋体" w:cs="宋体"/>
          <w:color w:val="000000" w:themeColor="text1"/>
          <w:sz w:val="21"/>
          <w:szCs w:val="21"/>
          <w14:textFill>
            <w14:solidFill>
              <w14:schemeClr w14:val="tx1"/>
            </w14:solidFill>
          </w14:textFill>
        </w:rPr>
        <w:t>关于分支机构投标</w:t>
      </w:r>
      <w:bookmarkEnd w:id="109"/>
      <w:bookmarkEnd w:id="110"/>
      <w:bookmarkEnd w:id="111"/>
      <w:bookmarkStart w:id="112" w:name="EB389f116341dd4693875bc7987e7327f3"/>
    </w:p>
    <w:p w14:paraId="3DACEE2E">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7.1.</w:t>
      </w:r>
      <w:r>
        <w:rPr>
          <w:rFonts w:hint="eastAsia" w:ascii="宋体" w:hAnsi="宋体" w:cs="宋体"/>
          <w:color w:val="000000" w:themeColor="text1"/>
          <w:szCs w:val="21"/>
          <w14:textFill>
            <w14:solidFill>
              <w14:schemeClr w14:val="tx1"/>
            </w14:solidFill>
          </w14:textFill>
        </w:rPr>
        <w:t>对可接受分支机构投标的项目，分支机构投标的，需提供具有法人资格的总公司的营业执照原件扫描件及授权书，授权书须加盖总公司公章。总公司可就本项目或此类项目在一定范围或时间内出具授权书。已由总公司授权的，总公司取得的相关资质证书对分公司有效，法律法规或者行业另有规定的除外。</w:t>
      </w:r>
      <w:bookmarkEnd w:id="112"/>
    </w:p>
    <w:p w14:paraId="7B024358">
      <w:pPr>
        <w:pStyle w:val="4"/>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13" w:name="_Toc26424"/>
      <w:bookmarkStart w:id="114" w:name="_Toc32661"/>
      <w:r>
        <w:rPr>
          <w:rFonts w:hint="default" w:ascii="宋体" w:hAnsi="宋体" w:eastAsia="宋体" w:cs="宋体"/>
          <w:b/>
          <w:bCs/>
          <w:color w:val="000000" w:themeColor="text1"/>
          <w:sz w:val="21"/>
          <w:szCs w:val="21"/>
          <w:lang w:val="en-US" w:eastAsia="zh-CN" w:bidi="ar-SA"/>
          <w14:textFill>
            <w14:solidFill>
              <w14:schemeClr w14:val="tx1"/>
            </w14:solidFill>
          </w14:textFill>
        </w:rPr>
        <w:t>8.</w:t>
      </w:r>
      <w:r>
        <w:rPr>
          <w:rFonts w:hint="eastAsia" w:ascii="宋体" w:hAnsi="宋体" w:cs="宋体"/>
          <w:color w:val="000000" w:themeColor="text1"/>
          <w:sz w:val="21"/>
          <w:szCs w:val="21"/>
          <w14:textFill>
            <w14:solidFill>
              <w14:schemeClr w14:val="tx1"/>
            </w14:solidFill>
          </w14:textFill>
        </w:rPr>
        <w:t>踏勘现场</w:t>
      </w:r>
      <w:bookmarkEnd w:id="113"/>
      <w:bookmarkEnd w:id="114"/>
    </w:p>
    <w:p w14:paraId="125493A3">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8.1.</w:t>
      </w:r>
      <w:r>
        <w:rPr>
          <w:rFonts w:hint="eastAsia" w:ascii="宋体" w:hAnsi="宋体" w:cs="宋体"/>
          <w:color w:val="000000" w:themeColor="text1"/>
          <w:szCs w:val="21"/>
          <w14:textFill>
            <w14:solidFill>
              <w14:schemeClr w14:val="tx1"/>
            </w14:solidFill>
          </w14:textFill>
        </w:rPr>
        <w:t>《投标资料表》规定组织踏勘现场的，采购人按《投标资料表》规定的时间、地点组织响应人踏勘项目现场；</w:t>
      </w:r>
    </w:p>
    <w:p w14:paraId="54ED4E9A">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8.2.</w:t>
      </w:r>
      <w:r>
        <w:rPr>
          <w:rFonts w:hint="eastAsia" w:ascii="宋体" w:hAnsi="宋体" w:cs="宋体"/>
          <w:color w:val="000000" w:themeColor="text1"/>
          <w:szCs w:val="21"/>
          <w14:textFill>
            <w14:solidFill>
              <w14:schemeClr w14:val="tx1"/>
            </w14:solidFill>
          </w14:textFill>
        </w:rPr>
        <w:t>响应人踏勘现场发生的费用自理；</w:t>
      </w:r>
    </w:p>
    <w:p w14:paraId="47BCA4EF">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8.3.</w:t>
      </w:r>
      <w:r>
        <w:rPr>
          <w:rFonts w:hint="eastAsia" w:ascii="宋体" w:hAnsi="宋体" w:cs="宋体"/>
          <w:color w:val="000000" w:themeColor="text1"/>
          <w:szCs w:val="21"/>
          <w14:textFill>
            <w14:solidFill>
              <w14:schemeClr w14:val="tx1"/>
            </w14:solidFill>
          </w14:textFill>
        </w:rPr>
        <w:t>除采购人的原因外，响应人自行负责在踏勘现场中所发生的人员伤亡和财产损失；</w:t>
      </w:r>
    </w:p>
    <w:p w14:paraId="2EAB1C0B">
      <w:pPr>
        <w:widowControl w:val="0"/>
        <w:numPr>
          <w:ilvl w:val="1"/>
          <w:numId w:val="0"/>
        </w:numPr>
        <w:overflowPunct w:val="0"/>
        <w:ind w:left="567" w:leftChars="0" w:hanging="567" w:firstLineChars="0"/>
        <w:rPr>
          <w:rFonts w:ascii="宋体" w:hAnsi="宋体" w:cs="宋体"/>
          <w:color w:val="000000" w:themeColor="text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8.4.</w:t>
      </w:r>
      <w:r>
        <w:rPr>
          <w:rFonts w:hint="eastAsia" w:ascii="宋体" w:hAnsi="宋体" w:cs="宋体"/>
          <w:color w:val="000000" w:themeColor="text1"/>
          <w:szCs w:val="21"/>
          <w14:textFill>
            <w14:solidFill>
              <w14:schemeClr w14:val="tx1"/>
            </w14:solidFill>
          </w14:textFill>
        </w:rPr>
        <w:t>采购人在踏勘现场中介绍的实施地点和相关的周边环境情况，供响应人在编制响应文件时参考，采购人不对响应人据此作出的判断和决策负责；</w:t>
      </w:r>
    </w:p>
    <w:p w14:paraId="7E435432">
      <w:pPr>
        <w:pStyle w:val="3"/>
        <w:numPr>
          <w:ilvl w:val="0"/>
          <w:numId w:val="2"/>
        </w:numPr>
        <w:spacing w:before="0" w:after="0" w:line="360" w:lineRule="auto"/>
        <w:jc w:val="center"/>
        <w:rPr>
          <w:rFonts w:ascii="宋体" w:hAnsi="宋体" w:cs="宋体"/>
          <w:color w:val="000000" w:themeColor="text1"/>
          <w14:textFill>
            <w14:solidFill>
              <w14:schemeClr w14:val="tx1"/>
            </w14:solidFill>
          </w14:textFill>
        </w:rPr>
      </w:pPr>
      <w:bookmarkStart w:id="115" w:name="_Toc21092"/>
      <w:bookmarkStart w:id="116" w:name="_Toc9444"/>
      <w:bookmarkStart w:id="117" w:name="_Toc5552"/>
      <w:r>
        <w:rPr>
          <w:rFonts w:hint="eastAsia" w:ascii="宋体" w:hAnsi="宋体" w:cs="宋体"/>
          <w:color w:val="000000" w:themeColor="text1"/>
          <w14:textFill>
            <w14:solidFill>
              <w14:schemeClr w14:val="tx1"/>
            </w14:solidFill>
          </w14:textFill>
        </w:rPr>
        <w:t>采购文件</w:t>
      </w:r>
      <w:bookmarkEnd w:id="115"/>
      <w:bookmarkEnd w:id="116"/>
      <w:bookmarkEnd w:id="117"/>
    </w:p>
    <w:p w14:paraId="313F319A">
      <w:pPr>
        <w:pStyle w:val="4"/>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18" w:name="_Toc8050"/>
      <w:bookmarkStart w:id="119" w:name="_Toc10638"/>
      <w:bookmarkStart w:id="120" w:name="_Toc22780"/>
      <w:r>
        <w:rPr>
          <w:rFonts w:hint="default" w:ascii="宋体" w:hAnsi="宋体" w:eastAsia="宋体" w:cs="宋体"/>
          <w:b/>
          <w:bCs/>
          <w:color w:val="000000" w:themeColor="text1"/>
          <w:sz w:val="21"/>
          <w:szCs w:val="21"/>
          <w:lang w:val="en-US" w:eastAsia="zh-CN" w:bidi="ar-SA"/>
          <w14:textFill>
            <w14:solidFill>
              <w14:schemeClr w14:val="tx1"/>
            </w14:solidFill>
          </w14:textFill>
        </w:rPr>
        <w:t>9.</w:t>
      </w:r>
      <w:r>
        <w:rPr>
          <w:rFonts w:hint="eastAsia" w:ascii="宋体" w:hAnsi="宋体" w:cs="宋体"/>
          <w:color w:val="000000" w:themeColor="text1"/>
          <w:sz w:val="21"/>
          <w:szCs w:val="21"/>
          <w14:textFill>
            <w14:solidFill>
              <w14:schemeClr w14:val="tx1"/>
            </w14:solidFill>
          </w14:textFill>
        </w:rPr>
        <w:t>采购文件的组成</w:t>
      </w:r>
      <w:bookmarkEnd w:id="118"/>
      <w:bookmarkEnd w:id="119"/>
      <w:bookmarkEnd w:id="120"/>
    </w:p>
    <w:p w14:paraId="554B6A35">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9.1.</w:t>
      </w:r>
      <w:r>
        <w:rPr>
          <w:rFonts w:hint="eastAsia" w:ascii="宋体" w:hAnsi="宋体" w:cs="宋体"/>
          <w:color w:val="000000" w:themeColor="text1"/>
          <w:szCs w:val="21"/>
          <w14:textFill>
            <w14:solidFill>
              <w14:schemeClr w14:val="tx1"/>
            </w14:solidFill>
          </w14:textFill>
        </w:rPr>
        <w:t>采购文件包括：</w:t>
      </w:r>
    </w:p>
    <w:p w14:paraId="5CD6CCFD">
      <w:pPr>
        <w:widowControl w:val="0"/>
        <w:adjustRightInd/>
        <w:snapToGrid/>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（1）投标邀请书；</w:t>
      </w:r>
    </w:p>
    <w:p w14:paraId="105F7FD1">
      <w:pPr>
        <w:widowControl w:val="0"/>
        <w:adjustRightInd/>
        <w:snapToGrid/>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（2）投标资料表；</w:t>
      </w:r>
    </w:p>
    <w:p w14:paraId="725AAFCA">
      <w:pPr>
        <w:widowControl w:val="0"/>
        <w:adjustRightInd/>
        <w:snapToGrid/>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（3）用户需求书；</w:t>
      </w:r>
    </w:p>
    <w:p w14:paraId="2A253C0A">
      <w:pPr>
        <w:widowControl w:val="0"/>
        <w:adjustRightInd/>
        <w:snapToGrid/>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（4）投标人须知；</w:t>
      </w:r>
    </w:p>
    <w:p w14:paraId="54885E41">
      <w:pPr>
        <w:widowControl w:val="0"/>
        <w:adjustRightInd/>
        <w:snapToGrid/>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（5）拟签订的合同文本；</w:t>
      </w:r>
    </w:p>
    <w:p w14:paraId="12CEA8BA">
      <w:pPr>
        <w:widowControl w:val="0"/>
        <w:adjustRightInd/>
        <w:snapToGrid/>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（6）投标文件格式；</w:t>
      </w:r>
    </w:p>
    <w:p w14:paraId="0654D4F0">
      <w:pPr>
        <w:widowControl w:val="0"/>
        <w:adjustRightInd/>
        <w:snapToGrid/>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（7）在采购过程中由采购代理机构发出的澄清更正文件等。</w:t>
      </w:r>
    </w:p>
    <w:p w14:paraId="1D461EDE">
      <w:pPr>
        <w:rPr>
          <w:rFonts w:ascii="宋体" w:hAnsi="宋体" w:cs="宋体"/>
          <w:color w:val="000000" w:themeColor="text1"/>
          <w14:textFill>
            <w14:solidFill>
              <w14:schemeClr w14:val="tx1"/>
            </w14:solidFill>
          </w14:textFill>
        </w:rPr>
      </w:pPr>
    </w:p>
    <w:p w14:paraId="7D82ED76">
      <w:pPr>
        <w:pStyle w:val="4"/>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21" w:name="_Toc21392"/>
      <w:bookmarkStart w:id="122" w:name="_Toc7904"/>
      <w:bookmarkStart w:id="123" w:name="_Toc24597"/>
      <w:r>
        <w:rPr>
          <w:rFonts w:hint="default" w:ascii="宋体" w:hAnsi="宋体" w:eastAsia="宋体" w:cs="宋体"/>
          <w:b/>
          <w:bCs/>
          <w:color w:val="000000" w:themeColor="text1"/>
          <w:sz w:val="21"/>
          <w:szCs w:val="21"/>
          <w:lang w:val="en-US" w:eastAsia="zh-CN" w:bidi="ar-SA"/>
          <w14:textFill>
            <w14:solidFill>
              <w14:schemeClr w14:val="tx1"/>
            </w14:solidFill>
          </w14:textFill>
        </w:rPr>
        <w:t>10.</w:t>
      </w:r>
      <w:r>
        <w:rPr>
          <w:rFonts w:hint="eastAsia" w:ascii="宋体" w:hAnsi="宋体" w:cs="宋体"/>
          <w:color w:val="000000" w:themeColor="text1"/>
          <w:sz w:val="21"/>
          <w:szCs w:val="21"/>
          <w14:textFill>
            <w14:solidFill>
              <w14:schemeClr w14:val="tx1"/>
            </w14:solidFill>
          </w14:textFill>
        </w:rPr>
        <w:t>采购文件的澄清或修改</w:t>
      </w:r>
      <w:bookmarkEnd w:id="121"/>
      <w:bookmarkEnd w:id="122"/>
      <w:bookmarkEnd w:id="123"/>
    </w:p>
    <w:p w14:paraId="2F46EAE6">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10.1.</w:t>
      </w:r>
      <w:r>
        <w:rPr>
          <w:rFonts w:hint="eastAsia" w:ascii="宋体" w:hAnsi="宋体" w:cs="宋体"/>
          <w:color w:val="000000" w:themeColor="text1"/>
          <w:szCs w:val="21"/>
          <w14:textFill>
            <w14:solidFill>
              <w14:schemeClr w14:val="tx1"/>
            </w14:solidFill>
          </w14:textFill>
        </w:rPr>
        <w:t>采购人或者采购代理机构可以对已发出的采购文件、资格预审文件、投标邀请书进行必要的澄清或者修改。澄清或者修改的内容为采购文件、资格预审文件、投标邀请书的组成部分，具有约束作用。当采购文件、采购文件的澄清或修改等在同一内容的表述上不一致时，以最后发出的书面文件及公告为准。</w:t>
      </w:r>
    </w:p>
    <w:p w14:paraId="30B02485">
      <w:pPr>
        <w:widowControl w:val="0"/>
        <w:numPr>
          <w:ilvl w:val="1"/>
          <w:numId w:val="0"/>
        </w:numPr>
        <w:overflowPunct w:val="0"/>
        <w:ind w:left="567" w:leftChars="0" w:hanging="567" w:firstLineChars="0"/>
        <w:rPr>
          <w:rFonts w:ascii="宋体" w:hAnsi="宋体" w:cs="宋体"/>
          <w:b/>
          <w:bCs/>
          <w:color w:val="000000" w:themeColor="text1"/>
          <w:szCs w:val="21"/>
          <w14:textFill>
            <w14:solidFill>
              <w14:schemeClr w14:val="tx1"/>
            </w14:solidFill>
          </w14:textFill>
        </w:rPr>
      </w:pPr>
      <w:r>
        <w:rPr>
          <w:rFonts w:hint="default" w:ascii="宋体" w:hAnsi="宋体" w:eastAsia="宋体" w:cs="宋体"/>
          <w:b/>
          <w:bCs/>
          <w:color w:val="000000" w:themeColor="text1"/>
          <w:sz w:val="21"/>
          <w:szCs w:val="21"/>
          <w:lang w:val="en-US" w:eastAsia="zh-CN" w:bidi="ar-SA"/>
          <w14:textFill>
            <w14:solidFill>
              <w14:schemeClr w14:val="tx1"/>
            </w14:solidFill>
          </w14:textFill>
        </w:rPr>
        <w:t>10.2.</w:t>
      </w:r>
      <w:r>
        <w:rPr>
          <w:rFonts w:hint="eastAsia" w:ascii="宋体" w:hAnsi="宋体" w:cs="宋体"/>
          <w:b/>
          <w:bCs/>
          <w:color w:val="000000" w:themeColor="text1"/>
          <w:szCs w:val="21"/>
          <w14:textFill>
            <w14:solidFill>
              <w14:schemeClr w14:val="tx1"/>
            </w14:solidFill>
          </w14:textFill>
        </w:rPr>
        <w:t>采购期间，投标人有义务上网查看，公告一经上网发布，即视为送达。因投标人未及时上网查看而造成的所有后果，由投标人自行承担。</w:t>
      </w:r>
    </w:p>
    <w:p w14:paraId="21E8EB83">
      <w:pPr>
        <w:widowControl w:val="0"/>
        <w:adjustRightInd/>
        <w:snapToGrid/>
        <w:ind w:left="567"/>
        <w:jc w:val="both"/>
        <w:rPr>
          <w:rFonts w:ascii="宋体" w:hAnsi="宋体" w:cs="宋体"/>
          <w:color w:val="000000" w:themeColor="text1"/>
          <w:szCs w:val="21"/>
          <w14:textFill>
            <w14:solidFill>
              <w14:schemeClr w14:val="tx1"/>
            </w14:solidFill>
          </w14:textFill>
        </w:rPr>
      </w:pPr>
    </w:p>
    <w:p w14:paraId="2A1D08BF">
      <w:pPr>
        <w:pStyle w:val="3"/>
        <w:numPr>
          <w:ilvl w:val="0"/>
          <w:numId w:val="2"/>
        </w:numPr>
        <w:spacing w:before="0" w:after="0" w:line="360" w:lineRule="auto"/>
        <w:jc w:val="center"/>
        <w:rPr>
          <w:rFonts w:ascii="宋体" w:hAnsi="宋体" w:cs="宋体"/>
          <w:color w:val="000000" w:themeColor="text1"/>
          <w14:textFill>
            <w14:solidFill>
              <w14:schemeClr w14:val="tx1"/>
            </w14:solidFill>
          </w14:textFill>
        </w:rPr>
      </w:pPr>
      <w:bookmarkStart w:id="124" w:name="_Toc29273"/>
      <w:bookmarkStart w:id="125" w:name="_Toc12343"/>
      <w:bookmarkStart w:id="126" w:name="_Toc30185"/>
      <w:r>
        <w:rPr>
          <w:rFonts w:hint="eastAsia" w:ascii="宋体" w:hAnsi="宋体" w:cs="宋体"/>
          <w:color w:val="000000" w:themeColor="text1"/>
          <w14:textFill>
            <w14:solidFill>
              <w14:schemeClr w14:val="tx1"/>
            </w14:solidFill>
          </w14:textFill>
        </w:rPr>
        <w:t>投标文件的编制</w:t>
      </w:r>
      <w:bookmarkEnd w:id="124"/>
      <w:bookmarkEnd w:id="125"/>
      <w:bookmarkEnd w:id="126"/>
    </w:p>
    <w:p w14:paraId="0A86DB1E">
      <w:pPr>
        <w:pStyle w:val="4"/>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27" w:name="_Toc16938"/>
      <w:bookmarkStart w:id="128" w:name="_Toc7248"/>
      <w:bookmarkStart w:id="129" w:name="_Toc11906"/>
      <w:r>
        <w:rPr>
          <w:rFonts w:hint="default" w:ascii="宋体" w:hAnsi="宋体" w:eastAsia="宋体" w:cs="宋体"/>
          <w:b/>
          <w:bCs/>
          <w:color w:val="000000" w:themeColor="text1"/>
          <w:sz w:val="21"/>
          <w:szCs w:val="21"/>
          <w:lang w:val="en-US" w:eastAsia="zh-CN" w:bidi="ar-SA"/>
          <w14:textFill>
            <w14:solidFill>
              <w14:schemeClr w14:val="tx1"/>
            </w14:solidFill>
          </w14:textFill>
        </w:rPr>
        <w:t>11.</w:t>
      </w:r>
      <w:r>
        <w:rPr>
          <w:rFonts w:hint="eastAsia" w:ascii="宋体" w:hAnsi="宋体" w:cs="宋体"/>
          <w:color w:val="000000" w:themeColor="text1"/>
          <w:sz w:val="21"/>
          <w:szCs w:val="21"/>
          <w14:textFill>
            <w14:solidFill>
              <w14:schemeClr w14:val="tx1"/>
            </w14:solidFill>
          </w14:textFill>
        </w:rPr>
        <w:t>投标文件的语言及度量衡单位</w:t>
      </w:r>
      <w:bookmarkEnd w:id="127"/>
      <w:bookmarkEnd w:id="128"/>
      <w:bookmarkEnd w:id="129"/>
    </w:p>
    <w:p w14:paraId="477EC893">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11.1.</w:t>
      </w:r>
      <w:r>
        <w:rPr>
          <w:rFonts w:hint="eastAsia" w:ascii="宋体" w:hAnsi="宋体" w:cs="宋体"/>
          <w:color w:val="000000" w:themeColor="text1"/>
          <w:szCs w:val="21"/>
          <w14:textFill>
            <w14:solidFill>
              <w14:schemeClr w14:val="tx1"/>
            </w14:solidFill>
          </w14:textFill>
        </w:rPr>
        <w:t>投标人提交的投标文件以及投标人与采购代理机构就有关投标的所有来往函件均应使用简体中文书写。投标人提交的支持资料和已印刷的文献可以用另一种语言，但相应内容应附有中文翻译本（中文译本应由翻译机构盖章或者翻译人员签名确认，否则按无效处理），在解释投标文件的修改内容时以中文翻译本为准。</w:t>
      </w:r>
    </w:p>
    <w:p w14:paraId="74948F4D">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11.2.</w:t>
      </w:r>
      <w:r>
        <w:rPr>
          <w:rFonts w:hint="eastAsia" w:ascii="宋体" w:hAnsi="宋体" w:cs="宋体"/>
          <w:color w:val="000000" w:themeColor="text1"/>
          <w:szCs w:val="21"/>
          <w14:textFill>
            <w14:solidFill>
              <w14:schemeClr w14:val="tx1"/>
            </w14:solidFill>
          </w14:textFill>
        </w:rPr>
        <w:t>除非采购文件在技术规格中另有规定，投标人在投标文件中及其与采购代理机构和采购人所有往来文件中的所有计量单位均应采用中华人民共和国法定计量单位。</w:t>
      </w:r>
    </w:p>
    <w:p w14:paraId="37952642">
      <w:pPr>
        <w:widowControl w:val="0"/>
        <w:adjustRightInd/>
        <w:snapToGrid/>
        <w:ind w:left="567"/>
        <w:jc w:val="both"/>
        <w:rPr>
          <w:rFonts w:ascii="宋体" w:hAnsi="宋体" w:cs="宋体"/>
          <w:color w:val="000000" w:themeColor="text1"/>
          <w:szCs w:val="21"/>
          <w14:textFill>
            <w14:solidFill>
              <w14:schemeClr w14:val="tx1"/>
            </w14:solidFill>
          </w14:textFill>
        </w:rPr>
      </w:pPr>
    </w:p>
    <w:p w14:paraId="7F09F9E1">
      <w:pPr>
        <w:pStyle w:val="4"/>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30" w:name="_Toc28866"/>
      <w:bookmarkStart w:id="131" w:name="_Toc13781"/>
      <w:bookmarkStart w:id="132" w:name="_Toc307934854"/>
      <w:bookmarkStart w:id="133" w:name="_Toc382049103"/>
      <w:bookmarkStart w:id="134" w:name="_Toc11466"/>
      <w:bookmarkStart w:id="135" w:name="_Toc303084256"/>
      <w:bookmarkStart w:id="136" w:name="_Toc21130"/>
      <w:r>
        <w:rPr>
          <w:rFonts w:hint="default" w:ascii="宋体" w:hAnsi="宋体" w:eastAsia="宋体" w:cs="宋体"/>
          <w:b/>
          <w:bCs/>
          <w:color w:val="000000" w:themeColor="text1"/>
          <w:sz w:val="21"/>
          <w:szCs w:val="21"/>
          <w:lang w:val="en-US" w:eastAsia="zh-CN" w:bidi="ar-SA"/>
          <w14:textFill>
            <w14:solidFill>
              <w14:schemeClr w14:val="tx1"/>
            </w14:solidFill>
          </w14:textFill>
        </w:rPr>
        <w:t>12.</w:t>
      </w:r>
      <w:r>
        <w:rPr>
          <w:rFonts w:hint="eastAsia" w:ascii="宋体" w:hAnsi="宋体" w:cs="宋体"/>
          <w:color w:val="000000" w:themeColor="text1"/>
          <w:sz w:val="21"/>
          <w:szCs w:val="21"/>
          <w14:textFill>
            <w14:solidFill>
              <w14:schemeClr w14:val="tx1"/>
            </w14:solidFill>
          </w14:textFill>
        </w:rPr>
        <w:t>投标文件的组成</w:t>
      </w:r>
      <w:bookmarkEnd w:id="130"/>
      <w:bookmarkEnd w:id="131"/>
      <w:bookmarkEnd w:id="132"/>
      <w:bookmarkEnd w:id="133"/>
      <w:bookmarkEnd w:id="134"/>
      <w:bookmarkEnd w:id="135"/>
      <w:bookmarkEnd w:id="136"/>
    </w:p>
    <w:p w14:paraId="3FC6CCCD">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12.1.</w:t>
      </w:r>
      <w:r>
        <w:rPr>
          <w:rFonts w:hint="eastAsia" w:ascii="宋体" w:hAnsi="宋体" w:cs="宋体"/>
          <w:color w:val="000000" w:themeColor="text1"/>
          <w:szCs w:val="21"/>
          <w14:textFill>
            <w14:solidFill>
              <w14:schemeClr w14:val="tx1"/>
            </w14:solidFill>
          </w14:textFill>
        </w:rPr>
        <w:t>包括但不限于采购文件附件格式中要求提供的表格。</w:t>
      </w:r>
    </w:p>
    <w:p w14:paraId="14C40A8D">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12.2.</w:t>
      </w:r>
      <w:r>
        <w:rPr>
          <w:rFonts w:hint="eastAsia" w:ascii="宋体" w:hAnsi="宋体" w:cs="宋体"/>
          <w:color w:val="000000" w:themeColor="text1"/>
          <w:szCs w:val="21"/>
          <w14:textFill>
            <w14:solidFill>
              <w14:schemeClr w14:val="tx1"/>
            </w14:solidFill>
          </w14:textFill>
        </w:rPr>
        <w:t>上述文件须按顺序装订成册，并编制投标文件目录。除上述文件资料外投标人还须按投标人须知的要求制作“唱标信封”。“唱标信封”作为投标文件的一部分，但须单独密封。</w:t>
      </w:r>
    </w:p>
    <w:p w14:paraId="73856332">
      <w:pPr>
        <w:rPr>
          <w:rFonts w:ascii="宋体" w:hAnsi="宋体" w:cs="宋体"/>
          <w:color w:val="000000" w:themeColor="text1"/>
          <w14:textFill>
            <w14:solidFill>
              <w14:schemeClr w14:val="tx1"/>
            </w14:solidFill>
          </w14:textFill>
        </w:rPr>
      </w:pPr>
    </w:p>
    <w:p w14:paraId="4245613D">
      <w:pPr>
        <w:pStyle w:val="4"/>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37" w:name="_Toc755"/>
      <w:bookmarkStart w:id="138" w:name="_Toc13822"/>
      <w:bookmarkStart w:id="139" w:name="_Toc10286"/>
      <w:r>
        <w:rPr>
          <w:rFonts w:hint="default" w:ascii="宋体" w:hAnsi="宋体" w:eastAsia="宋体" w:cs="宋体"/>
          <w:b/>
          <w:bCs/>
          <w:color w:val="000000" w:themeColor="text1"/>
          <w:sz w:val="21"/>
          <w:szCs w:val="21"/>
          <w:lang w:val="en-US" w:eastAsia="zh-CN" w:bidi="ar-SA"/>
          <w14:textFill>
            <w14:solidFill>
              <w14:schemeClr w14:val="tx1"/>
            </w14:solidFill>
          </w14:textFill>
        </w:rPr>
        <w:t>13.</w:t>
      </w:r>
      <w:r>
        <w:rPr>
          <w:rFonts w:hint="eastAsia" w:ascii="宋体" w:hAnsi="宋体" w:cs="宋体"/>
          <w:color w:val="000000" w:themeColor="text1"/>
          <w:sz w:val="21"/>
          <w:szCs w:val="21"/>
          <w14:textFill>
            <w14:solidFill>
              <w14:schemeClr w14:val="tx1"/>
            </w14:solidFill>
          </w14:textFill>
        </w:rPr>
        <w:t>投标文件编制</w:t>
      </w:r>
      <w:bookmarkEnd w:id="137"/>
      <w:bookmarkEnd w:id="138"/>
      <w:bookmarkEnd w:id="139"/>
    </w:p>
    <w:p w14:paraId="5B0E86C7">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bookmarkStart w:id="140" w:name="_Toc303084258"/>
      <w:r>
        <w:rPr>
          <w:rFonts w:hint="default" w:ascii="宋体" w:hAnsi="宋体" w:eastAsia="宋体" w:cs="宋体"/>
          <w:color w:val="000000" w:themeColor="text1"/>
          <w:sz w:val="21"/>
          <w:szCs w:val="21"/>
          <w:lang w:val="en-US" w:eastAsia="zh-CN" w:bidi="ar-SA"/>
          <w14:textFill>
            <w14:solidFill>
              <w14:schemeClr w14:val="tx1"/>
            </w14:solidFill>
          </w14:textFill>
        </w:rPr>
        <w:t>13.1.</w:t>
      </w:r>
      <w:r>
        <w:rPr>
          <w:rFonts w:hint="eastAsia" w:ascii="宋体" w:hAnsi="宋体" w:cs="宋体"/>
          <w:color w:val="000000" w:themeColor="text1"/>
          <w:szCs w:val="21"/>
          <w14:textFill>
            <w14:solidFill>
              <w14:schemeClr w14:val="tx1"/>
            </w14:solidFill>
          </w14:textFill>
        </w:rPr>
        <w:t>投标人应按采购文件的规定以及附件要求的内容和格式完整地填写（表格可以按同样格式扩展）和提供资料，投标人必须对投标文件所提供的全部材料的真实性承担法律责任，并无条件接受采购人或采购代理机构对其中任何资料进行核实的要求。</w:t>
      </w:r>
    </w:p>
    <w:p w14:paraId="226F7F07">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13.2.</w:t>
      </w:r>
      <w:r>
        <w:rPr>
          <w:rFonts w:hint="eastAsia" w:ascii="宋体" w:hAnsi="宋体" w:cs="宋体"/>
          <w:color w:val="000000" w:themeColor="text1"/>
          <w:szCs w:val="21"/>
          <w14:textFill>
            <w14:solidFill>
              <w14:schemeClr w14:val="tx1"/>
            </w14:solidFill>
          </w14:textFill>
        </w:rPr>
        <w:t>因投标文件编制存在歧义对投标人产生负面影响的，投标人自行承担后果。</w:t>
      </w:r>
    </w:p>
    <w:p w14:paraId="35363C59">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13.3.</w:t>
      </w:r>
      <w:r>
        <w:rPr>
          <w:rFonts w:hint="eastAsia" w:ascii="宋体" w:hAnsi="宋体" w:cs="宋体"/>
          <w:color w:val="000000" w:themeColor="text1"/>
          <w:szCs w:val="21"/>
          <w14:textFill>
            <w14:solidFill>
              <w14:schemeClr w14:val="tx1"/>
            </w14:solidFill>
          </w14:textFill>
        </w:rPr>
        <w:t>投标单位名称与投标人公章不一致，若投标单位名称已进行变更，应在投标文件中提供相应的证明材料并加盖公章，否则投标文件无效。</w:t>
      </w:r>
    </w:p>
    <w:p w14:paraId="54A3C04D">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13.4.</w:t>
      </w:r>
      <w:r>
        <w:rPr>
          <w:rFonts w:hint="eastAsia" w:ascii="宋体" w:hAnsi="宋体" w:cs="宋体"/>
          <w:color w:val="000000" w:themeColor="text1"/>
          <w:szCs w:val="21"/>
          <w14:textFill>
            <w14:solidFill>
              <w14:schemeClr w14:val="tx1"/>
            </w14:solidFill>
          </w14:textFill>
        </w:rPr>
        <w:t>投标文件密封、标记及内容与本项目采购信息不符，导致无法分辨所投项目为本项目的，投标文件无效。</w:t>
      </w:r>
    </w:p>
    <w:p w14:paraId="3F5ADC6C">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13.5.</w:t>
      </w:r>
      <w:r>
        <w:rPr>
          <w:rFonts w:hint="eastAsia" w:ascii="宋体" w:hAnsi="宋体" w:cs="宋体"/>
          <w:color w:val="000000" w:themeColor="text1"/>
          <w:szCs w:val="21"/>
          <w14:textFill>
            <w14:solidFill>
              <w14:schemeClr w14:val="tx1"/>
            </w14:solidFill>
          </w14:textFill>
        </w:rPr>
        <w:t>投标人须客观撰写投标人简介（格式自理，并提供相关证明）以及所投的产品或服务说明。</w:t>
      </w:r>
    </w:p>
    <w:p w14:paraId="1AF8669B">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13.6.</w:t>
      </w:r>
      <w:r>
        <w:rPr>
          <w:rFonts w:hint="eastAsia" w:ascii="宋体" w:hAnsi="宋体" w:cs="宋体"/>
          <w:color w:val="000000" w:themeColor="text1"/>
          <w:szCs w:val="21"/>
          <w14:textFill>
            <w14:solidFill>
              <w14:schemeClr w14:val="tx1"/>
            </w14:solidFill>
          </w14:textFill>
        </w:rPr>
        <w:t>投标文件若出现以下内容，经评标委员会认定有可能间接影响评审秩序，作废标处理。</w:t>
      </w:r>
    </w:p>
    <w:p w14:paraId="32CBD5B5">
      <w:pPr>
        <w:pStyle w:val="43"/>
        <w:widowControl w:val="0"/>
        <w:numPr>
          <w:ilvl w:val="0"/>
          <w:numId w:val="3"/>
        </w:numPr>
        <w:adjustRightInd/>
        <w:snapToGrid/>
        <w:ind w:firstLineChars="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投标文件内出现无官方证明文件的行业地域排名或使用“国家级”、“最高级”、“最佳”等用语字眼的。</w:t>
      </w:r>
    </w:p>
    <w:p w14:paraId="4E201FA2">
      <w:pPr>
        <w:pStyle w:val="43"/>
        <w:widowControl w:val="0"/>
        <w:numPr>
          <w:ilvl w:val="0"/>
          <w:numId w:val="3"/>
        </w:numPr>
        <w:adjustRightInd/>
        <w:snapToGrid/>
        <w:ind w:firstLineChars="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投标文件内出现恶意诋毁、贬低其他生产经营者的商品或者服务的内容。</w:t>
      </w:r>
    </w:p>
    <w:p w14:paraId="5A78F6DA">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13.7.</w:t>
      </w:r>
      <w:r>
        <w:rPr>
          <w:rFonts w:hint="eastAsia" w:ascii="宋体" w:hAnsi="宋体" w:cs="宋体"/>
          <w:color w:val="000000" w:themeColor="text1"/>
          <w:szCs w:val="21"/>
          <w14:textFill>
            <w14:solidFill>
              <w14:schemeClr w14:val="tx1"/>
            </w14:solidFill>
          </w14:textFill>
        </w:rPr>
        <w:t>有下列情形之一的，视为投标人串通投标，其投标无效：</w:t>
      </w:r>
    </w:p>
    <w:p w14:paraId="1E2DE15A">
      <w:pPr>
        <w:widowControl w:val="0"/>
        <w:adjustRightInd/>
        <w:snapToGrid/>
        <w:ind w:firstLine="420" w:firstLineChars="20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（1）不同投标人的投标文件由同一单位或者个人编制；</w:t>
      </w:r>
    </w:p>
    <w:p w14:paraId="14926D69">
      <w:pPr>
        <w:widowControl w:val="0"/>
        <w:adjustRightInd/>
        <w:snapToGrid/>
        <w:ind w:firstLine="420" w:firstLineChars="20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（2）不同投标人委托同一单位或者个人办理投标事宜；</w:t>
      </w:r>
    </w:p>
    <w:p w14:paraId="21C76A04">
      <w:pPr>
        <w:widowControl w:val="0"/>
        <w:adjustRightInd/>
        <w:snapToGrid/>
        <w:ind w:firstLine="420" w:firstLineChars="20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（3）不同投标人的投标文件载明的项目管理成员或者联系人员为同一人；</w:t>
      </w:r>
    </w:p>
    <w:p w14:paraId="379CB5C4">
      <w:pPr>
        <w:widowControl w:val="0"/>
        <w:adjustRightInd/>
        <w:snapToGrid/>
        <w:ind w:firstLine="420" w:firstLineChars="20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（4）不同投标人的投标文件异常一致或者投标报价呈规律性差异；</w:t>
      </w:r>
    </w:p>
    <w:p w14:paraId="08975547">
      <w:pPr>
        <w:widowControl w:val="0"/>
        <w:adjustRightInd/>
        <w:snapToGrid/>
        <w:ind w:firstLine="420" w:firstLineChars="20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（5）不同投标人的投标文件相互混装；</w:t>
      </w:r>
    </w:p>
    <w:p w14:paraId="7F878501">
      <w:pPr>
        <w:widowControl w:val="0"/>
        <w:adjustRightInd/>
        <w:snapToGrid/>
        <w:ind w:firstLine="420" w:firstLineChars="20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（6）不同投标人的投标保证金从同一单位或者个人的账户转出。</w:t>
      </w:r>
    </w:p>
    <w:bookmarkEnd w:id="140"/>
    <w:p w14:paraId="03761692">
      <w:pPr>
        <w:rPr>
          <w:rFonts w:ascii="宋体" w:hAnsi="宋体" w:cs="宋体"/>
          <w:color w:val="000000" w:themeColor="text1"/>
          <w14:textFill>
            <w14:solidFill>
              <w14:schemeClr w14:val="tx1"/>
            </w14:solidFill>
          </w14:textFill>
        </w:rPr>
      </w:pPr>
    </w:p>
    <w:p w14:paraId="20140BB7">
      <w:pPr>
        <w:pStyle w:val="4"/>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41" w:name="_Toc8315"/>
      <w:bookmarkStart w:id="142" w:name="_Toc6154"/>
      <w:bookmarkStart w:id="143" w:name="_Toc22153"/>
      <w:r>
        <w:rPr>
          <w:rFonts w:hint="default" w:ascii="宋体" w:hAnsi="宋体" w:eastAsia="宋体" w:cs="宋体"/>
          <w:b/>
          <w:bCs/>
          <w:color w:val="000000" w:themeColor="text1"/>
          <w:sz w:val="21"/>
          <w:szCs w:val="21"/>
          <w:lang w:val="en-US" w:eastAsia="zh-CN" w:bidi="ar-SA"/>
          <w14:textFill>
            <w14:solidFill>
              <w14:schemeClr w14:val="tx1"/>
            </w14:solidFill>
          </w14:textFill>
        </w:rPr>
        <w:t>14.</w:t>
      </w:r>
      <w:r>
        <w:rPr>
          <w:rFonts w:hint="eastAsia" w:ascii="宋体" w:hAnsi="宋体" w:cs="宋体"/>
          <w:color w:val="000000" w:themeColor="text1"/>
          <w:sz w:val="21"/>
          <w:szCs w:val="21"/>
          <w14:textFill>
            <w14:solidFill>
              <w14:schemeClr w14:val="tx1"/>
            </w14:solidFill>
          </w14:textFill>
        </w:rPr>
        <w:t>投标报价说明</w:t>
      </w:r>
      <w:bookmarkEnd w:id="141"/>
      <w:bookmarkEnd w:id="142"/>
      <w:bookmarkEnd w:id="143"/>
    </w:p>
    <w:p w14:paraId="3054DAFC">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14.1.</w:t>
      </w:r>
      <w:r>
        <w:rPr>
          <w:rFonts w:hint="eastAsia" w:ascii="宋体" w:hAnsi="宋体" w:cs="宋体"/>
          <w:color w:val="000000" w:themeColor="text1"/>
          <w:szCs w:val="21"/>
          <w14:textFill>
            <w14:solidFill>
              <w14:schemeClr w14:val="tx1"/>
            </w14:solidFill>
          </w14:textFill>
        </w:rPr>
        <w:t>本次采购，投标人应按用户需求中的要求进行投标报价，少报无效。</w:t>
      </w:r>
    </w:p>
    <w:p w14:paraId="5D8D2B95">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14.2.</w:t>
      </w:r>
      <w:r>
        <w:rPr>
          <w:rFonts w:hint="eastAsia" w:ascii="宋体" w:hAnsi="宋体" w:cs="宋体"/>
          <w:color w:val="000000" w:themeColor="text1"/>
          <w:szCs w:val="21"/>
          <w14:textFill>
            <w14:solidFill>
              <w14:schemeClr w14:val="tx1"/>
            </w14:solidFill>
          </w14:textFill>
        </w:rPr>
        <w:t>投标人所提供的货物或服务均以人民币（或相关费率）报价。</w:t>
      </w:r>
    </w:p>
    <w:p w14:paraId="40BC3811">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14.3.</w:t>
      </w:r>
      <w:r>
        <w:rPr>
          <w:rFonts w:hint="eastAsia" w:ascii="宋体" w:hAnsi="宋体" w:cs="宋体"/>
          <w:color w:val="000000" w:themeColor="text1"/>
          <w:szCs w:val="21"/>
          <w14:textFill>
            <w14:solidFill>
              <w14:schemeClr w14:val="tx1"/>
            </w14:solidFill>
          </w14:textFill>
        </w:rPr>
        <w:t>投标报价应包含完成本次采购所有服务内容的费用，包含各种税务费及合同实施过程中的全部费用和售后服务费等。</w:t>
      </w:r>
    </w:p>
    <w:p w14:paraId="0D350502">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14.4.</w:t>
      </w:r>
      <w:r>
        <w:rPr>
          <w:rFonts w:hint="eastAsia" w:ascii="宋体" w:hAnsi="宋体" w:cs="宋体"/>
          <w:color w:val="000000" w:themeColor="text1"/>
          <w:szCs w:val="21"/>
          <w14:textFill>
            <w14:solidFill>
              <w14:schemeClr w14:val="tx1"/>
            </w14:solidFill>
          </w14:textFill>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72ECBE9">
      <w:pPr>
        <w:widowControl w:val="0"/>
        <w:numPr>
          <w:ilvl w:val="1"/>
          <w:numId w:val="0"/>
        </w:numPr>
        <w:overflowPunct w:val="0"/>
        <w:ind w:left="567" w:leftChars="0" w:hanging="567" w:firstLineChars="0"/>
        <w:rPr>
          <w:rFonts w:ascii="宋体" w:hAnsi="宋体" w:cs="宋体"/>
          <w:color w:val="000000" w:themeColor="text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14.5.</w:t>
      </w:r>
      <w:r>
        <w:rPr>
          <w:rFonts w:hint="eastAsia" w:ascii="宋体" w:hAnsi="宋体" w:cs="宋体"/>
          <w:color w:val="000000" w:themeColor="text1"/>
          <w:szCs w:val="21"/>
          <w14:textFill>
            <w14:solidFill>
              <w14:schemeClr w14:val="tx1"/>
            </w14:solidFill>
          </w14:textFill>
        </w:rPr>
        <w:t>中标后开出的所有发票必须与中标人的名称一致。</w:t>
      </w:r>
    </w:p>
    <w:p w14:paraId="061D6CDC">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44" w:name="_Toc15424"/>
      <w:bookmarkStart w:id="145" w:name="_Toc17669"/>
      <w:r>
        <w:rPr>
          <w:rFonts w:hint="default" w:ascii="宋体" w:hAnsi="宋体" w:eastAsia="宋体" w:cs="宋体"/>
          <w:b/>
          <w:color w:val="000000" w:themeColor="text1"/>
          <w:sz w:val="21"/>
          <w:szCs w:val="21"/>
          <w:lang w:val="en-US" w:eastAsia="zh-CN" w:bidi="ar-SA"/>
          <w14:textFill>
            <w14:solidFill>
              <w14:schemeClr w14:val="tx1"/>
            </w14:solidFill>
          </w14:textFill>
        </w:rPr>
        <w:t>15.</w:t>
      </w:r>
      <w:r>
        <w:rPr>
          <w:rFonts w:hint="eastAsia" w:ascii="宋体" w:hAnsi="宋体" w:cs="宋体"/>
          <w:color w:val="000000" w:themeColor="text1"/>
          <w:sz w:val="21"/>
          <w:szCs w:val="21"/>
          <w14:textFill>
            <w14:solidFill>
              <w14:schemeClr w14:val="tx1"/>
            </w14:solidFill>
          </w14:textFill>
        </w:rPr>
        <w:t>投标人所提供的服务或货物的证明文件</w:t>
      </w:r>
      <w:bookmarkEnd w:id="144"/>
      <w:bookmarkEnd w:id="145"/>
    </w:p>
    <w:p w14:paraId="23DCD6CA">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bookmarkStart w:id="146" w:name="_Hlt107925668"/>
      <w:bookmarkEnd w:id="146"/>
      <w:bookmarkStart w:id="147" w:name="_Hlt107925638"/>
      <w:bookmarkEnd w:id="147"/>
      <w:r>
        <w:rPr>
          <w:rFonts w:hint="default" w:ascii="宋体" w:hAnsi="宋体" w:eastAsia="宋体" w:cs="宋体"/>
          <w:color w:val="000000" w:themeColor="text1"/>
          <w:sz w:val="21"/>
          <w:szCs w:val="21"/>
          <w:lang w:val="en-US" w:eastAsia="zh-CN" w:bidi="ar-SA"/>
          <w14:textFill>
            <w14:solidFill>
              <w14:schemeClr w14:val="tx1"/>
            </w14:solidFill>
          </w14:textFill>
        </w:rPr>
        <w:t>15.1.</w:t>
      </w:r>
      <w:r>
        <w:rPr>
          <w:rFonts w:hint="eastAsia" w:ascii="宋体" w:hAnsi="宋体" w:cs="宋体"/>
          <w:color w:val="000000" w:themeColor="text1"/>
          <w:szCs w:val="21"/>
          <w14:textFill>
            <w14:solidFill>
              <w14:schemeClr w14:val="tx1"/>
            </w14:solidFill>
          </w14:textFill>
        </w:rPr>
        <w:t>证明服务或货物的文件，它可以是文字资料、图纸和数据包括但不限于：服务主要内容、标准、质量、人员资质、计划安排、报告审核等的详细说明；对采购文件第三部分《用户需求书》中规定的要求进行详细应答和说明。</w:t>
      </w:r>
    </w:p>
    <w:p w14:paraId="4A7C9076">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15.2.</w:t>
      </w:r>
      <w:r>
        <w:rPr>
          <w:rFonts w:hint="eastAsia" w:ascii="宋体" w:hAnsi="宋体" w:cs="宋体"/>
          <w:color w:val="000000" w:themeColor="text1"/>
          <w:szCs w:val="21"/>
          <w14:textFill>
            <w14:solidFill>
              <w14:schemeClr w14:val="tx1"/>
            </w14:solidFill>
          </w14:textFill>
        </w:rPr>
        <w:t>有下列情形之一的，视为投标人弄虚作假，其投标无效：</w:t>
      </w:r>
    </w:p>
    <w:p w14:paraId="40EAD928">
      <w:pPr>
        <w:pStyle w:val="43"/>
        <w:widowControl w:val="0"/>
        <w:adjustRightInd/>
        <w:snapToGrid/>
        <w:ind w:left="425" w:firstLine="0" w:firstLineChars="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1、使用通过受让或者租借等方式获取的资格、资质证书投标的，属于以他人名义投标。</w:t>
      </w:r>
    </w:p>
    <w:p w14:paraId="487B730D">
      <w:pPr>
        <w:pStyle w:val="43"/>
        <w:widowControl w:val="0"/>
        <w:adjustRightInd/>
        <w:snapToGrid/>
        <w:ind w:left="425" w:firstLine="0" w:firstLineChars="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2、投标人有下列情形之一的，属于以其他方式弄虚作假的行为：</w:t>
      </w:r>
    </w:p>
    <w:p w14:paraId="5934214A">
      <w:pPr>
        <w:pStyle w:val="43"/>
        <w:widowControl w:val="0"/>
        <w:adjustRightInd/>
        <w:snapToGrid/>
        <w:ind w:left="425" w:firstLine="0" w:firstLineChars="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（1）使用伪造、变造的许可证件；</w:t>
      </w:r>
    </w:p>
    <w:p w14:paraId="1E4CFD4F">
      <w:pPr>
        <w:pStyle w:val="43"/>
        <w:widowControl w:val="0"/>
        <w:adjustRightInd/>
        <w:snapToGrid/>
        <w:ind w:left="425" w:firstLine="0" w:firstLineChars="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（2）提供虚假的财务状况或者业绩；</w:t>
      </w:r>
    </w:p>
    <w:p w14:paraId="30BEFEAA">
      <w:pPr>
        <w:pStyle w:val="43"/>
        <w:widowControl w:val="0"/>
        <w:adjustRightInd/>
        <w:snapToGrid/>
        <w:ind w:left="425" w:firstLine="0" w:firstLineChars="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（3）提供虚假的项目负责人或者主要技术人员简历、劳动关系证明；</w:t>
      </w:r>
    </w:p>
    <w:p w14:paraId="4696A7B8">
      <w:pPr>
        <w:pStyle w:val="43"/>
        <w:widowControl w:val="0"/>
        <w:adjustRightInd/>
        <w:snapToGrid/>
        <w:ind w:left="425" w:firstLine="0" w:firstLineChars="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（4）提供虚假的信用状况；</w:t>
      </w:r>
    </w:p>
    <w:p w14:paraId="5EFD70DA">
      <w:pPr>
        <w:pStyle w:val="43"/>
        <w:widowControl w:val="0"/>
        <w:adjustRightInd/>
        <w:snapToGrid/>
        <w:ind w:left="425" w:firstLine="0" w:firstLineChars="0"/>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（5）其他弄虚作假的行为。</w:t>
      </w:r>
    </w:p>
    <w:p w14:paraId="00EBA55E">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48" w:name="_Toc8324"/>
      <w:bookmarkStart w:id="149" w:name="_Toc30147"/>
      <w:r>
        <w:rPr>
          <w:rFonts w:hint="default" w:ascii="宋体" w:hAnsi="宋体" w:eastAsia="宋体" w:cs="宋体"/>
          <w:b/>
          <w:color w:val="000000" w:themeColor="text1"/>
          <w:sz w:val="21"/>
          <w:szCs w:val="21"/>
          <w:lang w:val="en-US" w:eastAsia="zh-CN" w:bidi="ar-SA"/>
          <w14:textFill>
            <w14:solidFill>
              <w14:schemeClr w14:val="tx1"/>
            </w14:solidFill>
          </w14:textFill>
        </w:rPr>
        <w:t>16.</w:t>
      </w:r>
      <w:r>
        <w:rPr>
          <w:rFonts w:hint="eastAsia" w:ascii="宋体" w:hAnsi="宋体" w:cs="宋体"/>
          <w:color w:val="000000" w:themeColor="text1"/>
          <w:sz w:val="21"/>
          <w:szCs w:val="21"/>
          <w14:textFill>
            <w14:solidFill>
              <w14:schemeClr w14:val="tx1"/>
            </w14:solidFill>
          </w14:textFill>
        </w:rPr>
        <w:t>投标有效期</w:t>
      </w:r>
      <w:bookmarkEnd w:id="148"/>
      <w:bookmarkEnd w:id="149"/>
    </w:p>
    <w:p w14:paraId="1553B3A2">
      <w:pPr>
        <w:widowControl w:val="0"/>
        <w:numPr>
          <w:ilvl w:val="1"/>
          <w:numId w:val="0"/>
        </w:numPr>
        <w:overflowPunct w:val="0"/>
        <w:ind w:left="567" w:leftChars="0" w:hanging="567" w:firstLineChars="0"/>
        <w:rPr>
          <w:rFonts w:ascii="宋体" w:hAnsi="宋体" w:cs="宋体"/>
          <w:color w:val="000000" w:themeColor="text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16.1.</w:t>
      </w:r>
      <w:r>
        <w:rPr>
          <w:rFonts w:hint="eastAsia" w:ascii="宋体" w:hAnsi="宋体" w:cs="宋体"/>
          <w:color w:val="000000" w:themeColor="text1"/>
          <w:szCs w:val="21"/>
          <w14:textFill>
            <w14:solidFill>
              <w14:schemeClr w14:val="tx1"/>
            </w14:solidFill>
          </w14:textFill>
        </w:rPr>
        <w:t>投标文件应根据投标人须知的规定在投标截止日后的90天内保持有效。</w:t>
      </w:r>
    </w:p>
    <w:p w14:paraId="6A805522">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50" w:name="_Toc1846"/>
      <w:bookmarkStart w:id="151" w:name="_Toc12582"/>
      <w:r>
        <w:rPr>
          <w:rFonts w:hint="default" w:ascii="宋体" w:hAnsi="宋体" w:eastAsia="宋体" w:cs="宋体"/>
          <w:b/>
          <w:color w:val="000000" w:themeColor="text1"/>
          <w:sz w:val="21"/>
          <w:szCs w:val="21"/>
          <w:lang w:val="en-US" w:eastAsia="zh-CN" w:bidi="ar-SA"/>
          <w14:textFill>
            <w14:solidFill>
              <w14:schemeClr w14:val="tx1"/>
            </w14:solidFill>
          </w14:textFill>
        </w:rPr>
        <w:t>17.</w:t>
      </w:r>
      <w:r>
        <w:rPr>
          <w:rFonts w:hint="eastAsia" w:ascii="宋体" w:hAnsi="宋体" w:cs="宋体"/>
          <w:color w:val="000000" w:themeColor="text1"/>
          <w:sz w:val="21"/>
          <w:szCs w:val="21"/>
          <w14:textFill>
            <w14:solidFill>
              <w14:schemeClr w14:val="tx1"/>
            </w14:solidFill>
          </w14:textFill>
        </w:rPr>
        <w:t>投标保证金</w:t>
      </w:r>
      <w:bookmarkEnd w:id="150"/>
      <w:bookmarkEnd w:id="151"/>
    </w:p>
    <w:p w14:paraId="631849A0">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bookmarkStart w:id="152" w:name="_Ref179619405"/>
      <w:r>
        <w:rPr>
          <w:rFonts w:hint="default" w:ascii="宋体" w:hAnsi="宋体" w:eastAsia="宋体" w:cs="宋体"/>
          <w:color w:val="000000" w:themeColor="text1"/>
          <w:sz w:val="21"/>
          <w:szCs w:val="21"/>
          <w:lang w:val="en-US" w:eastAsia="zh-CN" w:bidi="ar-SA"/>
          <w14:textFill>
            <w14:solidFill>
              <w14:schemeClr w14:val="tx1"/>
            </w14:solidFill>
          </w14:textFill>
        </w:rPr>
        <w:t>17.1.</w:t>
      </w:r>
      <w:r>
        <w:rPr>
          <w:rFonts w:hint="eastAsia" w:ascii="宋体" w:hAnsi="宋体" w:cs="宋体"/>
          <w:color w:val="000000" w:themeColor="text1"/>
          <w:szCs w:val="21"/>
          <w14:textFill>
            <w14:solidFill>
              <w14:schemeClr w14:val="tx1"/>
            </w14:solidFill>
          </w14:textFill>
        </w:rPr>
        <w:t>投标人应在投标文件递交截止前提交相应的投标保证金，并作为其投标的一部分。</w:t>
      </w:r>
      <w:bookmarkEnd w:id="152"/>
    </w:p>
    <w:p w14:paraId="362D4502">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17.2.</w:t>
      </w:r>
      <w:r>
        <w:rPr>
          <w:rFonts w:hint="eastAsia" w:ascii="宋体" w:hAnsi="宋体" w:cs="宋体"/>
          <w:color w:val="000000" w:themeColor="text1"/>
          <w:szCs w:val="21"/>
          <w14:textFill>
            <w14:solidFill>
              <w14:schemeClr w14:val="tx1"/>
            </w14:solidFill>
          </w14:textFill>
        </w:rPr>
        <w:t>投标保证金是为了保护采购代理机构和采购人免遭因投标人的行为而蒙受的损失。采购代理机构和采购人在因投标人的行为受到损害时可根据本须知（17.7）的规定没收投标人的投标保证金。</w:t>
      </w:r>
    </w:p>
    <w:p w14:paraId="7A30A04B">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17.3.</w:t>
      </w:r>
      <w:r>
        <w:rPr>
          <w:rFonts w:hint="eastAsia" w:ascii="宋体" w:hAnsi="宋体" w:cs="宋体"/>
          <w:color w:val="000000" w:themeColor="text1"/>
          <w:szCs w:val="21"/>
          <w14:textFill>
            <w14:solidFill>
              <w14:schemeClr w14:val="tx1"/>
            </w14:solidFill>
          </w14:textFill>
        </w:rPr>
        <w:t>投标保证金采用转账、电汇方式方式提交，应符合以下要求：采用银行转账、电汇方式提交的，保证金汇入《投标资料表》中投标保证金专用账户，不接收由以投标人分支机构、私人账户和其他单位转入的保证金。投标保证金必须在投标文件递交截止前到账，投标保证金未按规定时间到达指定账户或提交金额不足的，将被视为无效投标。且在备注或用途中注明本项目的项目编号。</w:t>
      </w:r>
    </w:p>
    <w:p w14:paraId="65553215">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凡没有根据本须知（17.1和17.3）的规定随附有效的投标保证金的投标，将被视为非响应性投标予以拒绝。</w:t>
      </w:r>
    </w:p>
    <w:p w14:paraId="2832F15F">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17.5.</w:t>
      </w:r>
      <w:r>
        <w:rPr>
          <w:rFonts w:hint="eastAsia" w:ascii="宋体" w:hAnsi="宋体" w:cs="宋体"/>
          <w:color w:val="000000" w:themeColor="text1"/>
          <w:szCs w:val="21"/>
          <w14:textFill>
            <w14:solidFill>
              <w14:schemeClr w14:val="tx1"/>
            </w14:solidFill>
          </w14:textFill>
        </w:rPr>
        <w:t>投标保证金有效期应当与投标有效期一致。采购人如果按照采购文件另外规定延长了投标文件有效期，则投标担保的有效期也相应延长。</w:t>
      </w:r>
    </w:p>
    <w:p w14:paraId="546DDBB6">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17.6.</w:t>
      </w:r>
      <w:r>
        <w:rPr>
          <w:rFonts w:hint="eastAsia" w:ascii="宋体" w:hAnsi="宋体" w:cs="宋体"/>
          <w:color w:val="000000" w:themeColor="text1"/>
          <w:szCs w:val="21"/>
          <w14:textFill>
            <w14:solidFill>
              <w14:schemeClr w14:val="tx1"/>
            </w14:solidFill>
          </w14:textFill>
        </w:rPr>
        <w:t>中标人在签订采购合同并按采购文件第（33）条规定提交履约担保金后，携带退保证金声明函、投标保证金汇款单复印件（加盖公章）和合同正本到采购人处办理投标保证金（无息）退回手续。</w:t>
      </w:r>
    </w:p>
    <w:p w14:paraId="21034CD7">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17.7.</w:t>
      </w:r>
      <w:r>
        <w:rPr>
          <w:rFonts w:hint="eastAsia" w:ascii="宋体" w:hAnsi="宋体" w:cs="宋体"/>
          <w:color w:val="000000" w:themeColor="text1"/>
          <w:szCs w:val="21"/>
          <w14:textFill>
            <w14:solidFill>
              <w14:schemeClr w14:val="tx1"/>
            </w14:solidFill>
          </w14:textFill>
        </w:rPr>
        <w:t>下列任何情况发生时，投标保证金将不予退还：</w:t>
      </w:r>
    </w:p>
    <w:p w14:paraId="7C65BD22">
      <w:pPr>
        <w:widowControl w:val="0"/>
        <w:adjustRightInd/>
        <w:snapToGrid/>
        <w:ind w:left="540" w:leftChars="257"/>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（1）投标人在采购文件中规定的投标有效期内撤回其投标；</w:t>
      </w:r>
    </w:p>
    <w:p w14:paraId="2AE0443D">
      <w:pPr>
        <w:widowControl w:val="0"/>
        <w:adjustRightInd/>
        <w:snapToGrid/>
        <w:ind w:left="540" w:leftChars="257"/>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（2）中标人无正当理由不与采购人订立合同，在签订合同时向采购人提出附加条件，或者不按照采购文件要求提交履约保证金的；</w:t>
      </w:r>
    </w:p>
    <w:p w14:paraId="6666E6AB">
      <w:pPr>
        <w:widowControl w:val="0"/>
        <w:adjustRightInd/>
        <w:snapToGrid/>
        <w:ind w:left="540" w:leftChars="257"/>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（3）中标人将本项目转让给他人，或者在投标文件中未说明，且未经采购人同意，将中标项目分包给他人的；</w:t>
      </w:r>
    </w:p>
    <w:p w14:paraId="69674701">
      <w:pPr>
        <w:widowControl w:val="0"/>
        <w:adjustRightInd/>
        <w:snapToGrid/>
        <w:ind w:left="540" w:leftChars="257"/>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（4）投标人提供虚假投标文件或虚假补充文件的。</w:t>
      </w:r>
    </w:p>
    <w:p w14:paraId="5F0C600B">
      <w:pPr>
        <w:widowControl w:val="0"/>
        <w:numPr>
          <w:ilvl w:val="1"/>
          <w:numId w:val="0"/>
        </w:numPr>
        <w:overflowPunct w:val="0"/>
        <w:ind w:left="567" w:leftChars="0" w:hanging="567" w:firstLineChars="0"/>
        <w:rPr>
          <w:rFonts w:ascii="宋体" w:hAnsi="宋体" w:cs="宋体"/>
          <w:color w:val="000000" w:themeColor="text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17.8.</w:t>
      </w:r>
      <w:r>
        <w:rPr>
          <w:rFonts w:hint="eastAsia" w:ascii="宋体" w:hAnsi="宋体" w:cs="宋体"/>
          <w:color w:val="000000" w:themeColor="text1"/>
          <w:szCs w:val="21"/>
          <w14:textFill>
            <w14:solidFill>
              <w14:schemeClr w14:val="tx1"/>
            </w14:solidFill>
          </w14:textFill>
        </w:rPr>
        <w:t>在中标通知书发出后，未中标投标人的投标保证金，由采购人自行返还至投标人的原转出账户。</w:t>
      </w:r>
    </w:p>
    <w:p w14:paraId="420E38F2">
      <w:pPr>
        <w:pStyle w:val="4"/>
        <w:numPr>
          <w:ilvl w:val="0"/>
          <w:numId w:val="2"/>
        </w:numPr>
        <w:spacing w:before="0" w:after="0" w:line="360" w:lineRule="auto"/>
        <w:jc w:val="center"/>
        <w:rPr>
          <w:rFonts w:ascii="宋体" w:hAnsi="宋体" w:cs="宋体"/>
          <w:color w:val="000000" w:themeColor="text1"/>
          <w:highlight w:val="none"/>
          <w14:textFill>
            <w14:solidFill>
              <w14:schemeClr w14:val="tx1"/>
            </w14:solidFill>
          </w14:textFill>
        </w:rPr>
      </w:pPr>
      <w:bookmarkStart w:id="153" w:name="_Toc20633"/>
      <w:bookmarkStart w:id="154" w:name="_Toc30352"/>
      <w:bookmarkStart w:id="155" w:name="_Toc24345"/>
      <w:r>
        <w:rPr>
          <w:rFonts w:hint="eastAsia" w:ascii="宋体" w:hAnsi="宋体" w:cs="宋体"/>
          <w:color w:val="000000" w:themeColor="text1"/>
          <w:highlight w:val="none"/>
          <w14:textFill>
            <w14:solidFill>
              <w14:schemeClr w14:val="tx1"/>
            </w14:solidFill>
          </w14:textFill>
        </w:rPr>
        <w:t>投标文件的递交</w:t>
      </w:r>
      <w:bookmarkEnd w:id="153"/>
      <w:bookmarkEnd w:id="154"/>
      <w:bookmarkEnd w:id="155"/>
    </w:p>
    <w:p w14:paraId="3A062CAA">
      <w:pPr>
        <w:pStyle w:val="5"/>
        <w:widowControl w:val="0"/>
        <w:numPr>
          <w:ilvl w:val="0"/>
          <w:numId w:val="0"/>
        </w:numPr>
        <w:overflowPunct w:val="0"/>
        <w:ind w:left="425" w:leftChars="0" w:hanging="425" w:firstLineChars="0"/>
        <w:rPr>
          <w:rFonts w:ascii="宋体" w:hAnsi="宋体" w:cs="宋体"/>
          <w:color w:val="000000" w:themeColor="text1"/>
          <w:sz w:val="21"/>
          <w:szCs w:val="21"/>
          <w:highlight w:val="none"/>
          <w14:textFill>
            <w14:solidFill>
              <w14:schemeClr w14:val="tx1"/>
            </w14:solidFill>
          </w14:textFill>
        </w:rPr>
      </w:pPr>
      <w:bookmarkStart w:id="156" w:name="_Toc24150"/>
      <w:bookmarkStart w:id="157" w:name="_Toc382049111"/>
      <w:bookmarkStart w:id="158" w:name="_Toc303084264"/>
      <w:bookmarkStart w:id="159" w:name="_Toc24997"/>
      <w:bookmarkStart w:id="160" w:name="_Toc8235"/>
      <w:r>
        <w:rPr>
          <w:rFonts w:hint="default" w:ascii="宋体" w:hAnsi="宋体" w:eastAsia="宋体" w:cs="宋体"/>
          <w:b/>
          <w:color w:val="000000" w:themeColor="text1"/>
          <w:sz w:val="21"/>
          <w:szCs w:val="21"/>
          <w:lang w:val="en-US" w:eastAsia="zh-CN" w:bidi="ar-SA"/>
          <w14:textFill>
            <w14:solidFill>
              <w14:schemeClr w14:val="tx1"/>
            </w14:solidFill>
          </w14:textFill>
        </w:rPr>
        <w:t>18.</w:t>
      </w:r>
      <w:r>
        <w:rPr>
          <w:rFonts w:hint="eastAsia" w:ascii="宋体" w:hAnsi="宋体" w:cs="宋体"/>
          <w:color w:val="000000" w:themeColor="text1"/>
          <w:sz w:val="21"/>
          <w:szCs w:val="21"/>
          <w:highlight w:val="none"/>
          <w14:textFill>
            <w14:solidFill>
              <w14:schemeClr w14:val="tx1"/>
            </w14:solidFill>
          </w14:textFill>
        </w:rPr>
        <w:t>投标文件的装订，签署，密封和标记</w:t>
      </w:r>
      <w:bookmarkEnd w:id="156"/>
      <w:bookmarkEnd w:id="157"/>
      <w:bookmarkEnd w:id="158"/>
      <w:bookmarkEnd w:id="159"/>
      <w:bookmarkEnd w:id="160"/>
    </w:p>
    <w:p w14:paraId="48E3EE09">
      <w:pPr>
        <w:widowControl w:val="0"/>
        <w:numPr>
          <w:ilvl w:val="1"/>
          <w:numId w:val="0"/>
        </w:numPr>
        <w:overflowPunct w:val="0"/>
        <w:ind w:left="567" w:leftChars="0" w:hanging="567" w:firstLineChars="0"/>
        <w:rPr>
          <w:rFonts w:ascii="宋体" w:hAnsi="宋体" w:cs="宋体"/>
          <w:color w:val="000000" w:themeColor="text1"/>
          <w:szCs w:val="21"/>
          <w:highlight w:val="none"/>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18.1.</w:t>
      </w:r>
      <w:r>
        <w:rPr>
          <w:rFonts w:hint="eastAsia" w:ascii="宋体" w:hAnsi="宋体"/>
          <w:color w:val="000000" w:themeColor="text1"/>
          <w:szCs w:val="21"/>
          <w:highlight w:val="none"/>
          <w14:textFill>
            <w14:solidFill>
              <w14:schemeClr w14:val="tx1"/>
            </w14:solidFill>
          </w14:textFill>
        </w:rPr>
        <w:t>投标人应按《投标资料表》的份数准备价格文件、商务文件、技术文件、唱标信封和电子文件（</w:t>
      </w:r>
      <w:r>
        <w:rPr>
          <w:rFonts w:hint="eastAsia" w:ascii="宋体" w:hAnsi="宋体"/>
          <w:b/>
          <w:color w:val="000000" w:themeColor="text1"/>
          <w:szCs w:val="21"/>
          <w:highlight w:val="none"/>
          <w14:textFill>
            <w14:solidFill>
              <w14:schemeClr w14:val="tx1"/>
            </w14:solidFill>
          </w14:textFill>
        </w:rPr>
        <w:t>价格文件、商务文件、技术文件分别单独装订成册</w:t>
      </w:r>
      <w:r>
        <w:rPr>
          <w:rFonts w:hint="eastAsia" w:ascii="宋体" w:hAnsi="宋体"/>
          <w:color w:val="000000" w:themeColor="text1"/>
          <w:szCs w:val="21"/>
          <w:highlight w:val="none"/>
          <w14:textFill>
            <w14:solidFill>
              <w14:schemeClr w14:val="tx1"/>
            </w14:solidFill>
          </w14:textFill>
        </w:rPr>
        <w:t>），每一份投标文件均需编上页次，装订成册（不允许使用活页夹，否则由此产生的风险由投标人自行承担）。所有投标文件必须封入密封完好的信封或包装，封口加盖公章</w:t>
      </w:r>
      <w:r>
        <w:rPr>
          <w:rFonts w:hint="eastAsia" w:ascii="宋体" w:hAnsi="宋体" w:cs="宋体"/>
          <w:color w:val="000000" w:themeColor="text1"/>
          <w:szCs w:val="21"/>
          <w:highlight w:val="none"/>
          <w14:textFill>
            <w14:solidFill>
              <w14:schemeClr w14:val="tx1"/>
            </w14:solidFill>
          </w14:textFill>
        </w:rPr>
        <w:t>。</w:t>
      </w:r>
    </w:p>
    <w:p w14:paraId="56EE24BB">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18.2.</w:t>
      </w:r>
      <w:r>
        <w:rPr>
          <w:rFonts w:hint="eastAsia" w:ascii="宋体" w:hAnsi="宋体" w:cs="宋体"/>
          <w:color w:val="000000" w:themeColor="text1"/>
          <w:szCs w:val="21"/>
          <w:highlight w:val="none"/>
          <w14:textFill>
            <w14:solidFill>
              <w14:schemeClr w14:val="tx1"/>
            </w14:solidFill>
          </w14:textFill>
        </w:rPr>
        <w:t>投标文件正本均须用不褪色墨水书写或打印。投标文件的副本可采用投标文件的正本复印件，每套投标文件应当标明“正本”、“副本”的字样。投标文件的</w:t>
      </w:r>
      <w:r>
        <w:rPr>
          <w:rFonts w:hint="eastAsia" w:ascii="宋体" w:hAnsi="宋体" w:cs="宋体"/>
          <w:color w:val="000000" w:themeColor="text1"/>
          <w:szCs w:val="21"/>
          <w14:textFill>
            <w14:solidFill>
              <w14:schemeClr w14:val="tx1"/>
            </w14:solidFill>
          </w14:textFill>
        </w:rPr>
        <w:t>【正本】及所有【副本】的封面及骑缝均须加盖投标人公章（文件每页盖章等同于盖骑缝章）。若正本与副本不符，以正本为准。</w:t>
      </w:r>
    </w:p>
    <w:p w14:paraId="5858CD0B">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18.3.</w:t>
      </w:r>
      <w:r>
        <w:rPr>
          <w:rFonts w:hint="eastAsia" w:ascii="宋体" w:hAnsi="宋体" w:cs="宋体"/>
          <w:color w:val="000000" w:themeColor="text1"/>
          <w:szCs w:val="21"/>
          <w14:textFill>
            <w14:solidFill>
              <w14:schemeClr w14:val="tx1"/>
            </w14:solidFill>
          </w14:textFill>
        </w:rPr>
        <w:t>联合体投标文件的【正本】及【副本】的封面及骑缝均须加盖所有联合体组成成员的公章。（文件每页盖章等同于盖骑缝章）</w:t>
      </w:r>
    </w:p>
    <w:p w14:paraId="7DA3C29D">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18.4.</w:t>
      </w:r>
      <w:r>
        <w:rPr>
          <w:rFonts w:hint="eastAsia" w:ascii="宋体" w:hAnsi="宋体" w:cs="宋体"/>
          <w:color w:val="000000" w:themeColor="text1"/>
          <w:szCs w:val="21"/>
          <w14:textFill>
            <w14:solidFill>
              <w14:schemeClr w14:val="tx1"/>
            </w14:solidFill>
          </w14:textFill>
        </w:rPr>
        <w:t>电子文件内容包括：由投标人自行制作的与正本文件一致的所有文件。电子文件由光盘或U盘储存，并注明投标人名称及项目名称、采购项目编号，随投标文件一同密封提交。</w:t>
      </w:r>
    </w:p>
    <w:p w14:paraId="79C56254">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18.5.</w:t>
      </w:r>
      <w:r>
        <w:rPr>
          <w:rFonts w:hint="eastAsia" w:ascii="宋体" w:hAnsi="宋体" w:cs="宋体"/>
          <w:color w:val="000000" w:themeColor="text1"/>
          <w:szCs w:val="21"/>
          <w14:textFill>
            <w14:solidFill>
              <w14:schemeClr w14:val="tx1"/>
            </w14:solidFill>
          </w14:textFill>
        </w:rPr>
        <w:t>除投标人对错误处修改外，全套投标文件应无涂改或行间插字和增删。如有修改，修改处须由法定代表人或其正式授权代表在旁边签字及盖章。</w:t>
      </w:r>
    </w:p>
    <w:p w14:paraId="5D5FA739">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18.6.</w:t>
      </w:r>
      <w:r>
        <w:rPr>
          <w:rFonts w:hint="eastAsia" w:ascii="宋体" w:hAnsi="宋体" w:cs="宋体"/>
          <w:color w:val="000000" w:themeColor="text1"/>
          <w:szCs w:val="21"/>
          <w14:textFill>
            <w14:solidFill>
              <w14:schemeClr w14:val="tx1"/>
            </w14:solidFill>
          </w14:textFill>
        </w:rPr>
        <w:t>投标人应将投标文件进行非透明的封装，以防止投标文件内容的泄露。采购代理机构将拒绝接收采用透明包装进行密封的投标文件。</w:t>
      </w:r>
    </w:p>
    <w:p w14:paraId="45715D6A">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18.7.</w:t>
      </w:r>
      <w:r>
        <w:rPr>
          <w:rFonts w:hint="eastAsia" w:ascii="宋体" w:hAnsi="宋体" w:cs="宋体"/>
          <w:color w:val="000000" w:themeColor="text1"/>
          <w:szCs w:val="21"/>
          <w14:textFill>
            <w14:solidFill>
              <w14:schemeClr w14:val="tx1"/>
            </w14:solidFill>
          </w14:textFill>
        </w:rPr>
        <w:t>密封破损导致投标文件内容直接或间接泄露的投标文件，采购代理机构将拒绝接收。</w:t>
      </w:r>
    </w:p>
    <w:p w14:paraId="6EC53787">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18.8.</w:t>
      </w:r>
      <w:r>
        <w:rPr>
          <w:rFonts w:hint="eastAsia" w:ascii="宋体" w:hAnsi="宋体" w:cs="宋体"/>
          <w:color w:val="000000" w:themeColor="text1"/>
          <w:szCs w:val="21"/>
          <w14:textFill>
            <w14:solidFill>
              <w14:schemeClr w14:val="tx1"/>
            </w14:solidFill>
          </w14:textFill>
        </w:rPr>
        <w:t>为方便开标唱标，投标人应将开标一览表和授权委托书单独密封提交，并在信封上标明“唱标信封”字样。唱标信封内还须包括并不限于：投标保证金支付凭证银行汇款底单（复印件加盖公章，原件随身携带，以备查核）和投标保证金汇入情况说明（加盖公章）。投标人的法定代表人参加投标时，须开具法定代表人证明书，按上述要求与开标一览表一并密封提交。“唱标信封”份数及签章等要求与投标文件正本相同（1份）。</w:t>
      </w:r>
    </w:p>
    <w:p w14:paraId="20145F3A">
      <w:pPr>
        <w:widowControl w:val="0"/>
        <w:numPr>
          <w:ilvl w:val="1"/>
          <w:numId w:val="0"/>
        </w:numPr>
        <w:overflowPunct w:val="0"/>
        <w:ind w:left="567" w:leftChars="0" w:hanging="567" w:firstLineChars="0"/>
        <w:rPr>
          <w:rFonts w:ascii="宋体" w:hAnsi="宋体" w:cs="宋体"/>
          <w:b/>
          <w:bCs/>
          <w:color w:val="000000" w:themeColor="text1"/>
          <w:szCs w:val="21"/>
          <w14:textFill>
            <w14:solidFill>
              <w14:schemeClr w14:val="tx1"/>
            </w14:solidFill>
          </w14:textFill>
        </w:rPr>
      </w:pPr>
      <w:r>
        <w:rPr>
          <w:rFonts w:hint="default" w:ascii="宋体" w:hAnsi="宋体" w:eastAsia="宋体" w:cs="宋体"/>
          <w:b/>
          <w:bCs/>
          <w:color w:val="000000" w:themeColor="text1"/>
          <w:sz w:val="21"/>
          <w:szCs w:val="21"/>
          <w:lang w:val="en-US" w:eastAsia="zh-CN" w:bidi="ar-SA"/>
          <w14:textFill>
            <w14:solidFill>
              <w14:schemeClr w14:val="tx1"/>
            </w14:solidFill>
          </w14:textFill>
        </w:rPr>
        <w:t>18.9.</w:t>
      </w:r>
      <w:r>
        <w:rPr>
          <w:rFonts w:hint="eastAsia" w:ascii="宋体" w:hAnsi="宋体" w:cs="宋体"/>
          <w:b/>
          <w:bCs/>
          <w:color w:val="000000" w:themeColor="text1"/>
          <w:szCs w:val="21"/>
          <w14:textFill>
            <w14:solidFill>
              <w14:schemeClr w14:val="tx1"/>
            </w14:solidFill>
          </w14:textFill>
        </w:rPr>
        <w:t>未单独提交唱标信封的投标人投标文件不进行唱标，投标文件作无效处理。</w:t>
      </w:r>
    </w:p>
    <w:p w14:paraId="4577CB5B">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18.10.</w:t>
      </w:r>
      <w:r>
        <w:rPr>
          <w:rFonts w:hint="eastAsia" w:ascii="宋体" w:hAnsi="宋体" w:cs="宋体"/>
          <w:color w:val="000000" w:themeColor="text1"/>
          <w:szCs w:val="21"/>
          <w14:textFill>
            <w14:solidFill>
              <w14:schemeClr w14:val="tx1"/>
            </w14:solidFill>
          </w14:textFill>
        </w:rPr>
        <w:t xml:space="preserve">所有的信封均应注明： </w:t>
      </w:r>
    </w:p>
    <w:p w14:paraId="16F5D77C">
      <w:pPr>
        <w:widowControl w:val="0"/>
        <w:numPr>
          <w:ilvl w:val="0"/>
          <w:numId w:val="4"/>
        </w:numPr>
        <w:adjustRightInd/>
        <w:snapToGrid/>
        <w:ind w:left="567"/>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收件人： </w:t>
      </w:r>
    </w:p>
    <w:p w14:paraId="525B9846">
      <w:pPr>
        <w:widowControl w:val="0"/>
        <w:numPr>
          <w:ilvl w:val="0"/>
          <w:numId w:val="4"/>
        </w:numPr>
        <w:adjustRightInd/>
        <w:snapToGrid/>
        <w:ind w:left="567"/>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投标单位名称：</w:t>
      </w:r>
    </w:p>
    <w:p w14:paraId="1ADC1A66">
      <w:pPr>
        <w:widowControl w:val="0"/>
        <w:numPr>
          <w:ilvl w:val="0"/>
          <w:numId w:val="4"/>
        </w:numPr>
        <w:adjustRightInd/>
        <w:snapToGrid/>
        <w:ind w:left="567"/>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项目名称：</w:t>
      </w:r>
    </w:p>
    <w:p w14:paraId="3DF8C2D6">
      <w:pPr>
        <w:widowControl w:val="0"/>
        <w:numPr>
          <w:ilvl w:val="0"/>
          <w:numId w:val="4"/>
        </w:numPr>
        <w:adjustRightInd/>
        <w:snapToGrid/>
        <w:ind w:left="567"/>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项目采购项目编号：</w:t>
      </w:r>
    </w:p>
    <w:p w14:paraId="24E05F4E">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18.11.</w:t>
      </w:r>
      <w:r>
        <w:rPr>
          <w:rFonts w:hint="eastAsia" w:ascii="宋体" w:hAnsi="宋体" w:cs="宋体"/>
          <w:color w:val="000000" w:themeColor="text1"/>
          <w:szCs w:val="21"/>
          <w14:textFill>
            <w14:solidFill>
              <w14:schemeClr w14:val="tx1"/>
            </w14:solidFill>
          </w14:textFill>
        </w:rPr>
        <w:t>密封信封上的项目编号错误或项目名称出现严重歧义的（包括采购内容不符），采购代理机构将拒绝接收。</w:t>
      </w:r>
    </w:p>
    <w:p w14:paraId="2E759B0B">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18.12.</w:t>
      </w:r>
      <w:r>
        <w:rPr>
          <w:rFonts w:hint="eastAsia" w:ascii="宋体" w:hAnsi="宋体" w:cs="宋体"/>
          <w:color w:val="000000" w:themeColor="text1"/>
          <w:szCs w:val="21"/>
          <w14:textFill>
            <w14:solidFill>
              <w14:schemeClr w14:val="tx1"/>
            </w14:solidFill>
          </w14:textFill>
        </w:rPr>
        <w:t>采购代理机构对所有投标文件的误投或提前启封概不负责。</w:t>
      </w:r>
    </w:p>
    <w:p w14:paraId="0B8D09A4">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18.13.</w:t>
      </w:r>
      <w:r>
        <w:rPr>
          <w:rFonts w:hint="eastAsia" w:ascii="宋体" w:hAnsi="宋体" w:cs="宋体"/>
          <w:color w:val="000000" w:themeColor="text1"/>
          <w:szCs w:val="21"/>
          <w14:textFill>
            <w14:solidFill>
              <w14:schemeClr w14:val="tx1"/>
            </w14:solidFill>
          </w14:textFill>
        </w:rPr>
        <w:t>投标人同时参加几个包投标时必须按采购文件要求按包号分别制作投标文件，分别密封递交。</w:t>
      </w:r>
    </w:p>
    <w:p w14:paraId="5896CEC9">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18.14.</w:t>
      </w:r>
      <w:r>
        <w:rPr>
          <w:rFonts w:hint="eastAsia" w:ascii="宋体" w:hAnsi="宋体" w:cs="宋体"/>
          <w:color w:val="000000" w:themeColor="text1"/>
          <w:szCs w:val="21"/>
          <w14:textFill>
            <w14:solidFill>
              <w14:schemeClr w14:val="tx1"/>
            </w14:solidFill>
          </w14:textFill>
        </w:rPr>
        <w:t>传真、电传的投标文件将被拒绝。</w:t>
      </w:r>
    </w:p>
    <w:p w14:paraId="771B2827">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18.15.</w:t>
      </w:r>
      <w:r>
        <w:rPr>
          <w:rFonts w:hint="eastAsia" w:ascii="宋体" w:hAnsi="宋体" w:cs="宋体"/>
          <w:color w:val="000000" w:themeColor="text1"/>
          <w:szCs w:val="21"/>
          <w14:textFill>
            <w14:solidFill>
              <w14:schemeClr w14:val="tx1"/>
            </w14:solidFill>
          </w14:textFill>
        </w:rPr>
        <w:t>递交的投标文件中所提供的通讯方式应保持联络畅通，因联系不上而导致的所有后果由投标人自行承担。</w:t>
      </w:r>
    </w:p>
    <w:p w14:paraId="3EF91EEF">
      <w:pPr>
        <w:rPr>
          <w:rFonts w:ascii="宋体" w:hAnsi="宋体" w:cs="宋体"/>
          <w:color w:val="000000" w:themeColor="text1"/>
          <w14:textFill>
            <w14:solidFill>
              <w14:schemeClr w14:val="tx1"/>
            </w14:solidFill>
          </w14:textFill>
        </w:rPr>
      </w:pPr>
    </w:p>
    <w:p w14:paraId="03306C6C">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61" w:name="_Toc25895"/>
      <w:bookmarkStart w:id="162" w:name="_Toc31350"/>
      <w:r>
        <w:rPr>
          <w:rFonts w:hint="default" w:ascii="宋体" w:hAnsi="宋体" w:eastAsia="宋体" w:cs="宋体"/>
          <w:b/>
          <w:color w:val="000000" w:themeColor="text1"/>
          <w:sz w:val="21"/>
          <w:szCs w:val="21"/>
          <w:lang w:val="en-US" w:eastAsia="zh-CN" w:bidi="ar-SA"/>
          <w14:textFill>
            <w14:solidFill>
              <w14:schemeClr w14:val="tx1"/>
            </w14:solidFill>
          </w14:textFill>
        </w:rPr>
        <w:t>19.</w:t>
      </w:r>
      <w:r>
        <w:rPr>
          <w:rFonts w:hint="eastAsia" w:ascii="宋体" w:hAnsi="宋体" w:cs="宋体"/>
          <w:color w:val="000000" w:themeColor="text1"/>
          <w:sz w:val="21"/>
          <w:szCs w:val="21"/>
          <w14:textFill>
            <w14:solidFill>
              <w14:schemeClr w14:val="tx1"/>
            </w14:solidFill>
          </w14:textFill>
        </w:rPr>
        <w:t>迟交的投标文件</w:t>
      </w:r>
      <w:bookmarkEnd w:id="161"/>
      <w:bookmarkEnd w:id="162"/>
    </w:p>
    <w:p w14:paraId="15AD4F71">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19.1.</w:t>
      </w:r>
      <w:r>
        <w:rPr>
          <w:rFonts w:hint="eastAsia" w:ascii="宋体" w:hAnsi="宋体" w:cs="宋体"/>
          <w:color w:val="000000" w:themeColor="text1"/>
          <w:szCs w:val="21"/>
          <w14:textFill>
            <w14:solidFill>
              <w14:schemeClr w14:val="tx1"/>
            </w14:solidFill>
          </w14:textFill>
        </w:rPr>
        <w:t>投标人在投标截止时间之后提交的投标文件，采购代理机构将拒绝接收。</w:t>
      </w:r>
    </w:p>
    <w:p w14:paraId="0B53F4FA">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19.2.</w:t>
      </w:r>
      <w:r>
        <w:rPr>
          <w:rFonts w:hint="eastAsia" w:ascii="宋体" w:hAnsi="宋体" w:cs="宋体"/>
          <w:color w:val="000000" w:themeColor="text1"/>
          <w:szCs w:val="21"/>
          <w14:textFill>
            <w14:solidFill>
              <w14:schemeClr w14:val="tx1"/>
            </w14:solidFill>
          </w14:textFill>
        </w:rPr>
        <w:t>有违反其他法律规定情形的，采购代理机构将拒绝接收。</w:t>
      </w:r>
    </w:p>
    <w:p w14:paraId="3FFCD529">
      <w:pPr>
        <w:rPr>
          <w:rFonts w:ascii="宋体" w:hAnsi="宋体" w:cs="宋体"/>
          <w:color w:val="000000" w:themeColor="text1"/>
          <w14:textFill>
            <w14:solidFill>
              <w14:schemeClr w14:val="tx1"/>
            </w14:solidFill>
          </w14:textFill>
        </w:rPr>
      </w:pPr>
    </w:p>
    <w:p w14:paraId="6609A541">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63" w:name="_Toc9143"/>
      <w:bookmarkStart w:id="164" w:name="_Toc27648"/>
      <w:r>
        <w:rPr>
          <w:rFonts w:hint="default" w:ascii="宋体" w:hAnsi="宋体" w:eastAsia="宋体" w:cs="宋体"/>
          <w:b/>
          <w:color w:val="000000" w:themeColor="text1"/>
          <w:sz w:val="21"/>
          <w:szCs w:val="21"/>
          <w:lang w:val="en-US" w:eastAsia="zh-CN" w:bidi="ar-SA"/>
          <w14:textFill>
            <w14:solidFill>
              <w14:schemeClr w14:val="tx1"/>
            </w14:solidFill>
          </w14:textFill>
        </w:rPr>
        <w:t>20.</w:t>
      </w:r>
      <w:r>
        <w:rPr>
          <w:rFonts w:hint="eastAsia" w:ascii="宋体" w:hAnsi="宋体" w:cs="宋体"/>
          <w:color w:val="000000" w:themeColor="text1"/>
          <w:sz w:val="21"/>
          <w:szCs w:val="21"/>
          <w14:textFill>
            <w14:solidFill>
              <w14:schemeClr w14:val="tx1"/>
            </w14:solidFill>
          </w14:textFill>
        </w:rPr>
        <w:t>投标样品（如需提交）</w:t>
      </w:r>
      <w:bookmarkEnd w:id="163"/>
      <w:bookmarkEnd w:id="164"/>
    </w:p>
    <w:p w14:paraId="209E7D80">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20.1.</w:t>
      </w:r>
      <w:r>
        <w:rPr>
          <w:rFonts w:hint="eastAsia" w:ascii="宋体" w:hAnsi="宋体" w:cs="宋体"/>
          <w:color w:val="000000" w:themeColor="text1"/>
          <w:szCs w:val="21"/>
          <w14:textFill>
            <w14:solidFill>
              <w14:schemeClr w14:val="tx1"/>
            </w14:solidFill>
          </w14:textFill>
        </w:rPr>
        <w:t>如有必要，采购代理机构可以要求投标人提供本服务项目涉及的部分设备或产品样品，投标人在投标时应提交《样品清单》。</w:t>
      </w:r>
    </w:p>
    <w:p w14:paraId="68E186C7">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20.2.</w:t>
      </w:r>
      <w:r>
        <w:rPr>
          <w:rFonts w:hint="eastAsia" w:ascii="宋体" w:hAnsi="宋体" w:cs="宋体"/>
          <w:color w:val="000000" w:themeColor="text1"/>
          <w:szCs w:val="21"/>
          <w14:textFill>
            <w14:solidFill>
              <w14:schemeClr w14:val="tx1"/>
            </w14:solidFill>
          </w14:textFill>
        </w:rPr>
        <w:t>为方便评标，投标人在提供样品时，应在所提供的样品表面显著位置标注投标人的名称、包号、样品名称、采购文件规定的服务或货物编号。</w:t>
      </w:r>
    </w:p>
    <w:p w14:paraId="5CB77527">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20.3.</w:t>
      </w:r>
      <w:r>
        <w:rPr>
          <w:rFonts w:hint="eastAsia" w:ascii="宋体" w:hAnsi="宋体" w:cs="宋体"/>
          <w:color w:val="000000" w:themeColor="text1"/>
          <w:szCs w:val="21"/>
          <w14:textFill>
            <w14:solidFill>
              <w14:schemeClr w14:val="tx1"/>
            </w14:solidFill>
          </w14:textFill>
        </w:rPr>
        <w:t>样品作为投标文件的一部分，除非另有说明，中标单位的样品将作为履约验收标准的参考不再退还，未中标单位须在中标公告发布后五个工作日内，前往采购代理机构领取投标样品，逾期不领，采购代理机构将不承担样品的保管责任，由此引发的样品丢失、毁损，采购代理机构不予负责。</w:t>
      </w:r>
    </w:p>
    <w:p w14:paraId="79CF4B4F">
      <w:pPr>
        <w:rPr>
          <w:rFonts w:ascii="宋体" w:hAnsi="宋体" w:cs="宋体"/>
          <w:color w:val="000000" w:themeColor="text1"/>
          <w14:textFill>
            <w14:solidFill>
              <w14:schemeClr w14:val="tx1"/>
            </w14:solidFill>
          </w14:textFill>
        </w:rPr>
      </w:pPr>
    </w:p>
    <w:p w14:paraId="1C76FC46">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65" w:name="_Toc1712"/>
      <w:bookmarkStart w:id="166" w:name="_Toc19279"/>
      <w:bookmarkStart w:id="167" w:name="_Toc303084265"/>
      <w:bookmarkStart w:id="168" w:name="_Toc9777"/>
      <w:bookmarkStart w:id="169" w:name="_Toc382049112"/>
      <w:r>
        <w:rPr>
          <w:rFonts w:hint="default" w:ascii="宋体" w:hAnsi="宋体" w:eastAsia="宋体" w:cs="宋体"/>
          <w:b/>
          <w:color w:val="000000" w:themeColor="text1"/>
          <w:sz w:val="21"/>
          <w:szCs w:val="21"/>
          <w:lang w:val="en-US" w:eastAsia="zh-CN" w:bidi="ar-SA"/>
          <w14:textFill>
            <w14:solidFill>
              <w14:schemeClr w14:val="tx1"/>
            </w14:solidFill>
          </w14:textFill>
        </w:rPr>
        <w:t>21.</w:t>
      </w:r>
      <w:r>
        <w:rPr>
          <w:rFonts w:hint="eastAsia" w:ascii="宋体" w:hAnsi="宋体" w:cs="宋体"/>
          <w:color w:val="000000" w:themeColor="text1"/>
          <w:sz w:val="21"/>
          <w:szCs w:val="21"/>
          <w14:textFill>
            <w14:solidFill>
              <w14:schemeClr w14:val="tx1"/>
            </w14:solidFill>
          </w14:textFill>
        </w:rPr>
        <w:t>投标截止期</w:t>
      </w:r>
      <w:bookmarkEnd w:id="165"/>
      <w:bookmarkEnd w:id="166"/>
      <w:bookmarkEnd w:id="167"/>
      <w:bookmarkEnd w:id="168"/>
      <w:bookmarkEnd w:id="169"/>
    </w:p>
    <w:p w14:paraId="667E27F1">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21.1.</w:t>
      </w:r>
      <w:r>
        <w:rPr>
          <w:rFonts w:hint="eastAsia" w:ascii="宋体" w:hAnsi="宋体" w:cs="宋体"/>
          <w:color w:val="000000" w:themeColor="text1"/>
          <w:szCs w:val="21"/>
          <w14:textFill>
            <w14:solidFill>
              <w14:schemeClr w14:val="tx1"/>
            </w14:solidFill>
          </w14:textFill>
        </w:rPr>
        <w:t>投标人应在采购文件规定的截止日期和时间内，将投标文件送达到指定地点。</w:t>
      </w:r>
    </w:p>
    <w:p w14:paraId="1E4C74D4">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21.2.</w:t>
      </w:r>
      <w:r>
        <w:rPr>
          <w:rFonts w:hint="eastAsia" w:ascii="宋体" w:hAnsi="宋体" w:cs="宋体"/>
          <w:color w:val="000000" w:themeColor="text1"/>
          <w:szCs w:val="21"/>
          <w14:textFill>
            <w14:solidFill>
              <w14:schemeClr w14:val="tx1"/>
            </w14:solidFill>
          </w14:textFill>
        </w:rPr>
        <w:t>采购代理机构可按本须知规定以澄清或修改通知的方式，酌情延长递交投标文件的截止时间。在此情况下，投标人的所有权利和义务以及投标人受制约的截止时间，均以延长后新的投标截止时间为准。</w:t>
      </w:r>
    </w:p>
    <w:p w14:paraId="56394A9C">
      <w:pPr>
        <w:rPr>
          <w:rFonts w:ascii="宋体" w:hAnsi="宋体" w:cs="宋体"/>
          <w:color w:val="000000" w:themeColor="text1"/>
          <w14:textFill>
            <w14:solidFill>
              <w14:schemeClr w14:val="tx1"/>
            </w14:solidFill>
          </w14:textFill>
        </w:rPr>
      </w:pPr>
    </w:p>
    <w:p w14:paraId="025FCC55">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70" w:name="_Toc31417"/>
      <w:bookmarkStart w:id="171" w:name="_Toc12809"/>
      <w:r>
        <w:rPr>
          <w:rFonts w:hint="default" w:ascii="宋体" w:hAnsi="宋体" w:eastAsia="宋体" w:cs="宋体"/>
          <w:b/>
          <w:color w:val="000000" w:themeColor="text1"/>
          <w:sz w:val="21"/>
          <w:szCs w:val="21"/>
          <w:lang w:val="en-US" w:eastAsia="zh-CN" w:bidi="ar-SA"/>
          <w14:textFill>
            <w14:solidFill>
              <w14:schemeClr w14:val="tx1"/>
            </w14:solidFill>
          </w14:textFill>
        </w:rPr>
        <w:t>22.</w:t>
      </w:r>
      <w:r>
        <w:rPr>
          <w:rFonts w:hint="eastAsia" w:ascii="宋体" w:hAnsi="宋体" w:cs="宋体"/>
          <w:color w:val="000000" w:themeColor="text1"/>
          <w:sz w:val="21"/>
          <w:szCs w:val="21"/>
          <w14:textFill>
            <w14:solidFill>
              <w14:schemeClr w14:val="tx1"/>
            </w14:solidFill>
          </w14:textFill>
        </w:rPr>
        <w:t>投标文件的补充、修改与撤回</w:t>
      </w:r>
      <w:bookmarkEnd w:id="170"/>
      <w:bookmarkEnd w:id="171"/>
    </w:p>
    <w:p w14:paraId="372C77FB">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22.1.</w:t>
      </w:r>
      <w:r>
        <w:rPr>
          <w:rFonts w:hint="eastAsia" w:ascii="宋体" w:hAnsi="宋体" w:cs="宋体"/>
          <w:color w:val="000000" w:themeColor="text1"/>
          <w:szCs w:val="21"/>
          <w14:textFill>
            <w14:solidFill>
              <w14:schemeClr w14:val="tx1"/>
            </w14:solidFill>
          </w14:textFill>
        </w:rPr>
        <w:t>投标人在提交投标文件截止时间前，可以对所提交的投标文件进行补充、修改或撤回，并以纸质版形式通知采购代理机构。在提交投标文件截止时间之后，投标人不得对其投标文件做出任何的补充和修改。</w:t>
      </w:r>
    </w:p>
    <w:p w14:paraId="2B20FE82">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22.2.</w:t>
      </w:r>
      <w:r>
        <w:rPr>
          <w:rFonts w:hint="eastAsia" w:ascii="宋体" w:hAnsi="宋体" w:cs="宋体"/>
          <w:color w:val="000000" w:themeColor="text1"/>
          <w:szCs w:val="21"/>
          <w14:textFill>
            <w14:solidFill>
              <w14:schemeClr w14:val="tx1"/>
            </w14:solidFill>
          </w14:textFill>
        </w:rPr>
        <w:t>投标人对投标文件的补充、修改的内容应当按采购文件要求的签署、盖章、密封后，作为投标文件的组成部分。并按照采购文件规定密封和标记的要求提交，并在投标文件密封袋上标明“补充、修改”字样。</w:t>
      </w:r>
    </w:p>
    <w:p w14:paraId="30624AEB">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22.3.</w:t>
      </w:r>
      <w:r>
        <w:rPr>
          <w:rFonts w:hint="eastAsia" w:ascii="宋体" w:hAnsi="宋体" w:cs="宋体"/>
          <w:color w:val="000000" w:themeColor="text1"/>
          <w:szCs w:val="21"/>
          <w14:textFill>
            <w14:solidFill>
              <w14:schemeClr w14:val="tx1"/>
            </w14:solidFill>
          </w14:textFill>
        </w:rPr>
        <w:t>投标文件一经递交不予退还。</w:t>
      </w:r>
    </w:p>
    <w:p w14:paraId="39378F04">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22.4.</w:t>
      </w:r>
      <w:r>
        <w:rPr>
          <w:rFonts w:hint="eastAsia" w:ascii="宋体" w:hAnsi="宋体" w:cs="宋体"/>
          <w:color w:val="000000" w:themeColor="text1"/>
          <w:szCs w:val="21"/>
          <w14:textFill>
            <w14:solidFill>
              <w14:schemeClr w14:val="tx1"/>
            </w14:solidFill>
          </w14:textFill>
        </w:rPr>
        <w:t>在提交投标文件截止时间至投标有效期满之前，投标人不得撤回其投标，否则其投标保证金将不予退还。</w:t>
      </w:r>
    </w:p>
    <w:p w14:paraId="30D2D4E6">
      <w:pPr>
        <w:pStyle w:val="11"/>
        <w:rPr>
          <w:color w:val="000000" w:themeColor="text1"/>
          <w14:textFill>
            <w14:solidFill>
              <w14:schemeClr w14:val="tx1"/>
            </w14:solidFill>
          </w14:textFill>
        </w:rPr>
      </w:pPr>
    </w:p>
    <w:p w14:paraId="0CD847C2">
      <w:pPr>
        <w:pStyle w:val="4"/>
        <w:numPr>
          <w:ilvl w:val="0"/>
          <w:numId w:val="2"/>
        </w:numPr>
        <w:spacing w:before="0" w:after="0" w:line="360" w:lineRule="auto"/>
        <w:jc w:val="center"/>
        <w:rPr>
          <w:rFonts w:ascii="宋体" w:hAnsi="宋体" w:cs="宋体"/>
          <w:color w:val="000000" w:themeColor="text1"/>
          <w14:textFill>
            <w14:solidFill>
              <w14:schemeClr w14:val="tx1"/>
            </w14:solidFill>
          </w14:textFill>
        </w:rPr>
      </w:pPr>
      <w:bookmarkStart w:id="172" w:name="_Toc20116"/>
      <w:bookmarkStart w:id="173" w:name="_Toc7410"/>
      <w:bookmarkStart w:id="174" w:name="_Toc10019"/>
      <w:r>
        <w:rPr>
          <w:rFonts w:hint="eastAsia" w:ascii="宋体" w:hAnsi="宋体" w:cs="宋体"/>
          <w:color w:val="000000" w:themeColor="text1"/>
          <w14:textFill>
            <w14:solidFill>
              <w14:schemeClr w14:val="tx1"/>
            </w14:solidFill>
          </w14:textFill>
        </w:rPr>
        <w:t>开标与评标</w:t>
      </w:r>
      <w:bookmarkEnd w:id="172"/>
      <w:bookmarkEnd w:id="173"/>
      <w:bookmarkEnd w:id="174"/>
    </w:p>
    <w:p w14:paraId="50186682">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75" w:name="_Toc10940"/>
      <w:bookmarkStart w:id="176" w:name="_Toc31671"/>
      <w:r>
        <w:rPr>
          <w:rFonts w:hint="default" w:ascii="宋体" w:hAnsi="宋体" w:eastAsia="宋体" w:cs="宋体"/>
          <w:b/>
          <w:color w:val="000000" w:themeColor="text1"/>
          <w:sz w:val="21"/>
          <w:szCs w:val="21"/>
          <w:lang w:val="en-US" w:eastAsia="zh-CN" w:bidi="ar-SA"/>
          <w14:textFill>
            <w14:solidFill>
              <w14:schemeClr w14:val="tx1"/>
            </w14:solidFill>
          </w14:textFill>
        </w:rPr>
        <w:t>23.</w:t>
      </w:r>
      <w:r>
        <w:rPr>
          <w:rFonts w:hint="eastAsia" w:ascii="宋体" w:hAnsi="宋体" w:cs="宋体"/>
          <w:color w:val="000000" w:themeColor="text1"/>
          <w:sz w:val="21"/>
          <w:szCs w:val="21"/>
          <w14:textFill>
            <w14:solidFill>
              <w14:schemeClr w14:val="tx1"/>
            </w14:solidFill>
          </w14:textFill>
        </w:rPr>
        <w:t>开标</w:t>
      </w:r>
      <w:bookmarkEnd w:id="175"/>
      <w:bookmarkEnd w:id="176"/>
    </w:p>
    <w:p w14:paraId="38F87DD2">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23.1.</w:t>
      </w:r>
      <w:r>
        <w:rPr>
          <w:rFonts w:hint="eastAsia" w:ascii="宋体" w:hAnsi="宋体" w:cs="宋体"/>
          <w:color w:val="000000" w:themeColor="text1"/>
          <w:szCs w:val="21"/>
          <w14:textFill>
            <w14:solidFill>
              <w14:schemeClr w14:val="tx1"/>
            </w14:solidFill>
          </w14:textFill>
        </w:rPr>
        <w:t>采购代理机构按本采购文件所规定的时间和地点公开开标，并邀请所有投标人代表参加。</w:t>
      </w:r>
    </w:p>
    <w:p w14:paraId="43550C8B">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23.2.</w:t>
      </w:r>
      <w:r>
        <w:rPr>
          <w:rFonts w:hint="eastAsia" w:ascii="宋体" w:hAnsi="宋体" w:cs="宋体"/>
          <w:color w:val="000000" w:themeColor="text1"/>
          <w:szCs w:val="21"/>
          <w14:textFill>
            <w14:solidFill>
              <w14:schemeClr w14:val="tx1"/>
            </w14:solidFill>
          </w14:textFill>
        </w:rPr>
        <w:t>开标程序：</w:t>
      </w:r>
    </w:p>
    <w:p w14:paraId="0981E2B6">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23.3.</w:t>
      </w:r>
      <w:r>
        <w:rPr>
          <w:rFonts w:hint="eastAsia" w:ascii="宋体" w:hAnsi="宋体" w:cs="宋体"/>
          <w:color w:val="000000" w:themeColor="text1"/>
          <w:szCs w:val="21"/>
          <w14:textFill>
            <w14:solidFill>
              <w14:schemeClr w14:val="tx1"/>
            </w14:solidFill>
          </w14:textFill>
        </w:rPr>
        <w:t>开标会由采购代理机构主持，投标人的法定代表人或其授权代表携带有效身份证明准时参加开标会并签名报到。</w:t>
      </w:r>
    </w:p>
    <w:p w14:paraId="36410BD1">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23.4.</w:t>
      </w:r>
      <w:r>
        <w:rPr>
          <w:rFonts w:hint="eastAsia" w:ascii="宋体" w:hAnsi="宋体" w:cs="宋体"/>
          <w:color w:val="000000" w:themeColor="text1"/>
          <w:szCs w:val="21"/>
          <w14:textFill>
            <w14:solidFill>
              <w14:schemeClr w14:val="tx1"/>
            </w14:solidFill>
          </w14:textFill>
        </w:rPr>
        <w:t>开标时，由投标人或者其推选的代表检查投标文件的密封情况；经确认无误后，由采购人或者采购代理机构工作人员当众拆封，宣布投标人名称、投标价格和采购文件规定的需要宣布的其他内容；</w:t>
      </w:r>
    </w:p>
    <w:p w14:paraId="653A62B2">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23.5.</w:t>
      </w:r>
      <w:r>
        <w:rPr>
          <w:rFonts w:hint="eastAsia" w:ascii="宋体" w:hAnsi="宋体" w:cs="宋体"/>
          <w:color w:val="000000" w:themeColor="text1"/>
          <w:szCs w:val="21"/>
          <w14:textFill>
            <w14:solidFill>
              <w14:schemeClr w14:val="tx1"/>
            </w14:solidFill>
          </w14:textFill>
        </w:rPr>
        <w:t>投标人代表对开标过程和开标记录有异议，以及认为采购人、采购代理机构相关工作人员有需要回避的情形的，应当场提出询问或者回避申请。开标现场未提出异议的视为认同开标结果。开标结束后，投标人对开标过程和开标记录不得再提出异议。</w:t>
      </w:r>
    </w:p>
    <w:p w14:paraId="31D18166">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23.6.</w:t>
      </w:r>
      <w:r>
        <w:rPr>
          <w:rFonts w:hint="eastAsia" w:ascii="宋体" w:hAnsi="宋体" w:cs="宋体"/>
          <w:color w:val="000000" w:themeColor="text1"/>
          <w:szCs w:val="21"/>
          <w14:textFill>
            <w14:solidFill>
              <w14:schemeClr w14:val="tx1"/>
            </w14:solidFill>
          </w14:textFill>
        </w:rPr>
        <w:t>投标人未参加开标的，视同认可开标结果。</w:t>
      </w:r>
    </w:p>
    <w:p w14:paraId="31AFD179">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23.7.</w:t>
      </w:r>
      <w:r>
        <w:rPr>
          <w:rFonts w:hint="eastAsia" w:ascii="宋体" w:hAnsi="宋体" w:cs="宋体"/>
          <w:color w:val="000000" w:themeColor="text1"/>
          <w:szCs w:val="21"/>
          <w14:textFill>
            <w14:solidFill>
              <w14:schemeClr w14:val="tx1"/>
            </w14:solidFill>
          </w14:textFill>
        </w:rPr>
        <w:t>合格投标人不足3家的，不得开标；</w:t>
      </w:r>
    </w:p>
    <w:p w14:paraId="02BE0383">
      <w:pPr>
        <w:widowControl w:val="0"/>
        <w:numPr>
          <w:ilvl w:val="1"/>
          <w:numId w:val="0"/>
        </w:numPr>
        <w:overflowPunct w:val="0"/>
        <w:ind w:left="567" w:leftChars="0" w:hanging="567" w:firstLineChars="0"/>
        <w:rPr>
          <w:rFonts w:ascii="宋体" w:hAnsi="宋体" w:cs="宋体"/>
          <w:color w:val="000000" w:themeColor="text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23.8.</w:t>
      </w:r>
      <w:r>
        <w:rPr>
          <w:rFonts w:hint="eastAsia" w:ascii="宋体" w:hAnsi="宋体" w:cs="宋体"/>
          <w:color w:val="000000" w:themeColor="text1"/>
          <w:szCs w:val="21"/>
          <w14:textFill>
            <w14:solidFill>
              <w14:schemeClr w14:val="tx1"/>
            </w14:solidFill>
          </w14:textFill>
        </w:rPr>
        <w:t>开标过程应当由采购人或者采购代理机构负责记录，由参加开标的各投标人代表和相关工作人员签字确认。</w:t>
      </w:r>
    </w:p>
    <w:p w14:paraId="7B3371E5">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77" w:name="_Toc3528"/>
      <w:bookmarkStart w:id="178" w:name="_Toc21789"/>
      <w:r>
        <w:rPr>
          <w:rFonts w:hint="default" w:ascii="宋体" w:hAnsi="宋体" w:eastAsia="宋体" w:cs="宋体"/>
          <w:b/>
          <w:color w:val="000000" w:themeColor="text1"/>
          <w:sz w:val="21"/>
          <w:szCs w:val="21"/>
          <w:lang w:val="en-US" w:eastAsia="zh-CN" w:bidi="ar-SA"/>
          <w14:textFill>
            <w14:solidFill>
              <w14:schemeClr w14:val="tx1"/>
            </w14:solidFill>
          </w14:textFill>
        </w:rPr>
        <w:t>24.</w:t>
      </w:r>
      <w:r>
        <w:rPr>
          <w:rFonts w:hint="eastAsia" w:ascii="宋体" w:hAnsi="宋体" w:cs="宋体"/>
          <w:color w:val="000000" w:themeColor="text1"/>
          <w:sz w:val="21"/>
          <w:szCs w:val="21"/>
          <w14:textFill>
            <w14:solidFill>
              <w14:schemeClr w14:val="tx1"/>
            </w14:solidFill>
          </w14:textFill>
        </w:rPr>
        <w:t>评标委员会及评标方法</w:t>
      </w:r>
      <w:bookmarkEnd w:id="177"/>
      <w:bookmarkEnd w:id="178"/>
    </w:p>
    <w:p w14:paraId="2EF17689">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24.1.</w:t>
      </w:r>
      <w:r>
        <w:rPr>
          <w:rFonts w:hint="eastAsia" w:ascii="宋体" w:hAnsi="宋体" w:cs="宋体"/>
          <w:color w:val="000000" w:themeColor="text1"/>
          <w:szCs w:val="21"/>
          <w14:textFill>
            <w14:solidFill>
              <w14:schemeClr w14:val="tx1"/>
            </w14:solidFill>
          </w14:textFill>
        </w:rPr>
        <w:t>依法组成评标委员会，评标委员会由采购人和有关技术、经济等方面的专家组成，成员人数为五人或五人以上单数，其中技术、经济等方面的专家不少于成员总数的三分之二，并负责评标工作。</w:t>
      </w:r>
    </w:p>
    <w:p w14:paraId="6522AE2C">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24.2.</w:t>
      </w:r>
      <w:r>
        <w:rPr>
          <w:rFonts w:hint="eastAsia" w:ascii="宋体" w:hAnsi="宋体" w:cs="宋体"/>
          <w:color w:val="000000" w:themeColor="text1"/>
          <w:szCs w:val="21"/>
          <w14:textFill>
            <w14:solidFill>
              <w14:schemeClr w14:val="tx1"/>
            </w14:solidFill>
          </w14:textFill>
        </w:rPr>
        <w:t>评审方法：本次采购的评审方法采用综合评分法。</w:t>
      </w:r>
    </w:p>
    <w:p w14:paraId="2786E96D">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24.3.</w:t>
      </w:r>
      <w:r>
        <w:rPr>
          <w:rFonts w:hint="eastAsia" w:ascii="宋体" w:hAnsi="宋体" w:cs="宋体"/>
          <w:color w:val="000000" w:themeColor="text1"/>
          <w:szCs w:val="21"/>
          <w14:textFill>
            <w14:solidFill>
              <w14:schemeClr w14:val="tx1"/>
            </w14:solidFill>
          </w14:textFill>
        </w:rPr>
        <w:t>定标原则：在最大限度满足采购文件实质性要求前提下，按照采购文件规定的各项评价因素进行量化打分，以评标总得分最高的投标人作为中标候选人或中标人。</w:t>
      </w:r>
    </w:p>
    <w:p w14:paraId="3BE70029">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24.4.</w:t>
      </w:r>
      <w:r>
        <w:rPr>
          <w:rFonts w:hint="eastAsia" w:ascii="宋体" w:hAnsi="宋体" w:cs="宋体"/>
          <w:color w:val="000000" w:themeColor="text1"/>
          <w:szCs w:val="21"/>
          <w14:textFill>
            <w14:solidFill>
              <w14:schemeClr w14:val="tx1"/>
            </w14:solidFill>
          </w14:textFill>
        </w:rPr>
        <w:t>评标委员会对投标文件的评审内容，分为商务评议、技术评议和价格评议。评审流程包括符合性检查、澄清问题、比较与评价、推荐中标候选人或确定中标人、编写评标报告等步骤。</w:t>
      </w:r>
    </w:p>
    <w:p w14:paraId="23E5F3BB">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24.5.</w:t>
      </w:r>
      <w:r>
        <w:rPr>
          <w:rFonts w:hint="eastAsia" w:ascii="宋体" w:hAnsi="宋体" w:cs="宋体"/>
          <w:color w:val="000000" w:themeColor="text1"/>
          <w:szCs w:val="21"/>
          <w14:textFill>
            <w14:solidFill>
              <w14:schemeClr w14:val="tx1"/>
            </w14:solidFill>
          </w14:textFill>
        </w:rPr>
        <w:t>在评标期间，评标委员会可要求投标人对其投标文件进行澄清，但不得寻求、提供或允许对投标价格等实质性内容做任何更改。有关澄清的要求和答复均应以纸质版形式提交，如投标人拒绝评标委员会要求对其投标文件进行澄清的要求，所造成的后果由投标人自行承担。</w:t>
      </w:r>
    </w:p>
    <w:p w14:paraId="4357DC41">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24.6.</w:t>
      </w:r>
      <w:r>
        <w:rPr>
          <w:rFonts w:hint="eastAsia" w:ascii="宋体" w:hAnsi="宋体" w:cs="宋体"/>
          <w:color w:val="000000" w:themeColor="text1"/>
          <w:szCs w:val="21"/>
          <w14:textFill>
            <w14:solidFill>
              <w14:schemeClr w14:val="tx1"/>
            </w14:solidFill>
          </w14:textFill>
        </w:rPr>
        <w:t>评标委员会和采购人在评审过程中有权核对投标文件中相关材料的原件，投标人在接到通知后应在评标委员会规定的时间内提交原件核查。</w:t>
      </w:r>
    </w:p>
    <w:p w14:paraId="548E2656">
      <w:pPr>
        <w:rPr>
          <w:rFonts w:ascii="宋体" w:hAnsi="宋体" w:cs="宋体"/>
          <w:color w:val="000000" w:themeColor="text1"/>
          <w14:textFill>
            <w14:solidFill>
              <w14:schemeClr w14:val="tx1"/>
            </w14:solidFill>
          </w14:textFill>
        </w:rPr>
      </w:pPr>
    </w:p>
    <w:p w14:paraId="7FC8EE17">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79" w:name="_Toc4198"/>
      <w:bookmarkStart w:id="180" w:name="_Toc23772"/>
      <w:r>
        <w:rPr>
          <w:rFonts w:hint="default" w:ascii="宋体" w:hAnsi="宋体" w:eastAsia="宋体" w:cs="宋体"/>
          <w:b/>
          <w:color w:val="000000" w:themeColor="text1"/>
          <w:sz w:val="21"/>
          <w:szCs w:val="21"/>
          <w:lang w:val="en-US" w:eastAsia="zh-CN" w:bidi="ar-SA"/>
          <w14:textFill>
            <w14:solidFill>
              <w14:schemeClr w14:val="tx1"/>
            </w14:solidFill>
          </w14:textFill>
        </w:rPr>
        <w:t>25.</w:t>
      </w:r>
      <w:r>
        <w:rPr>
          <w:rFonts w:hint="eastAsia" w:ascii="宋体" w:hAnsi="宋体" w:cs="宋体"/>
          <w:color w:val="000000" w:themeColor="text1"/>
          <w:sz w:val="21"/>
          <w:szCs w:val="21"/>
          <w14:textFill>
            <w14:solidFill>
              <w14:schemeClr w14:val="tx1"/>
            </w14:solidFill>
          </w14:textFill>
        </w:rPr>
        <w:t>评审原则及评标过程的保密</w:t>
      </w:r>
      <w:bookmarkEnd w:id="179"/>
      <w:bookmarkEnd w:id="180"/>
    </w:p>
    <w:p w14:paraId="5A34060F">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25.1.</w:t>
      </w:r>
      <w:r>
        <w:rPr>
          <w:rFonts w:hint="eastAsia" w:ascii="宋体" w:hAnsi="宋体" w:cs="宋体"/>
          <w:color w:val="000000" w:themeColor="text1"/>
          <w:szCs w:val="21"/>
          <w14:textFill>
            <w14:solidFill>
              <w14:schemeClr w14:val="tx1"/>
            </w14:solidFill>
          </w14:textFill>
        </w:rPr>
        <w:t>评审的基本原则：评标委员会将依据采购文件的规定，遵循“公开、公平、公正、择优、信用”的原则进行评审工作。</w:t>
      </w:r>
    </w:p>
    <w:p w14:paraId="54E32853">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25.2.</w:t>
      </w:r>
      <w:r>
        <w:rPr>
          <w:rFonts w:hint="eastAsia" w:ascii="宋体" w:hAnsi="宋体" w:cs="宋体"/>
          <w:color w:val="000000" w:themeColor="text1"/>
          <w:szCs w:val="21"/>
          <w14:textFill>
            <w14:solidFill>
              <w14:schemeClr w14:val="tx1"/>
            </w14:solidFill>
          </w14:textFill>
        </w:rPr>
        <w:t>从公开开标到签订合同，凡与审查、澄清、评审和投标有关的资料以及定标意见相关的事项，均不得向投标人及与评标无关的其他人透露。</w:t>
      </w:r>
    </w:p>
    <w:p w14:paraId="20CBB86A">
      <w:pPr>
        <w:widowControl w:val="0"/>
        <w:numPr>
          <w:ilvl w:val="1"/>
          <w:numId w:val="0"/>
        </w:numPr>
        <w:overflowPunct w:val="0"/>
        <w:ind w:left="567" w:leftChars="0" w:hanging="567" w:firstLineChars="0"/>
        <w:rPr>
          <w:rFonts w:ascii="宋体" w:hAnsi="宋体" w:cs="宋体"/>
          <w:color w:val="000000" w:themeColor="text1"/>
          <w:szCs w:val="21"/>
          <w:highlight w:val="none"/>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25.3.</w:t>
      </w:r>
      <w:r>
        <w:rPr>
          <w:rFonts w:hint="eastAsia" w:ascii="宋体" w:hAnsi="宋体" w:cs="宋体"/>
          <w:color w:val="000000" w:themeColor="text1"/>
          <w:szCs w:val="21"/>
          <w:highlight w:val="none"/>
          <w14:textFill>
            <w14:solidFill>
              <w14:schemeClr w14:val="tx1"/>
            </w14:solidFill>
          </w14:textFill>
        </w:rPr>
        <w:t>任何单位和个人不得非法干预、影响评标的过程和结果。</w:t>
      </w:r>
    </w:p>
    <w:p w14:paraId="6D80B58F">
      <w:pPr>
        <w:rPr>
          <w:rFonts w:ascii="宋体" w:hAnsi="宋体" w:cs="宋体"/>
          <w:color w:val="000000" w:themeColor="text1"/>
          <w:highlight w:val="none"/>
          <w14:textFill>
            <w14:solidFill>
              <w14:schemeClr w14:val="tx1"/>
            </w14:solidFill>
          </w14:textFill>
        </w:rPr>
      </w:pPr>
    </w:p>
    <w:p w14:paraId="70B5D34B">
      <w:pPr>
        <w:pStyle w:val="5"/>
        <w:widowControl w:val="0"/>
        <w:numPr>
          <w:ilvl w:val="0"/>
          <w:numId w:val="0"/>
        </w:numPr>
        <w:overflowPunct w:val="0"/>
        <w:ind w:left="425" w:leftChars="0" w:hanging="425" w:firstLineChars="0"/>
        <w:rPr>
          <w:rFonts w:ascii="宋体" w:hAnsi="宋体" w:cs="宋体"/>
          <w:color w:val="000000" w:themeColor="text1"/>
          <w:sz w:val="21"/>
          <w:szCs w:val="21"/>
          <w:highlight w:val="none"/>
          <w14:textFill>
            <w14:solidFill>
              <w14:schemeClr w14:val="tx1"/>
            </w14:solidFill>
          </w14:textFill>
        </w:rPr>
      </w:pPr>
      <w:bookmarkStart w:id="181" w:name="_Toc9899"/>
      <w:r>
        <w:rPr>
          <w:rFonts w:hint="default" w:ascii="宋体" w:hAnsi="宋体" w:eastAsia="宋体" w:cs="宋体"/>
          <w:b/>
          <w:color w:val="000000" w:themeColor="text1"/>
          <w:sz w:val="21"/>
          <w:szCs w:val="21"/>
          <w:lang w:val="en-US" w:eastAsia="zh-CN" w:bidi="ar-SA"/>
          <w14:textFill>
            <w14:solidFill>
              <w14:schemeClr w14:val="tx1"/>
            </w14:solidFill>
          </w14:textFill>
        </w:rPr>
        <w:t>26.</w:t>
      </w:r>
      <w:r>
        <w:rPr>
          <w:rFonts w:hint="eastAsia" w:ascii="宋体" w:hAnsi="宋体" w:cs="宋体"/>
          <w:color w:val="000000" w:themeColor="text1"/>
          <w:sz w:val="21"/>
          <w:szCs w:val="21"/>
          <w:highlight w:val="none"/>
          <w14:textFill>
            <w14:solidFill>
              <w14:schemeClr w14:val="tx1"/>
            </w14:solidFill>
          </w14:textFill>
        </w:rPr>
        <w:t>评标程序</w:t>
      </w:r>
      <w:bookmarkEnd w:id="181"/>
    </w:p>
    <w:p w14:paraId="09C54704">
      <w:pPr>
        <w:widowControl w:val="0"/>
        <w:numPr>
          <w:ilvl w:val="1"/>
          <w:numId w:val="0"/>
        </w:numPr>
        <w:overflowPunct w:val="0"/>
        <w:ind w:left="567" w:leftChars="0" w:hanging="567" w:firstLineChars="0"/>
        <w:rPr>
          <w:rFonts w:ascii="宋体" w:hAnsi="宋体" w:cs="宋体"/>
          <w:b/>
          <w:bCs/>
          <w:color w:val="000000" w:themeColor="text1"/>
          <w:szCs w:val="21"/>
          <w:highlight w:val="none"/>
          <w14:textFill>
            <w14:solidFill>
              <w14:schemeClr w14:val="tx1"/>
            </w14:solidFill>
          </w14:textFill>
        </w:rPr>
      </w:pPr>
      <w:r>
        <w:rPr>
          <w:rFonts w:hint="default" w:ascii="宋体" w:hAnsi="宋体" w:eastAsia="宋体" w:cs="宋体"/>
          <w:b/>
          <w:bCs/>
          <w:color w:val="000000" w:themeColor="text1"/>
          <w:sz w:val="21"/>
          <w:szCs w:val="21"/>
          <w:lang w:val="en-US" w:eastAsia="zh-CN" w:bidi="ar-SA"/>
          <w14:textFill>
            <w14:solidFill>
              <w14:schemeClr w14:val="tx1"/>
            </w14:solidFill>
          </w14:textFill>
        </w:rPr>
        <w:t>26.1.</w:t>
      </w:r>
      <w:r>
        <w:rPr>
          <w:rFonts w:hint="eastAsia" w:ascii="宋体" w:hAnsi="宋体" w:cs="宋体"/>
          <w:b/>
          <w:bCs/>
          <w:color w:val="000000" w:themeColor="text1"/>
          <w:szCs w:val="21"/>
          <w:highlight w:val="none"/>
          <w14:textFill>
            <w14:solidFill>
              <w14:schemeClr w14:val="tx1"/>
            </w14:solidFill>
          </w14:textFill>
        </w:rPr>
        <w:t>资格性、符合性审查</w:t>
      </w:r>
    </w:p>
    <w:p w14:paraId="2B236934">
      <w:pPr>
        <w:widowControl w:val="0"/>
        <w:overflowPunct w:val="0"/>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公开采购项目开标结束后，评标委员会根据《资格性、符合性审查表》将依法对投标人进行资格性、符合性审查。投标人必须严格按照《资格性、符合性审查表》的评审内容的要求如实提供证明材料并应加盖投标人公章，对缺漏或不符合项将直接导致无效投标。合格投标人不足3家的，不得评标。未通过资格性、符合性审查的投标人不进入</w:t>
      </w:r>
      <w:r>
        <w:rPr>
          <w:rFonts w:hint="eastAsia" w:hAnsi="宋体" w:cs="宋体"/>
          <w:color w:val="000000" w:themeColor="text1"/>
          <w:szCs w:val="21"/>
          <w:highlight w:val="none"/>
          <w14:textFill>
            <w14:solidFill>
              <w14:schemeClr w14:val="tx1"/>
            </w14:solidFill>
          </w14:textFill>
        </w:rPr>
        <w:t>评标阶段</w:t>
      </w:r>
      <w:r>
        <w:rPr>
          <w:rFonts w:hint="eastAsia" w:ascii="宋体" w:hAnsi="宋体" w:cs="宋体"/>
          <w:color w:val="000000" w:themeColor="text1"/>
          <w:szCs w:val="21"/>
          <w:highlight w:val="none"/>
          <w14:textFill>
            <w14:solidFill>
              <w14:schemeClr w14:val="tx1"/>
            </w14:solidFill>
          </w14:textFill>
        </w:rPr>
        <w:t>的评审。</w:t>
      </w:r>
    </w:p>
    <w:p w14:paraId="2B85F24D">
      <w:pPr>
        <w:jc w:val="center"/>
        <w:rPr>
          <w:b/>
          <w:bCs/>
          <w:color w:val="000000" w:themeColor="text1"/>
          <w:highlight w:val="none"/>
          <w14:textFill>
            <w14:solidFill>
              <w14:schemeClr w14:val="tx1"/>
            </w14:solidFill>
          </w14:textFill>
        </w:rPr>
      </w:pPr>
      <w:r>
        <w:rPr>
          <w:b/>
          <w:bCs/>
          <w:color w:val="000000" w:themeColor="text1"/>
          <w:highlight w:val="none"/>
          <w14:textFill>
            <w14:solidFill>
              <w14:schemeClr w14:val="tx1"/>
            </w14:solidFill>
          </w14:textFill>
        </w:rPr>
        <w:t>《资格性</w:t>
      </w:r>
      <w:r>
        <w:rPr>
          <w:rFonts w:hint="eastAsia"/>
          <w:b/>
          <w:bCs/>
          <w:color w:val="000000" w:themeColor="text1"/>
          <w:highlight w:val="none"/>
          <w14:textFill>
            <w14:solidFill>
              <w14:schemeClr w14:val="tx1"/>
            </w14:solidFill>
          </w14:textFill>
        </w:rPr>
        <w:t>、符合性</w:t>
      </w:r>
      <w:r>
        <w:rPr>
          <w:b/>
          <w:bCs/>
          <w:color w:val="000000" w:themeColor="text1"/>
          <w:highlight w:val="none"/>
          <w14:textFill>
            <w14:solidFill>
              <w14:schemeClr w14:val="tx1"/>
            </w14:solidFill>
          </w14:textFill>
        </w:rPr>
        <w:t>审查表》</w:t>
      </w: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7823"/>
      </w:tblGrid>
      <w:tr w14:paraId="5CA05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556DB3B3">
            <w:pPr>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序号</w:t>
            </w: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2CE75837">
            <w:pPr>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评 审 内 容</w:t>
            </w:r>
          </w:p>
        </w:tc>
      </w:tr>
      <w:tr w14:paraId="0B2B5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restart"/>
            <w:tcBorders>
              <w:top w:val="single" w:color="auto" w:sz="4" w:space="0"/>
              <w:left w:val="single" w:color="auto" w:sz="4" w:space="0"/>
              <w:right w:val="single" w:color="auto" w:sz="4" w:space="0"/>
              <w:tl2br w:val="nil"/>
              <w:tr2bl w:val="nil"/>
            </w:tcBorders>
            <w:vAlign w:val="center"/>
          </w:tcPr>
          <w:p w14:paraId="27D58921">
            <w:pPr>
              <w:numPr>
                <w:ilvl w:val="0"/>
                <w:numId w:val="5"/>
              </w:numPr>
              <w:tabs>
                <w:tab w:val="left" w:pos="176"/>
                <w:tab w:val="left" w:pos="612"/>
              </w:tabs>
              <w:jc w:val="center"/>
              <w:rPr>
                <w:rFonts w:ascii="宋体" w:hAnsi="宋体" w:cs="宋体"/>
                <w:color w:val="000000" w:themeColor="text1"/>
                <w:szCs w:val="21"/>
                <w:highlight w:val="none"/>
                <w14:textFill>
                  <w14:solidFill>
                    <w14:schemeClr w14:val="tx1"/>
                  </w14:solidFill>
                </w14:textFill>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4DC00D56">
            <w:pPr>
              <w:tabs>
                <w:tab w:val="left" w:pos="612"/>
              </w:tabs>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olor w:val="000000" w:themeColor="text1"/>
                <w:szCs w:val="21"/>
                <w14:textFill>
                  <w14:solidFill>
                    <w14:schemeClr w14:val="tx1"/>
                  </w14:solidFill>
                </w14:textFill>
              </w:rPr>
              <w:t>投标人须为在中华人民共和国境内登记注册的具有独立承担民事责任能力的法人或其他组织【提供《营业执照》复印件（加盖公章）或《事业单位法人证书》复印件（加盖公章）或其他主体证书复印件（加盖公章）】</w:t>
            </w:r>
            <w:r>
              <w:rPr>
                <w:rFonts w:hint="eastAsia" w:ascii="宋体" w:hAnsi="宋体" w:cs="宋体"/>
                <w:color w:val="000000" w:themeColor="text1"/>
                <w:szCs w:val="21"/>
                <w:highlight w:val="none"/>
                <w14:textFill>
                  <w14:solidFill>
                    <w14:schemeClr w14:val="tx1"/>
                  </w14:solidFill>
                </w14:textFill>
              </w:rPr>
              <w:t>；</w:t>
            </w:r>
          </w:p>
        </w:tc>
      </w:tr>
      <w:tr w14:paraId="6E93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right w:val="single" w:color="auto" w:sz="4" w:space="0"/>
              <w:tl2br w:val="nil"/>
              <w:tr2bl w:val="nil"/>
            </w:tcBorders>
            <w:vAlign w:val="center"/>
          </w:tcPr>
          <w:p w14:paraId="33B44586">
            <w:pPr>
              <w:tabs>
                <w:tab w:val="left" w:pos="176"/>
                <w:tab w:val="left" w:pos="420"/>
                <w:tab w:val="left" w:pos="612"/>
              </w:tabs>
              <w:jc w:val="center"/>
              <w:rPr>
                <w:rFonts w:ascii="宋体" w:hAnsi="宋体" w:cs="宋体"/>
                <w:color w:val="000000" w:themeColor="text1"/>
                <w:szCs w:val="21"/>
                <w14:textFill>
                  <w14:solidFill>
                    <w14:schemeClr w14:val="tx1"/>
                  </w14:solidFill>
                </w14:textFill>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14F96308">
            <w:pPr>
              <w:tabs>
                <w:tab w:val="left" w:pos="612"/>
              </w:tabs>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参加采购活动前三年内，</w:t>
            </w:r>
            <w:r>
              <w:rPr>
                <w:rFonts w:hint="eastAsia" w:ascii="宋体" w:hAnsi="宋体"/>
                <w:color w:val="000000" w:themeColor="text1"/>
                <w:szCs w:val="21"/>
                <w:highlight w:val="none"/>
                <w14:textFill>
                  <w14:solidFill>
                    <w14:schemeClr w14:val="tx1"/>
                  </w14:solidFill>
                </w14:textFill>
              </w:rPr>
              <w:t>在经营活动中没有重大违法记录（须提供书面声明）。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有最新发文通知，按最新文件执行）</w:t>
            </w:r>
            <w:r>
              <w:rPr>
                <w:rFonts w:hint="eastAsia" w:ascii="宋体" w:hAnsi="宋体" w:cs="宋体"/>
                <w:color w:val="000000" w:themeColor="text1"/>
                <w:szCs w:val="21"/>
                <w14:textFill>
                  <w14:solidFill>
                    <w14:schemeClr w14:val="tx1"/>
                  </w14:solidFill>
                </w14:textFill>
              </w:rPr>
              <w:t>；</w:t>
            </w:r>
          </w:p>
        </w:tc>
      </w:tr>
      <w:tr w14:paraId="7510A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right w:val="single" w:color="auto" w:sz="4" w:space="0"/>
              <w:tl2br w:val="nil"/>
              <w:tr2bl w:val="nil"/>
            </w:tcBorders>
            <w:vAlign w:val="center"/>
          </w:tcPr>
          <w:p w14:paraId="5CF416A4">
            <w:pPr>
              <w:tabs>
                <w:tab w:val="left" w:pos="176"/>
                <w:tab w:val="left" w:pos="420"/>
                <w:tab w:val="left" w:pos="612"/>
              </w:tabs>
              <w:jc w:val="center"/>
              <w:rPr>
                <w:rFonts w:ascii="宋体" w:hAnsi="宋体" w:cs="宋体"/>
                <w:color w:val="000000" w:themeColor="text1"/>
                <w:szCs w:val="21"/>
                <w14:textFill>
                  <w14:solidFill>
                    <w14:schemeClr w14:val="tx1"/>
                  </w14:solidFill>
                </w14:textFill>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1C668DF7">
            <w:pPr>
              <w:tabs>
                <w:tab w:val="left" w:pos="612"/>
              </w:tabs>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投标人的单位负责人为同一人或者存在直接控股、管理关系的不同投标人，不得参加同一合同项下的采购活动</w:t>
            </w:r>
            <w:r>
              <w:rPr>
                <w:rFonts w:hint="eastAsia" w:ascii="宋体" w:hAnsi="宋体" w:cs="宋体"/>
                <w:color w:val="000000" w:themeColor="text1"/>
                <w:szCs w:val="21"/>
                <w14:textFill>
                  <w14:solidFill>
                    <w14:schemeClr w14:val="tx1"/>
                  </w14:solidFill>
                </w14:textFill>
              </w:rPr>
              <w:t>；</w:t>
            </w:r>
          </w:p>
        </w:tc>
      </w:tr>
      <w:tr w14:paraId="096A4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right w:val="single" w:color="auto" w:sz="4" w:space="0"/>
              <w:tl2br w:val="nil"/>
              <w:tr2bl w:val="nil"/>
            </w:tcBorders>
            <w:vAlign w:val="center"/>
          </w:tcPr>
          <w:p w14:paraId="3EA7767D">
            <w:pPr>
              <w:tabs>
                <w:tab w:val="left" w:pos="176"/>
                <w:tab w:val="left" w:pos="420"/>
                <w:tab w:val="left" w:pos="612"/>
              </w:tabs>
              <w:jc w:val="center"/>
              <w:rPr>
                <w:rFonts w:ascii="宋体" w:hAnsi="宋体" w:cs="宋体"/>
                <w:color w:val="000000" w:themeColor="text1"/>
                <w:szCs w:val="21"/>
                <w14:textFill>
                  <w14:solidFill>
                    <w14:schemeClr w14:val="tx1"/>
                  </w14:solidFill>
                </w14:textFill>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2A993F10">
            <w:pPr>
              <w:tabs>
                <w:tab w:val="left" w:pos="612"/>
              </w:tabs>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未被列入“信用中国”网站(www.creditchina.gov.cn )“失信被执行人或</w:t>
            </w:r>
            <w:r>
              <w:rPr>
                <w:rFonts w:hint="eastAsia"/>
                <w:color w:val="000000" w:themeColor="text1"/>
                <w:highlight w:val="none"/>
                <w14:textFill>
                  <w14:solidFill>
                    <w14:schemeClr w14:val="tx1"/>
                  </w14:solidFill>
                </w14:textFill>
              </w:rPr>
              <w:t>重大税收违法失信主体名单</w:t>
            </w:r>
            <w:r>
              <w:rPr>
                <w:rFonts w:hint="eastAsia" w:ascii="宋体" w:hAnsi="宋体"/>
                <w:color w:val="000000" w:themeColor="text1"/>
                <w:szCs w:val="21"/>
                <w:highlight w:val="none"/>
                <w14:textFill>
                  <w14:solidFill>
                    <w14:schemeClr w14:val="tx1"/>
                  </w14:solidFill>
                </w14:textFill>
              </w:rPr>
              <w:t>或政府采购严重违法失信行为记录名单”记录名单。以代理机构于投标截止日当天在“信用中国”网站查询结果为准，如相关失信记录已失效，投标人需提供相关证明资料。</w:t>
            </w:r>
            <w:r>
              <w:rPr>
                <w:rFonts w:hint="eastAsia" w:ascii="宋体" w:hAnsi="宋体" w:cs="宋体"/>
                <w:color w:val="000000" w:themeColor="text1"/>
                <w:szCs w:val="21"/>
                <w14:textFill>
                  <w14:solidFill>
                    <w14:schemeClr w14:val="tx1"/>
                  </w14:solidFill>
                </w14:textFill>
              </w:rPr>
              <w:t>；</w:t>
            </w:r>
          </w:p>
        </w:tc>
      </w:tr>
      <w:tr w14:paraId="0CD2D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right w:val="single" w:color="auto" w:sz="4" w:space="0"/>
              <w:tl2br w:val="nil"/>
              <w:tr2bl w:val="nil"/>
            </w:tcBorders>
            <w:vAlign w:val="center"/>
          </w:tcPr>
          <w:p w14:paraId="701BF98D">
            <w:pPr>
              <w:tabs>
                <w:tab w:val="left" w:pos="176"/>
                <w:tab w:val="left" w:pos="420"/>
                <w:tab w:val="left" w:pos="612"/>
              </w:tabs>
              <w:jc w:val="center"/>
              <w:rPr>
                <w:rFonts w:ascii="宋体" w:hAnsi="宋体" w:cs="宋体"/>
                <w:color w:val="000000" w:themeColor="text1"/>
                <w:szCs w:val="21"/>
                <w14:textFill>
                  <w14:solidFill>
                    <w14:schemeClr w14:val="tx1"/>
                  </w14:solidFill>
                </w14:textFill>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4CC8D728">
            <w:pPr>
              <w:tabs>
                <w:tab w:val="left" w:pos="612"/>
              </w:tabs>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未被列入东莞实业投资控股集团有限公司及下属企业相关领域黑名单</w:t>
            </w:r>
            <w:r>
              <w:rPr>
                <w:rFonts w:hint="eastAsia" w:ascii="宋体" w:hAnsi="宋体" w:cs="宋体"/>
                <w:color w:val="000000" w:themeColor="text1"/>
                <w:szCs w:val="21"/>
                <w:highlight w:val="none"/>
                <w14:textFill>
                  <w14:solidFill>
                    <w14:schemeClr w14:val="tx1"/>
                  </w14:solidFill>
                </w14:textFill>
              </w:rPr>
              <w:t>。</w:t>
            </w:r>
          </w:p>
        </w:tc>
      </w:tr>
      <w:tr w14:paraId="6C1D4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bottom w:val="single" w:color="auto" w:sz="4" w:space="0"/>
              <w:right w:val="single" w:color="auto" w:sz="4" w:space="0"/>
              <w:tl2br w:val="nil"/>
              <w:tr2bl w:val="nil"/>
            </w:tcBorders>
            <w:vAlign w:val="center"/>
          </w:tcPr>
          <w:p w14:paraId="182F6581">
            <w:pPr>
              <w:tabs>
                <w:tab w:val="left" w:pos="176"/>
                <w:tab w:val="left" w:pos="420"/>
                <w:tab w:val="left" w:pos="612"/>
              </w:tabs>
              <w:jc w:val="center"/>
              <w:rPr>
                <w:rFonts w:ascii="宋体" w:hAnsi="宋体" w:cs="宋体"/>
                <w:color w:val="000000" w:themeColor="text1"/>
                <w:szCs w:val="21"/>
                <w14:textFill>
                  <w14:solidFill>
                    <w14:schemeClr w14:val="tx1"/>
                  </w14:solidFill>
                </w14:textFill>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45F2B2A3">
            <w:pPr>
              <w:tabs>
                <w:tab w:val="left" w:pos="612"/>
              </w:tabs>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w:t>
            </w:r>
            <w:r>
              <w:rPr>
                <w:rFonts w:hint="eastAsia" w:ascii="宋体" w:hAnsi="宋体" w:eastAsia="宋体"/>
                <w:color w:val="000000" w:themeColor="text1"/>
                <w:szCs w:val="21"/>
                <w:highlight w:val="none"/>
                <w14:textFill>
                  <w14:solidFill>
                    <w14:schemeClr w14:val="tx1"/>
                  </w14:solidFill>
                </w14:textFill>
              </w:rPr>
              <w:t>本项目（不接受）联合体投标。</w:t>
            </w:r>
          </w:p>
        </w:tc>
      </w:tr>
      <w:tr w14:paraId="260EB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5D312660">
            <w:pPr>
              <w:numPr>
                <w:ilvl w:val="0"/>
                <w:numId w:val="5"/>
              </w:numPr>
              <w:tabs>
                <w:tab w:val="left" w:pos="176"/>
                <w:tab w:val="left" w:pos="612"/>
              </w:tabs>
              <w:jc w:val="center"/>
              <w:rPr>
                <w:rFonts w:ascii="宋体" w:hAnsi="宋体" w:cs="宋体"/>
                <w:color w:val="000000" w:themeColor="text1"/>
                <w:szCs w:val="21"/>
                <w14:textFill>
                  <w14:solidFill>
                    <w14:schemeClr w14:val="tx1"/>
                  </w14:solidFill>
                </w14:textFill>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6893CDF5">
            <w:pP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投标人按照采购文件要求提交投标保证金；</w:t>
            </w:r>
          </w:p>
        </w:tc>
      </w:tr>
      <w:tr w14:paraId="7B7D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59205354">
            <w:pPr>
              <w:numPr>
                <w:ilvl w:val="0"/>
                <w:numId w:val="5"/>
              </w:numPr>
              <w:tabs>
                <w:tab w:val="left" w:pos="176"/>
                <w:tab w:val="left" w:pos="612"/>
              </w:tabs>
              <w:jc w:val="center"/>
              <w:rPr>
                <w:rFonts w:ascii="宋体" w:hAnsi="宋体" w:cs="宋体"/>
                <w:color w:val="000000" w:themeColor="text1"/>
                <w:szCs w:val="21"/>
                <w14:textFill>
                  <w14:solidFill>
                    <w14:schemeClr w14:val="tx1"/>
                  </w14:solidFill>
                </w14:textFill>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37061CD0">
            <w:pP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投标文件按照采购文件要求签署盖章；</w:t>
            </w:r>
          </w:p>
        </w:tc>
      </w:tr>
      <w:tr w14:paraId="71D9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382937C8">
            <w:pPr>
              <w:numPr>
                <w:ilvl w:val="0"/>
                <w:numId w:val="5"/>
              </w:numPr>
              <w:tabs>
                <w:tab w:val="left" w:pos="176"/>
                <w:tab w:val="left" w:pos="612"/>
              </w:tabs>
              <w:jc w:val="center"/>
              <w:rPr>
                <w:rFonts w:ascii="宋体" w:hAnsi="宋体" w:cs="宋体"/>
                <w:color w:val="000000" w:themeColor="text1"/>
                <w:szCs w:val="21"/>
                <w14:textFill>
                  <w14:solidFill>
                    <w14:schemeClr w14:val="tx1"/>
                  </w14:solidFill>
                </w14:textFill>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29AEBE42">
            <w:pP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投标总价未超出采购预算或最高限价；</w:t>
            </w:r>
          </w:p>
        </w:tc>
      </w:tr>
      <w:tr w14:paraId="3B602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43CF9E68">
            <w:pPr>
              <w:tabs>
                <w:tab w:val="left" w:pos="176"/>
                <w:tab w:val="left" w:pos="612"/>
              </w:tabs>
              <w:ind w:firstLine="210" w:firstLineChars="10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2466994E">
            <w:pP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投标文件未含有采购人不能接受的附加条件；</w:t>
            </w:r>
          </w:p>
        </w:tc>
      </w:tr>
      <w:tr w14:paraId="1DB06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51E40814">
            <w:pPr>
              <w:tabs>
                <w:tab w:val="left" w:pos="176"/>
                <w:tab w:val="left" w:pos="612"/>
              </w:tabs>
              <w:ind w:firstLine="210" w:firstLineChars="10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w:t>
            </w: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66B43F5A">
            <w:pP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无负偏离标注“★”符号的条款。</w:t>
            </w:r>
          </w:p>
        </w:tc>
      </w:tr>
      <w:tr w14:paraId="708CD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5F6D406E">
            <w:pPr>
              <w:tabs>
                <w:tab w:val="left" w:pos="176"/>
                <w:tab w:val="left" w:pos="612"/>
              </w:tabs>
              <w:ind w:firstLine="210" w:firstLineChars="10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w:t>
            </w: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5D602EED">
            <w:pP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未出现</w:t>
            </w:r>
            <w:r>
              <w:rPr>
                <w:rFonts w:hint="eastAsia" w:ascii="宋体" w:hAnsi="宋体" w:cs="宋体"/>
                <w:color w:val="000000" w:themeColor="text1"/>
                <w:szCs w:val="21"/>
                <w:lang w:bidi="ar"/>
                <w14:textFill>
                  <w14:solidFill>
                    <w14:schemeClr w14:val="tx1"/>
                  </w14:solidFill>
                </w14:textFill>
              </w:rPr>
              <w:t>法律、法规和招标文件规定的其他无效情形。</w:t>
            </w:r>
          </w:p>
        </w:tc>
      </w:tr>
    </w:tbl>
    <w:p w14:paraId="0C486B49">
      <w:pPr>
        <w:widowControl w:val="0"/>
        <w:overflowPunct w:val="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以上资格性、符合性审查中带有不合格分项的投标文件，将作无效标处理。经评标委员会确认的无效投标文件，采购人和采购代理机构将予以拒绝，并且不允许通过修正或撤消其不符合要求的差异，使之成为具有符合性的投标文件。经评标委员会资格性、符合性审查确认具有有效投标文件的投标人不足三家时将重新组织采购</w:t>
      </w:r>
    </w:p>
    <w:p w14:paraId="60EA48D9">
      <w:pPr>
        <w:widowControl w:val="0"/>
        <w:numPr>
          <w:ilvl w:val="1"/>
          <w:numId w:val="0"/>
        </w:numPr>
        <w:overflowPunct w:val="0"/>
        <w:ind w:left="567" w:leftChars="0" w:hanging="567" w:firstLineChars="0"/>
        <w:rPr>
          <w:rFonts w:ascii="宋体" w:hAnsi="宋体" w:cs="宋体"/>
          <w:b/>
          <w:bCs/>
          <w:color w:val="000000" w:themeColor="text1"/>
          <w:szCs w:val="21"/>
          <w14:textFill>
            <w14:solidFill>
              <w14:schemeClr w14:val="tx1"/>
            </w14:solidFill>
          </w14:textFill>
        </w:rPr>
      </w:pPr>
      <w:r>
        <w:rPr>
          <w:rFonts w:hint="default" w:ascii="宋体" w:hAnsi="宋体" w:eastAsia="宋体" w:cs="宋体"/>
          <w:b/>
          <w:bCs/>
          <w:color w:val="000000" w:themeColor="text1"/>
          <w:sz w:val="21"/>
          <w:szCs w:val="21"/>
          <w:lang w:val="en-US" w:eastAsia="zh-CN" w:bidi="ar-SA"/>
          <w14:textFill>
            <w14:solidFill>
              <w14:schemeClr w14:val="tx1"/>
            </w14:solidFill>
          </w14:textFill>
        </w:rPr>
        <w:t>26.2.</w:t>
      </w:r>
      <w:r>
        <w:rPr>
          <w:rFonts w:hint="eastAsia" w:ascii="宋体" w:hAnsi="宋体" w:cs="宋体"/>
          <w:b/>
          <w:bCs/>
          <w:color w:val="000000" w:themeColor="text1"/>
          <w:szCs w:val="21"/>
          <w14:textFill>
            <w14:solidFill>
              <w14:schemeClr w14:val="tx1"/>
            </w14:solidFill>
          </w14:textFill>
        </w:rPr>
        <w:t>投标文件报价出现前后不一致的，评标委员会按照下列规定修正：</w:t>
      </w:r>
    </w:p>
    <w:p w14:paraId="7360EFF3">
      <w:pPr>
        <w:widowControl w:val="0"/>
        <w:numPr>
          <w:ilvl w:val="0"/>
          <w:numId w:val="6"/>
        </w:numPr>
        <w:overflowPunct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投标文件中开标一览表（报价表）内容与投标文件中相应内容不一致的，以开标一览表（报价表）为准；</w:t>
      </w:r>
    </w:p>
    <w:p w14:paraId="0FAB316C">
      <w:pPr>
        <w:widowControl w:val="0"/>
        <w:numPr>
          <w:ilvl w:val="0"/>
          <w:numId w:val="6"/>
        </w:numPr>
        <w:overflowPunct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大写金额和小写金额不一致的，以大写金额为准；</w:t>
      </w:r>
    </w:p>
    <w:p w14:paraId="43FE2223">
      <w:pPr>
        <w:widowControl w:val="0"/>
        <w:numPr>
          <w:ilvl w:val="0"/>
          <w:numId w:val="6"/>
        </w:numPr>
        <w:overflowPunct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单价金额小数点或者百分比有明显错位的，以开标一览表的总价为准，并修改单价；</w:t>
      </w:r>
    </w:p>
    <w:p w14:paraId="4042724E">
      <w:pPr>
        <w:widowControl w:val="0"/>
        <w:numPr>
          <w:ilvl w:val="0"/>
          <w:numId w:val="6"/>
        </w:numPr>
        <w:overflowPunct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总价金额与按单价汇总金额不一致的，以单价金额计算结果为准。</w:t>
      </w:r>
    </w:p>
    <w:p w14:paraId="4CA94836">
      <w:pPr>
        <w:widowControl w:val="0"/>
        <w:numPr>
          <w:ilvl w:val="0"/>
          <w:numId w:val="6"/>
        </w:numPr>
        <w:overflowPunct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同时出现两种以上不一致的，按照前款规定的顺序修正。修正后的报价按照经投标人确认后产生约束力，投标人不确认的，其投标无效。</w:t>
      </w:r>
    </w:p>
    <w:p w14:paraId="7531B34A">
      <w:pPr>
        <w:widowControl w:val="0"/>
        <w:overflowPunct w:val="0"/>
        <w:ind w:left="630" w:hanging="630" w:hanging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26.3  评标委员会认为投标人的报价明显低于其他通过符合性审查投标人的报价，有可能影响产品质量或者不能诚信履约的，应当要求其在评标现场合理的时间内提供书面说明（以现场通知时间为准），必要时提交相关证明材料；投标人不能证明其报价合理性的，评标委员会应当将其作为无效投标处理。</w:t>
      </w:r>
    </w:p>
    <w:p w14:paraId="0421E744">
      <w:pPr>
        <w:widowControl w:val="0"/>
        <w:overflowPunct w:val="0"/>
        <w:ind w:left="630" w:hanging="630" w:hanging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26.4  对于投标文件中不构成实质性偏差的不正规、不一致或不规则，评标委员会可以接受，但这种接受不能损害或影响任何投标人的相对排序。</w:t>
      </w:r>
    </w:p>
    <w:p w14:paraId="2569E3A2">
      <w:pPr>
        <w:widowControl w:val="0"/>
        <w:overflowPunct w:val="0"/>
        <w:ind w:left="630" w:hanging="630" w:hangingChars="300"/>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26.5  在详细评标之前，评标委员会要审查每份投标文件是否实质上响应了采购文件的要求。实质上响应的投标应该是与采购文件要求的全部主要条款（加“★”号）、条件和规格相符，没有重大偏离的投标。对关键条文的偏离、保留或反对，例如关于投标保证金、合同条款的重大偏离将被认为是实质上的偏离。评标委员会决定投标文件的响应性只根据投标文件本身的内容，而不寻求外部的证据。</w:t>
      </w:r>
    </w:p>
    <w:p w14:paraId="7550A385">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82" w:name="_Toc1291"/>
      <w:bookmarkStart w:id="183" w:name="_Toc4799"/>
      <w:r>
        <w:rPr>
          <w:rFonts w:hint="default" w:ascii="宋体" w:hAnsi="宋体" w:eastAsia="宋体" w:cs="宋体"/>
          <w:b/>
          <w:color w:val="000000" w:themeColor="text1"/>
          <w:sz w:val="21"/>
          <w:szCs w:val="21"/>
          <w:lang w:val="en-US" w:eastAsia="zh-CN" w:bidi="ar-SA"/>
          <w14:textFill>
            <w14:solidFill>
              <w14:schemeClr w14:val="tx1"/>
            </w14:solidFill>
          </w14:textFill>
        </w:rPr>
        <w:t>27.</w:t>
      </w:r>
      <w:r>
        <w:rPr>
          <w:rFonts w:hint="eastAsia" w:ascii="宋体" w:hAnsi="宋体" w:cs="宋体"/>
          <w:color w:val="000000" w:themeColor="text1"/>
          <w:sz w:val="21"/>
          <w:szCs w:val="21"/>
          <w14:textFill>
            <w14:solidFill>
              <w14:schemeClr w14:val="tx1"/>
            </w14:solidFill>
          </w14:textFill>
        </w:rPr>
        <w:t>商务、技术、价格评审（具体评审项目详见投标资料表）</w:t>
      </w:r>
      <w:bookmarkEnd w:id="182"/>
      <w:bookmarkEnd w:id="183"/>
    </w:p>
    <w:p w14:paraId="0D93CCE0">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27.1.</w:t>
      </w:r>
      <w:r>
        <w:rPr>
          <w:rFonts w:hint="eastAsia" w:ascii="宋体" w:hAnsi="宋体" w:cs="宋体"/>
          <w:color w:val="000000" w:themeColor="text1"/>
          <w:szCs w:val="21"/>
          <w14:textFill>
            <w14:solidFill>
              <w14:schemeClr w14:val="tx1"/>
            </w14:solidFill>
          </w14:textFill>
        </w:rPr>
        <w:t xml:space="preserve">对通过资格性、符合性审查的有效供应商方有资格进入综合评审。采购文件中要求投标人提供的相关资质证书证明材料因国家政策变动导致新旧证书名称不一致，旧证书未取消且新旧证书具有同等效力的，投标人提供新证书与提供在有效期内的旧证书给予同等认可。 </w:t>
      </w:r>
    </w:p>
    <w:p w14:paraId="1871CC8F">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27.2.</w:t>
      </w:r>
      <w:r>
        <w:rPr>
          <w:rFonts w:hint="eastAsia" w:ascii="宋体" w:hAnsi="宋体" w:cs="宋体"/>
          <w:color w:val="000000" w:themeColor="text1"/>
          <w:szCs w:val="21"/>
          <w14:textFill>
            <w14:solidFill>
              <w14:schemeClr w14:val="tx1"/>
            </w14:solidFill>
          </w14:textFill>
        </w:rPr>
        <w:t>评标委员会对通过资格性、符合性审查的投标文件进行详细评审。评标委员会对每一投标文件进行详细的商务评审、技术评审。按照评审程序的规定和依据评分标准，各位评委就每个投标人的技术、商务状况及其对采购文件要求的响应情况进行评议和比较，评出其技术评分和商务评分。根据采购文件规定评出得分，将价格得分、商务得分、技术得分相加得出最终评标得分。</w:t>
      </w:r>
    </w:p>
    <w:p w14:paraId="60FF6FB3">
      <w:pPr>
        <w:widowControl w:val="0"/>
        <w:numPr>
          <w:ilvl w:val="1"/>
          <w:numId w:val="0"/>
        </w:numPr>
        <w:overflowPunct w:val="0"/>
        <w:ind w:left="567" w:leftChars="0" w:hanging="567" w:firstLineChars="0"/>
        <w:rPr>
          <w:rFonts w:ascii="宋体" w:hAnsi="宋体" w:cs="宋体"/>
          <w:color w:val="000000" w:themeColor="text1"/>
          <w:szCs w:val="21"/>
          <w:highlight w:val="none"/>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27.3.</w:t>
      </w:r>
      <w:r>
        <w:rPr>
          <w:rFonts w:hint="eastAsia" w:ascii="宋体" w:hAnsi="宋体" w:cs="宋体"/>
          <w:color w:val="000000" w:themeColor="text1"/>
          <w:szCs w:val="21"/>
          <w14:textFill>
            <w14:solidFill>
              <w14:schemeClr w14:val="tx1"/>
            </w14:solidFill>
          </w14:textFill>
        </w:rPr>
        <w:t>采用综合评</w:t>
      </w:r>
      <w:r>
        <w:rPr>
          <w:rFonts w:hint="eastAsia" w:ascii="宋体" w:hAnsi="宋体" w:cs="宋体"/>
          <w:color w:val="000000" w:themeColor="text1"/>
          <w:szCs w:val="21"/>
          <w:highlight w:val="none"/>
          <w14:textFill>
            <w14:solidFill>
              <w14:schemeClr w14:val="tx1"/>
            </w14:solidFill>
          </w14:textFill>
        </w:rPr>
        <w:t>分法的，评标结果按评审后得分由高到低顺序排列。综合得分相同的，按价格评分由高到低顺序排列。综合</w:t>
      </w:r>
      <w:r>
        <w:rPr>
          <w:rFonts w:hint="eastAsia" w:ascii="宋体" w:hAnsi="宋体"/>
          <w:color w:val="000000" w:themeColor="text1"/>
          <w:szCs w:val="21"/>
          <w:highlight w:val="none"/>
          <w14:textFill>
            <w14:solidFill>
              <w14:schemeClr w14:val="tx1"/>
            </w14:solidFill>
          </w14:textFill>
        </w:rPr>
        <w:t>得分相同且价格评分相同的，按商务评分由高到低顺序排列，得分高的排前，得分低的排后；按上述环节依然存在同分情形而不能确认排名顺序时，由评标委员会进行投票，得票多的排名在先。当第一轮投票结果为投标人得票数相同时，再次进行投票，如此类推，直到能确定排序次序为止</w:t>
      </w:r>
      <w:r>
        <w:rPr>
          <w:rFonts w:hint="eastAsia" w:ascii="宋体" w:hAnsi="宋体" w:cs="宋体"/>
          <w:color w:val="000000" w:themeColor="text1"/>
          <w:szCs w:val="21"/>
          <w:highlight w:val="none"/>
          <w14:textFill>
            <w14:solidFill>
              <w14:schemeClr w14:val="tx1"/>
            </w14:solidFill>
          </w14:textFill>
        </w:rPr>
        <w:t>。</w:t>
      </w:r>
    </w:p>
    <w:p w14:paraId="50BD4E05">
      <w:pPr>
        <w:pStyle w:val="5"/>
        <w:widowControl w:val="0"/>
        <w:numPr>
          <w:ilvl w:val="0"/>
          <w:numId w:val="0"/>
        </w:numPr>
        <w:overflowPunct w:val="0"/>
        <w:ind w:left="425" w:leftChars="0" w:hanging="425" w:firstLineChars="0"/>
        <w:rPr>
          <w:rFonts w:ascii="宋体" w:hAnsi="宋体" w:cs="宋体"/>
          <w:color w:val="000000" w:themeColor="text1"/>
          <w:sz w:val="21"/>
          <w:szCs w:val="21"/>
          <w:highlight w:val="none"/>
          <w14:textFill>
            <w14:solidFill>
              <w14:schemeClr w14:val="tx1"/>
            </w14:solidFill>
          </w14:textFill>
        </w:rPr>
      </w:pPr>
      <w:bookmarkStart w:id="184" w:name="_Toc316375620"/>
      <w:bookmarkStart w:id="185" w:name="_Toc382049120"/>
      <w:bookmarkStart w:id="186" w:name="_Toc20328"/>
      <w:bookmarkStart w:id="187" w:name="_Toc21663"/>
      <w:bookmarkStart w:id="188" w:name="_Toc22958"/>
      <w:r>
        <w:rPr>
          <w:rFonts w:hint="default" w:ascii="宋体" w:hAnsi="宋体" w:eastAsia="宋体" w:cs="宋体"/>
          <w:b/>
          <w:color w:val="000000" w:themeColor="text1"/>
          <w:sz w:val="21"/>
          <w:szCs w:val="21"/>
          <w:lang w:val="en-US" w:eastAsia="zh-CN" w:bidi="ar-SA"/>
          <w14:textFill>
            <w14:solidFill>
              <w14:schemeClr w14:val="tx1"/>
            </w14:solidFill>
          </w14:textFill>
        </w:rPr>
        <w:t>28.</w:t>
      </w:r>
      <w:r>
        <w:rPr>
          <w:rFonts w:hint="eastAsia" w:ascii="宋体" w:hAnsi="宋体" w:cs="宋体"/>
          <w:color w:val="000000" w:themeColor="text1"/>
          <w:sz w:val="21"/>
          <w:szCs w:val="21"/>
          <w:highlight w:val="none"/>
          <w14:textFill>
            <w14:solidFill>
              <w14:schemeClr w14:val="tx1"/>
            </w14:solidFill>
          </w14:textFill>
        </w:rPr>
        <w:t>纪律和保密</w:t>
      </w:r>
      <w:bookmarkEnd w:id="184"/>
      <w:r>
        <w:rPr>
          <w:rFonts w:hint="eastAsia" w:ascii="宋体" w:hAnsi="宋体" w:cs="宋体"/>
          <w:color w:val="000000" w:themeColor="text1"/>
          <w:sz w:val="21"/>
          <w:szCs w:val="21"/>
          <w:highlight w:val="none"/>
          <w14:textFill>
            <w14:solidFill>
              <w14:schemeClr w14:val="tx1"/>
            </w14:solidFill>
          </w14:textFill>
        </w:rPr>
        <w:t>事项</w:t>
      </w:r>
      <w:bookmarkEnd w:id="185"/>
      <w:bookmarkEnd w:id="186"/>
      <w:bookmarkEnd w:id="187"/>
      <w:bookmarkEnd w:id="188"/>
    </w:p>
    <w:p w14:paraId="488B3899">
      <w:pPr>
        <w:widowControl w:val="0"/>
        <w:numPr>
          <w:ilvl w:val="1"/>
          <w:numId w:val="0"/>
        </w:numPr>
        <w:overflowPunct w:val="0"/>
        <w:ind w:left="567" w:leftChars="0" w:hanging="567" w:firstLineChars="0"/>
        <w:rPr>
          <w:rFonts w:ascii="宋体" w:hAnsi="宋体" w:cs="宋体"/>
          <w:color w:val="000000" w:themeColor="text1"/>
          <w:szCs w:val="21"/>
          <w:highlight w:val="none"/>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28.1.</w:t>
      </w:r>
      <w:r>
        <w:rPr>
          <w:rFonts w:hint="eastAsia" w:ascii="宋体" w:hAnsi="宋体" w:cs="宋体"/>
          <w:color w:val="000000" w:themeColor="text1"/>
          <w:szCs w:val="21"/>
          <w:highlight w:val="none"/>
          <w14:textFill>
            <w14:solidFill>
              <w14:schemeClr w14:val="tx1"/>
            </w14:solidFill>
          </w14:textFill>
        </w:rPr>
        <w:t>从开标之日起至授予合同期间，在投标文件的审查、澄清、比较和评价阶段，投标人试图对评标委员会和采购代理机构施加任何影响或对采购人的比较及授予合同的决定产生影响，都可能导致其投标文件被拒绝。</w:t>
      </w:r>
    </w:p>
    <w:p w14:paraId="2CC1FAA5">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28.2.</w:t>
      </w:r>
      <w:r>
        <w:rPr>
          <w:rFonts w:hint="eastAsia" w:ascii="宋体" w:hAnsi="宋体" w:cs="宋体"/>
          <w:color w:val="000000" w:themeColor="text1"/>
          <w:szCs w:val="21"/>
          <w14:textFill>
            <w14:solidFill>
              <w14:schemeClr w14:val="tx1"/>
            </w14:solidFill>
          </w14:textFill>
        </w:rPr>
        <w:t>投标人不得串通作弊，以不正当的手段妨碍、排挤其他投标人，扰乱采购市场，破坏公平竞争原则。否则将按相关法律规定严肃处理。</w:t>
      </w:r>
    </w:p>
    <w:p w14:paraId="59F8EEE5">
      <w:pPr>
        <w:widowControl w:val="0"/>
        <w:numPr>
          <w:ilvl w:val="1"/>
          <w:numId w:val="0"/>
        </w:numPr>
        <w:overflowPunct w:val="0"/>
        <w:ind w:left="567" w:leftChars="0" w:hanging="567" w:firstLineChars="0"/>
        <w:rPr>
          <w:rFonts w:ascii="宋体" w:hAnsi="宋体" w:cs="宋体"/>
          <w:color w:val="000000" w:themeColor="text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28.3.</w:t>
      </w:r>
      <w:r>
        <w:rPr>
          <w:rFonts w:hint="eastAsia" w:ascii="宋体" w:hAnsi="宋体" w:cs="宋体"/>
          <w:color w:val="000000" w:themeColor="text1"/>
          <w:szCs w:val="21"/>
          <w14:textFill>
            <w14:solidFill>
              <w14:schemeClr w14:val="tx1"/>
            </w14:solidFill>
          </w14:textFill>
        </w:rPr>
        <w:t>获得本采购文件的投标人，应对文件进行保密，不得用作本次投标以外的任何用途。开标后，投标人应归还采购文件中要求保密的文件和资料。</w:t>
      </w:r>
    </w:p>
    <w:p w14:paraId="242FE625">
      <w:pPr>
        <w:pStyle w:val="4"/>
        <w:numPr>
          <w:ilvl w:val="0"/>
          <w:numId w:val="2"/>
        </w:numPr>
        <w:spacing w:before="0" w:after="0" w:line="360" w:lineRule="auto"/>
        <w:jc w:val="center"/>
        <w:rPr>
          <w:rFonts w:ascii="宋体" w:hAnsi="宋体" w:cs="宋体"/>
          <w:color w:val="000000" w:themeColor="text1"/>
          <w14:textFill>
            <w14:solidFill>
              <w14:schemeClr w14:val="tx1"/>
            </w14:solidFill>
          </w14:textFill>
        </w:rPr>
      </w:pPr>
      <w:bookmarkStart w:id="189" w:name="_Toc6405"/>
      <w:bookmarkStart w:id="190" w:name="_Toc1109"/>
      <w:bookmarkStart w:id="191" w:name="_Toc25325"/>
      <w:r>
        <w:rPr>
          <w:rFonts w:hint="eastAsia" w:ascii="宋体" w:hAnsi="宋体" w:cs="宋体"/>
          <w:color w:val="000000" w:themeColor="text1"/>
          <w14:textFill>
            <w14:solidFill>
              <w14:schemeClr w14:val="tx1"/>
            </w14:solidFill>
          </w14:textFill>
        </w:rPr>
        <w:t>授予合同</w:t>
      </w:r>
      <w:bookmarkEnd w:id="189"/>
      <w:bookmarkEnd w:id="190"/>
      <w:bookmarkEnd w:id="191"/>
    </w:p>
    <w:p w14:paraId="038F5F71">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92" w:name="_Toc28267"/>
      <w:bookmarkStart w:id="193" w:name="_Toc22623"/>
      <w:bookmarkStart w:id="194" w:name="_Toc508284011"/>
      <w:r>
        <w:rPr>
          <w:rFonts w:hint="default" w:ascii="宋体" w:hAnsi="宋体" w:eastAsia="宋体" w:cs="宋体"/>
          <w:b/>
          <w:color w:val="000000" w:themeColor="text1"/>
          <w:sz w:val="21"/>
          <w:szCs w:val="21"/>
          <w:lang w:val="en-US" w:eastAsia="zh-CN" w:bidi="ar-SA"/>
          <w14:textFill>
            <w14:solidFill>
              <w14:schemeClr w14:val="tx1"/>
            </w14:solidFill>
          </w14:textFill>
        </w:rPr>
        <w:t>29.</w:t>
      </w:r>
      <w:r>
        <w:rPr>
          <w:rFonts w:hint="eastAsia" w:ascii="宋体" w:hAnsi="宋体" w:cs="宋体"/>
          <w:color w:val="000000" w:themeColor="text1"/>
          <w:sz w:val="21"/>
          <w:szCs w:val="21"/>
          <w14:textFill>
            <w14:solidFill>
              <w14:schemeClr w14:val="tx1"/>
            </w14:solidFill>
          </w14:textFill>
        </w:rPr>
        <w:t>合同授予标准</w:t>
      </w:r>
      <w:bookmarkEnd w:id="192"/>
      <w:bookmarkEnd w:id="193"/>
      <w:bookmarkEnd w:id="194"/>
    </w:p>
    <w:p w14:paraId="22996A5E">
      <w:pPr>
        <w:widowControl w:val="0"/>
        <w:numPr>
          <w:ilvl w:val="1"/>
          <w:numId w:val="0"/>
        </w:numPr>
        <w:overflowPunct w:val="0"/>
        <w:ind w:left="567" w:leftChars="0" w:hanging="567" w:firstLineChars="0"/>
        <w:rPr>
          <w:rFonts w:ascii="宋体" w:hAnsi="宋体" w:cs="宋体"/>
          <w:color w:val="000000" w:themeColor="text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29.1.</w:t>
      </w:r>
      <w:r>
        <w:rPr>
          <w:rFonts w:hint="eastAsia" w:ascii="宋体" w:hAnsi="宋体" w:cs="宋体"/>
          <w:color w:val="000000" w:themeColor="text1"/>
          <w:szCs w:val="21"/>
          <w14:textFill>
            <w14:solidFill>
              <w14:schemeClr w14:val="tx1"/>
            </w14:solidFill>
          </w14:textFill>
        </w:rPr>
        <w:t>根据评标委员会的评审结果，采购人按照评审报告推荐的中标候选人中按顺序依法确定中标人。</w:t>
      </w:r>
    </w:p>
    <w:p w14:paraId="13904E95">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95" w:name="_Toc10545"/>
      <w:bookmarkStart w:id="196" w:name="_Toc508284013"/>
      <w:bookmarkStart w:id="197" w:name="_Toc24628"/>
      <w:r>
        <w:rPr>
          <w:rFonts w:hint="default" w:ascii="宋体" w:hAnsi="宋体" w:eastAsia="宋体" w:cs="宋体"/>
          <w:b/>
          <w:color w:val="000000" w:themeColor="text1"/>
          <w:sz w:val="21"/>
          <w:szCs w:val="21"/>
          <w:lang w:val="en-US" w:eastAsia="zh-CN" w:bidi="ar-SA"/>
          <w14:textFill>
            <w14:solidFill>
              <w14:schemeClr w14:val="tx1"/>
            </w14:solidFill>
          </w14:textFill>
        </w:rPr>
        <w:t>30.</w:t>
      </w:r>
      <w:r>
        <w:rPr>
          <w:rFonts w:hint="eastAsia" w:ascii="宋体" w:hAnsi="宋体" w:cs="宋体"/>
          <w:color w:val="000000" w:themeColor="text1"/>
          <w:sz w:val="21"/>
          <w:szCs w:val="21"/>
          <w14:textFill>
            <w14:solidFill>
              <w14:schemeClr w14:val="tx1"/>
            </w14:solidFill>
          </w14:textFill>
        </w:rPr>
        <w:t>发布中标结果</w:t>
      </w:r>
      <w:bookmarkEnd w:id="195"/>
      <w:bookmarkEnd w:id="196"/>
      <w:bookmarkEnd w:id="197"/>
    </w:p>
    <w:p w14:paraId="35CC0AF3">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30.1.</w:t>
      </w:r>
      <w:r>
        <w:rPr>
          <w:rFonts w:hint="eastAsia" w:ascii="宋体" w:hAnsi="宋体" w:cs="宋体"/>
          <w:color w:val="000000" w:themeColor="text1"/>
          <w:szCs w:val="21"/>
          <w14:textFill>
            <w14:solidFill>
              <w14:schemeClr w14:val="tx1"/>
            </w14:solidFill>
          </w14:textFill>
        </w:rPr>
        <w:t>评标委员会提出评标书面报告和推荐中标意见报采购人确认后，采购代理机构将在指定的信息发布媒体上发布公告。</w:t>
      </w:r>
    </w:p>
    <w:p w14:paraId="256E119A">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30.2.</w:t>
      </w:r>
      <w:r>
        <w:rPr>
          <w:rFonts w:hint="eastAsia" w:ascii="宋体" w:hAnsi="宋体" w:cs="宋体"/>
          <w:color w:val="000000" w:themeColor="text1"/>
          <w:szCs w:val="21"/>
          <w14:textFill>
            <w14:solidFill>
              <w14:schemeClr w14:val="tx1"/>
            </w14:solidFill>
          </w14:textFill>
        </w:rPr>
        <w:t>中标公告期限为3个日历日。</w:t>
      </w:r>
    </w:p>
    <w:p w14:paraId="7BD23A77">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30.3.</w:t>
      </w:r>
      <w:r>
        <w:rPr>
          <w:rFonts w:hint="eastAsia" w:ascii="宋体" w:hAnsi="宋体" w:cs="宋体"/>
          <w:color w:val="000000" w:themeColor="text1"/>
          <w:szCs w:val="21"/>
          <w14:textFill>
            <w14:solidFill>
              <w14:schemeClr w14:val="tx1"/>
            </w14:solidFill>
          </w14:textFill>
        </w:rPr>
        <w:t>《中标通知书》是合同的一个组成部分，《中标通知书》对采购人和中标人均具有同等法律效力。</w:t>
      </w:r>
    </w:p>
    <w:p w14:paraId="2CE6D0AA">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198" w:name="_Toc11420"/>
      <w:bookmarkStart w:id="199" w:name="_Toc28735"/>
      <w:r>
        <w:rPr>
          <w:rFonts w:hint="default" w:ascii="宋体" w:hAnsi="宋体" w:eastAsia="宋体" w:cs="宋体"/>
          <w:b/>
          <w:color w:val="000000" w:themeColor="text1"/>
          <w:sz w:val="21"/>
          <w:szCs w:val="21"/>
          <w:lang w:val="en-US" w:eastAsia="zh-CN" w:bidi="ar-SA"/>
          <w14:textFill>
            <w14:solidFill>
              <w14:schemeClr w14:val="tx1"/>
            </w14:solidFill>
          </w14:textFill>
        </w:rPr>
        <w:t>31.</w:t>
      </w:r>
      <w:r>
        <w:rPr>
          <w:rFonts w:hint="eastAsia" w:ascii="宋体" w:hAnsi="宋体" w:cs="宋体"/>
          <w:color w:val="000000" w:themeColor="text1"/>
          <w:sz w:val="21"/>
          <w:szCs w:val="21"/>
          <w14:textFill>
            <w14:solidFill>
              <w14:schemeClr w14:val="tx1"/>
            </w14:solidFill>
          </w14:textFill>
        </w:rPr>
        <w:t>资格后审</w:t>
      </w:r>
      <w:bookmarkEnd w:id="198"/>
      <w:bookmarkEnd w:id="199"/>
    </w:p>
    <w:p w14:paraId="3A4BF488">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31.1.</w:t>
      </w:r>
      <w:r>
        <w:rPr>
          <w:rFonts w:hint="eastAsia" w:ascii="宋体" w:hAnsi="宋体" w:cs="宋体"/>
          <w:color w:val="000000" w:themeColor="text1"/>
          <w:szCs w:val="21"/>
          <w14:textFill>
            <w14:solidFill>
              <w14:schemeClr w14:val="tx1"/>
            </w14:solidFill>
          </w14:textFill>
        </w:rPr>
        <w:t>采购人将有权根据本文件中的要求，对评委会推荐的中标候选人进行资格后审。</w:t>
      </w:r>
    </w:p>
    <w:p w14:paraId="6B0D040C">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31.2.</w:t>
      </w:r>
      <w:r>
        <w:rPr>
          <w:rFonts w:hint="eastAsia" w:ascii="宋体" w:hAnsi="宋体" w:cs="宋体"/>
          <w:color w:val="000000" w:themeColor="text1"/>
          <w:szCs w:val="21"/>
          <w14:textFill>
            <w14:solidFill>
              <w14:schemeClr w14:val="tx1"/>
            </w14:solidFill>
          </w14:textFill>
        </w:rPr>
        <w:t>中标候选人须无条件配合资格后审，否则采购人有权取消其中标资格，且投标保证金可不予退还。</w:t>
      </w:r>
    </w:p>
    <w:p w14:paraId="01283D27">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31.3.</w:t>
      </w:r>
      <w:r>
        <w:rPr>
          <w:rFonts w:hint="eastAsia" w:ascii="宋体" w:hAnsi="宋体" w:cs="宋体"/>
          <w:color w:val="000000" w:themeColor="text1"/>
          <w:szCs w:val="21"/>
          <w14:textFill>
            <w14:solidFill>
              <w14:schemeClr w14:val="tx1"/>
            </w14:solidFill>
          </w14:textFill>
        </w:rPr>
        <w:t>资格后审须提供包括但不限于营业执照、税务登记证和在投标文件中提供的资质证明文件、业绩等重要证明文件的原件进行核对，综合考察中标人的履约能力。如采购人要求还须提供业绩证明的其他材料,中标候选人须配合提供。如授权其分支机构进行项目实施或提供售后服务的，亦应提供其与分支机构关系的法律证明材料。</w:t>
      </w:r>
    </w:p>
    <w:p w14:paraId="445C33BA">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31.4.</w:t>
      </w:r>
      <w:r>
        <w:rPr>
          <w:rFonts w:hint="eastAsia" w:ascii="宋体" w:hAnsi="宋体" w:cs="宋体"/>
          <w:color w:val="000000" w:themeColor="text1"/>
          <w:szCs w:val="21"/>
          <w14:textFill>
            <w14:solidFill>
              <w14:schemeClr w14:val="tx1"/>
            </w14:solidFill>
          </w14:textFill>
        </w:rPr>
        <w:t>如发现中标候选人以他人名义投标或者以其他方式弄虚作假，骗取中标的，采购人有权取消其中标资格，且投标保证金可不予退还；给采购人造成损失的，应依法承担赔偿责任。</w:t>
      </w:r>
    </w:p>
    <w:p w14:paraId="56A4EA89">
      <w:pPr>
        <w:widowControl w:val="0"/>
        <w:numPr>
          <w:ilvl w:val="1"/>
          <w:numId w:val="0"/>
        </w:numPr>
        <w:overflowPunct w:val="0"/>
        <w:ind w:left="567" w:leftChars="0" w:hanging="567" w:firstLineChars="0"/>
        <w:rPr>
          <w:rFonts w:ascii="宋体" w:hAnsi="宋体" w:cs="宋体"/>
          <w:color w:val="000000" w:themeColor="text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31.5.</w:t>
      </w:r>
      <w:r>
        <w:rPr>
          <w:rFonts w:hint="eastAsia" w:ascii="宋体" w:hAnsi="宋体" w:cs="宋体"/>
          <w:color w:val="000000" w:themeColor="text1"/>
          <w:szCs w:val="21"/>
          <w14:textFill>
            <w14:solidFill>
              <w14:schemeClr w14:val="tx1"/>
            </w14:solidFill>
          </w14:textFill>
        </w:rPr>
        <w:t>采购人有权审查中标候选人是否具备履行合同的能力，包括但不限于对其规模、人员、场地、生产能力、供货能力等方面的核实或现场考察。如果审查通过，采购人将把合同授予该中标人；如果审查没有通过，采购人有权取消其中标资格，且投标保证金可不予退还，并依次审查下一名中标候选人是否具备履行合同的能力或重新采购。</w:t>
      </w:r>
    </w:p>
    <w:p w14:paraId="67CE126D">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200" w:name="_Toc27302"/>
      <w:bookmarkStart w:id="201" w:name="_Toc26968"/>
      <w:r>
        <w:rPr>
          <w:rFonts w:hint="default" w:ascii="宋体" w:hAnsi="宋体" w:eastAsia="宋体" w:cs="宋体"/>
          <w:b/>
          <w:color w:val="000000" w:themeColor="text1"/>
          <w:sz w:val="21"/>
          <w:szCs w:val="21"/>
          <w:lang w:val="en-US" w:eastAsia="zh-CN" w:bidi="ar-SA"/>
          <w14:textFill>
            <w14:solidFill>
              <w14:schemeClr w14:val="tx1"/>
            </w14:solidFill>
          </w14:textFill>
        </w:rPr>
        <w:t>32.</w:t>
      </w:r>
      <w:r>
        <w:rPr>
          <w:rFonts w:hint="eastAsia" w:ascii="宋体" w:hAnsi="宋体" w:cs="宋体"/>
          <w:color w:val="000000" w:themeColor="text1"/>
          <w:sz w:val="21"/>
          <w:szCs w:val="21"/>
          <w14:textFill>
            <w14:solidFill>
              <w14:schemeClr w14:val="tx1"/>
            </w14:solidFill>
          </w14:textFill>
        </w:rPr>
        <w:t>合同的签订与履行</w:t>
      </w:r>
      <w:bookmarkEnd w:id="200"/>
      <w:bookmarkEnd w:id="201"/>
    </w:p>
    <w:p w14:paraId="5CCFD96A">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32.1.</w:t>
      </w:r>
      <w:r>
        <w:rPr>
          <w:rFonts w:hint="eastAsia" w:ascii="宋体" w:hAnsi="宋体" w:cs="宋体"/>
          <w:color w:val="000000" w:themeColor="text1"/>
          <w:szCs w:val="21"/>
          <w14:textFill>
            <w14:solidFill>
              <w14:schemeClr w14:val="tx1"/>
            </w14:solidFill>
          </w14:textFill>
        </w:rPr>
        <w:t>中标人应当自采购人发出中标通知书之日起30日内，按照采购文件和中标人投标文件的规定，与采购人签订书面合同，否则采购人有权取消其中标资格。所签订的合同不得对采购文件确定的事项和中标人投标文件作实质性修改。在合同签订时，应注意合同中约定的工期开始时间不得早于合同签订时间。</w:t>
      </w:r>
    </w:p>
    <w:p w14:paraId="538A768B">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32.2.</w:t>
      </w:r>
      <w:r>
        <w:rPr>
          <w:rFonts w:hint="eastAsia" w:ascii="宋体" w:hAnsi="宋体" w:cs="宋体"/>
          <w:color w:val="000000" w:themeColor="text1"/>
          <w:szCs w:val="21"/>
          <w14:textFill>
            <w14:solidFill>
              <w14:schemeClr w14:val="tx1"/>
            </w14:solidFill>
          </w14:textFill>
        </w:rPr>
        <w:t>采购人与中标人应当根据合同的约定依法履行合同义务。</w:t>
      </w:r>
    </w:p>
    <w:p w14:paraId="6DF59BAC">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32.3.</w:t>
      </w:r>
      <w:r>
        <w:rPr>
          <w:rFonts w:hint="eastAsia" w:ascii="宋体" w:hAnsi="宋体" w:cs="宋体"/>
          <w:color w:val="000000" w:themeColor="text1"/>
          <w:szCs w:val="21"/>
          <w14:textFill>
            <w14:solidFill>
              <w14:schemeClr w14:val="tx1"/>
            </w14:solidFill>
          </w14:textFill>
        </w:rPr>
        <w:t>采购合同的履行、违约责任和解决争议的方法等适用《中华人民共和国民法典》。</w:t>
      </w:r>
    </w:p>
    <w:p w14:paraId="656CD416">
      <w:pPr>
        <w:widowControl w:val="0"/>
        <w:numPr>
          <w:ilvl w:val="1"/>
          <w:numId w:val="0"/>
        </w:numPr>
        <w:overflowPunct w:val="0"/>
        <w:ind w:left="567" w:leftChars="0" w:hanging="567" w:firstLineChars="0"/>
        <w:rPr>
          <w:rFonts w:ascii="宋体" w:hAnsi="宋体" w:cs="宋体"/>
          <w:color w:val="000000" w:themeColor="text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32.4.</w:t>
      </w:r>
      <w:r>
        <w:rPr>
          <w:rFonts w:hint="eastAsia" w:ascii="宋体" w:hAnsi="宋体" w:cs="宋体"/>
          <w:color w:val="000000" w:themeColor="text1"/>
          <w:szCs w:val="21"/>
          <w14:textFill>
            <w14:solidFill>
              <w14:schemeClr w14:val="tx1"/>
            </w14:solidFill>
          </w14:textFill>
        </w:rPr>
        <w:t>中标人在评审结束当天至合同履行结束，若因不可抗力的因素（如国家出台新法律法规等）造成投标人资质的变动，投标人应以纸质版形式通知采购人。若资质变动导致中标人不再具备履行合同资质要求，采购人有权中止合同。</w:t>
      </w:r>
    </w:p>
    <w:p w14:paraId="52F8F79D">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202" w:name="_Toc382049124"/>
      <w:bookmarkStart w:id="203" w:name="_Toc29009"/>
      <w:bookmarkStart w:id="204" w:name="_Toc303084277"/>
      <w:bookmarkStart w:id="205" w:name="_Toc6617"/>
      <w:bookmarkStart w:id="206" w:name="_Toc13842"/>
      <w:r>
        <w:rPr>
          <w:rFonts w:hint="default" w:ascii="宋体" w:hAnsi="宋体" w:eastAsia="宋体" w:cs="宋体"/>
          <w:b/>
          <w:color w:val="000000" w:themeColor="text1"/>
          <w:sz w:val="21"/>
          <w:szCs w:val="21"/>
          <w:lang w:val="en-US" w:eastAsia="zh-CN" w:bidi="ar-SA"/>
          <w14:textFill>
            <w14:solidFill>
              <w14:schemeClr w14:val="tx1"/>
            </w14:solidFill>
          </w14:textFill>
        </w:rPr>
        <w:t>33.</w:t>
      </w:r>
      <w:r>
        <w:rPr>
          <w:rFonts w:hint="eastAsia" w:ascii="宋体" w:hAnsi="宋体" w:cs="宋体"/>
          <w:color w:val="000000" w:themeColor="text1"/>
          <w:sz w:val="21"/>
          <w:szCs w:val="21"/>
          <w14:textFill>
            <w14:solidFill>
              <w14:schemeClr w14:val="tx1"/>
            </w14:solidFill>
          </w14:textFill>
        </w:rPr>
        <w:t>履约</w:t>
      </w:r>
      <w:bookmarkEnd w:id="202"/>
      <w:bookmarkEnd w:id="203"/>
      <w:bookmarkEnd w:id="204"/>
      <w:r>
        <w:rPr>
          <w:rFonts w:hint="eastAsia" w:ascii="宋体" w:hAnsi="宋体" w:cs="宋体"/>
          <w:color w:val="000000" w:themeColor="text1"/>
          <w:sz w:val="21"/>
          <w:szCs w:val="21"/>
          <w14:textFill>
            <w14:solidFill>
              <w14:schemeClr w14:val="tx1"/>
            </w14:solidFill>
          </w14:textFill>
        </w:rPr>
        <w:t>担保</w:t>
      </w:r>
      <w:bookmarkEnd w:id="205"/>
      <w:bookmarkEnd w:id="206"/>
    </w:p>
    <w:p w14:paraId="63C29FD4">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33.1.</w:t>
      </w:r>
      <w:r>
        <w:rPr>
          <w:rFonts w:hint="eastAsia" w:ascii="宋体" w:hAnsi="宋体" w:cs="宋体"/>
          <w:color w:val="000000" w:themeColor="text1"/>
          <w:szCs w:val="21"/>
          <w14:textFill>
            <w14:solidFill>
              <w14:schemeClr w14:val="tx1"/>
            </w14:solidFill>
          </w14:textFill>
        </w:rPr>
        <w:t>中标人在采购（合同签署）时提交履约担保，履约担保金额不超过中标合同金额的10%，如果中标人提交的履约保函的有效期先于合同要求的履约保函有效期到达，中标人应在原提交的履约保函有效期满前15天，无条件办理保函延期手续。否则，视中标人违约，采购人可在保函到期前将保函金额转为现金存入履约保证金账户。</w:t>
      </w:r>
    </w:p>
    <w:p w14:paraId="76E70318">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33.2.</w:t>
      </w:r>
      <w:r>
        <w:rPr>
          <w:rFonts w:hint="eastAsia" w:ascii="宋体" w:hAnsi="宋体" w:cs="宋体"/>
          <w:color w:val="000000" w:themeColor="text1"/>
          <w:szCs w:val="21"/>
          <w14:textFill>
            <w14:solidFill>
              <w14:schemeClr w14:val="tx1"/>
            </w14:solidFill>
          </w14:textFill>
        </w:rPr>
        <w:t>履约担保期限从合同签订之日起至项目服务期结束验收合格并结算完毕后，经双方签字7天内保持有效。</w:t>
      </w:r>
    </w:p>
    <w:p w14:paraId="78B4DAB4">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33.3.</w:t>
      </w:r>
      <w:r>
        <w:rPr>
          <w:rFonts w:hint="eastAsia" w:ascii="宋体" w:hAnsi="宋体" w:cs="宋体"/>
          <w:color w:val="000000" w:themeColor="text1"/>
          <w:szCs w:val="21"/>
          <w14:textFill>
            <w14:solidFill>
              <w14:schemeClr w14:val="tx1"/>
            </w14:solidFill>
          </w14:textFill>
        </w:rPr>
        <w:t>履约担保可以采用下列任何一种形式：</w:t>
      </w:r>
    </w:p>
    <w:p w14:paraId="2C494D7F">
      <w:pPr>
        <w:widowControl w:val="0"/>
        <w:numPr>
          <w:ilvl w:val="1"/>
          <w:numId w:val="0"/>
        </w:numPr>
        <w:overflowPunct w:val="0"/>
        <w:ind w:left="0" w:leftChars="0" w:firstLine="640" w:firstLineChars="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（1）履约保函。如果中标人的履约担保是以银行保函形式提供的，则该银行保函应：</w:t>
      </w:r>
    </w:p>
    <w:p w14:paraId="368DFE4D">
      <w:pPr>
        <w:widowControl w:val="0"/>
        <w:numPr>
          <w:ilvl w:val="1"/>
          <w:numId w:val="0"/>
        </w:numPr>
        <w:overflowPunct w:val="0"/>
        <w:ind w:left="0" w:leftChars="0" w:firstLine="640" w:firstLineChars="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①保函应由银行支行或以上银行机构开具，非东莞市行政区内的银行开具的保函要由银行所在地公证部门出具的公证书。</w:t>
      </w:r>
    </w:p>
    <w:p w14:paraId="5DE43B92">
      <w:pPr>
        <w:widowControl w:val="0"/>
        <w:numPr>
          <w:ilvl w:val="1"/>
          <w:numId w:val="0"/>
        </w:numPr>
        <w:overflowPunct w:val="0"/>
        <w:ind w:left="0" w:leftChars="0" w:firstLine="640" w:firstLineChars="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②保函的格式参考投标文件附件中提供的无条件不可撤销履约保函格式，保函担保期内若项目未能按期竣工，保函必须延期，办理延期手续时在银行方面所产生费用由中标人负责。</w:t>
      </w:r>
    </w:p>
    <w:p w14:paraId="3E89A546">
      <w:pPr>
        <w:widowControl w:val="0"/>
        <w:numPr>
          <w:ilvl w:val="1"/>
          <w:numId w:val="0"/>
        </w:numPr>
        <w:overflowPunct w:val="0"/>
        <w:ind w:left="0" w:leftChars="0" w:firstLine="640" w:firstLineChars="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③履约保函必须打印，手写、涂改无效。</w:t>
      </w:r>
    </w:p>
    <w:p w14:paraId="70E2E91C">
      <w:pPr>
        <w:widowControl w:val="0"/>
        <w:numPr>
          <w:ilvl w:val="1"/>
          <w:numId w:val="0"/>
        </w:numPr>
        <w:overflowPunct w:val="0"/>
        <w:ind w:left="0" w:leftChars="0" w:firstLine="640" w:firstLineChars="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履约保证金。可采用电汇、银行汇票等银行转账方式提交，但不可以采用现金方式提交。履约保证金金额为中标价的10%。中标人人必须保证履约保证金以中标人的名称在（合同约定的日期）前提交至采购人指定账户。</w:t>
      </w:r>
    </w:p>
    <w:p w14:paraId="50CDEE2A">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33.</w:t>
      </w:r>
      <w:r>
        <w:rPr>
          <w:rFonts w:hint="eastAsia" w:ascii="宋体" w:hAnsi="宋体" w:cs="宋体"/>
          <w:color w:val="000000" w:themeColor="text1"/>
          <w:sz w:val="21"/>
          <w:szCs w:val="21"/>
          <w:lang w:val="en-US" w:eastAsia="zh-CN" w:bidi="ar-SA"/>
          <w14:textFill>
            <w14:solidFill>
              <w14:schemeClr w14:val="tx1"/>
            </w14:solidFill>
          </w14:textFill>
        </w:rPr>
        <w:t>4</w:t>
      </w:r>
      <w:r>
        <w:rPr>
          <w:rFonts w:hint="default" w:ascii="宋体" w:hAnsi="宋体" w:eastAsia="宋体" w:cs="宋体"/>
          <w:color w:val="000000" w:themeColor="text1"/>
          <w:sz w:val="21"/>
          <w:szCs w:val="21"/>
          <w:lang w:val="en-US" w:eastAsia="zh-CN" w:bidi="ar-SA"/>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若中标人不能按本采购文件（33.1至33.3）的规定提交履约保证金的，采购人将有权取消中标人的中标资格（采购人可以按照评标委员会提出的中标候选人名单排序依次确定其他中标候选人为中标人，也可以重新采购），投标保证金不予退还，给采购人造成的损失如果超过投标保证金数额的，还应当对超过部分予以赔偿。</w:t>
      </w:r>
    </w:p>
    <w:p w14:paraId="1A6BF981">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33.</w:t>
      </w:r>
      <w:r>
        <w:rPr>
          <w:rFonts w:hint="eastAsia" w:ascii="宋体" w:hAnsi="宋体" w:cs="宋体"/>
          <w:color w:val="000000" w:themeColor="text1"/>
          <w:sz w:val="21"/>
          <w:szCs w:val="21"/>
          <w:lang w:val="en-US" w:eastAsia="zh-CN" w:bidi="ar-SA"/>
          <w14:textFill>
            <w14:solidFill>
              <w14:schemeClr w14:val="tx1"/>
            </w14:solidFill>
          </w14:textFill>
        </w:rPr>
        <w:t>5</w:t>
      </w:r>
      <w:r>
        <w:rPr>
          <w:rFonts w:hint="default" w:ascii="宋体" w:hAnsi="宋体" w:eastAsia="宋体" w:cs="宋体"/>
          <w:color w:val="000000" w:themeColor="text1"/>
          <w:sz w:val="21"/>
          <w:szCs w:val="21"/>
          <w:lang w:val="en-US" w:eastAsia="zh-CN" w:bidi="ar-SA"/>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为取得履约担保所需的费用，由中标人承担；若工期延误，履约担保时间延长，延长费用由中标人承担。</w:t>
      </w:r>
    </w:p>
    <w:p w14:paraId="4867CC38">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33.</w:t>
      </w:r>
      <w:r>
        <w:rPr>
          <w:rFonts w:hint="eastAsia" w:ascii="宋体" w:hAnsi="宋体" w:cs="宋体"/>
          <w:color w:val="000000" w:themeColor="text1"/>
          <w:sz w:val="21"/>
          <w:szCs w:val="21"/>
          <w:lang w:val="en-US" w:eastAsia="zh-CN" w:bidi="ar-SA"/>
          <w14:textFill>
            <w14:solidFill>
              <w14:schemeClr w14:val="tx1"/>
            </w14:solidFill>
          </w14:textFill>
        </w:rPr>
        <w:t>6</w:t>
      </w:r>
      <w:r>
        <w:rPr>
          <w:rFonts w:hint="default" w:ascii="宋体" w:hAnsi="宋体" w:eastAsia="宋体" w:cs="宋体"/>
          <w:color w:val="000000" w:themeColor="text1"/>
          <w:sz w:val="21"/>
          <w:szCs w:val="21"/>
          <w:lang w:val="en-US" w:eastAsia="zh-CN" w:bidi="ar-SA"/>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若中标人在合同履行过程中出现项目质量事故、工期拖延、欠付工人工资、欠付材料款等情况，采购人在经核查属实后，有权将履约保函金额转为现金存入履约保证金账户；中标人造成采购人损失的，采购人有权立即没收其履约担保，若造成损失超过履约担保的，还应当对超过部分予以赔偿。</w:t>
      </w:r>
    </w:p>
    <w:p w14:paraId="5EA90734">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33.</w:t>
      </w:r>
      <w:r>
        <w:rPr>
          <w:rFonts w:hint="eastAsia" w:ascii="宋体" w:hAnsi="宋体" w:cs="宋体"/>
          <w:color w:val="000000" w:themeColor="text1"/>
          <w:sz w:val="21"/>
          <w:szCs w:val="21"/>
          <w:lang w:val="en-US" w:eastAsia="zh-CN" w:bidi="ar-SA"/>
          <w14:textFill>
            <w14:solidFill>
              <w14:schemeClr w14:val="tx1"/>
            </w14:solidFill>
          </w14:textFill>
        </w:rPr>
        <w:t>7</w:t>
      </w:r>
      <w:r>
        <w:rPr>
          <w:rFonts w:hint="default" w:ascii="宋体" w:hAnsi="宋体" w:eastAsia="宋体" w:cs="宋体"/>
          <w:color w:val="000000" w:themeColor="text1"/>
          <w:sz w:val="21"/>
          <w:szCs w:val="21"/>
          <w:lang w:val="en-US" w:eastAsia="zh-CN" w:bidi="ar-SA"/>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下列任何情况发生时，采购人有权行使享有的担保权利：</w:t>
      </w:r>
    </w:p>
    <w:p w14:paraId="1BAC3BB7">
      <w:pPr>
        <w:widowControl w:val="0"/>
        <w:tabs>
          <w:tab w:val="left" w:pos="907"/>
        </w:tabs>
        <w:adjustRightInd/>
        <w:snapToGrid/>
        <w:ind w:left="567"/>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（1）中标人将本项目转让给他人，或者在投标文件中未说明，且未经采购人同意，将中标项目分包给他人的；</w:t>
      </w:r>
    </w:p>
    <w:p w14:paraId="3150327D">
      <w:pPr>
        <w:widowControl w:val="0"/>
        <w:tabs>
          <w:tab w:val="left" w:pos="907"/>
        </w:tabs>
        <w:adjustRightInd/>
        <w:snapToGrid/>
        <w:ind w:left="567"/>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（2）中标人在履行采购合同期间，违反有关法律法规的规定及合同约定的条款，损害了采购人的利益。</w:t>
      </w:r>
    </w:p>
    <w:p w14:paraId="600E2DA5">
      <w:pPr>
        <w:widowControl w:val="0"/>
        <w:numPr>
          <w:ilvl w:val="1"/>
          <w:numId w:val="0"/>
        </w:numPr>
        <w:overflowPunct w:val="0"/>
        <w:ind w:left="567" w:leftChars="0" w:hanging="567" w:firstLineChars="0"/>
        <w:rPr>
          <w:rFonts w:ascii="宋体" w:hAnsi="宋体" w:cs="宋体"/>
          <w:color w:val="000000" w:themeColor="text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33.</w:t>
      </w:r>
      <w:r>
        <w:rPr>
          <w:rFonts w:hint="eastAsia" w:ascii="宋体" w:hAnsi="宋体" w:cs="宋体"/>
          <w:color w:val="000000" w:themeColor="text1"/>
          <w:sz w:val="21"/>
          <w:szCs w:val="21"/>
          <w:lang w:val="en-US" w:eastAsia="zh-CN" w:bidi="ar-SA"/>
          <w14:textFill>
            <w14:solidFill>
              <w14:schemeClr w14:val="tx1"/>
            </w14:solidFill>
          </w14:textFill>
        </w:rPr>
        <w:t>8</w:t>
      </w:r>
      <w:r>
        <w:rPr>
          <w:rFonts w:hint="default" w:ascii="宋体" w:hAnsi="宋体" w:eastAsia="宋体" w:cs="宋体"/>
          <w:color w:val="000000" w:themeColor="text1"/>
          <w:sz w:val="21"/>
          <w:szCs w:val="21"/>
          <w:lang w:val="en-US" w:eastAsia="zh-CN" w:bidi="ar-SA"/>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在整个项目验收合格后，中标人向采购人提交退回履约担保的申请，采购人办理履约担保退还手续。</w:t>
      </w:r>
    </w:p>
    <w:p w14:paraId="2ECFAF15">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207" w:name="_Toc18880"/>
      <w:bookmarkStart w:id="208" w:name="_Toc19655"/>
      <w:r>
        <w:rPr>
          <w:rFonts w:hint="default" w:ascii="宋体" w:hAnsi="宋体" w:eastAsia="宋体" w:cs="宋体"/>
          <w:b/>
          <w:color w:val="000000" w:themeColor="text1"/>
          <w:sz w:val="21"/>
          <w:szCs w:val="21"/>
          <w:lang w:val="en-US" w:eastAsia="zh-CN" w:bidi="ar-SA"/>
          <w14:textFill>
            <w14:solidFill>
              <w14:schemeClr w14:val="tx1"/>
            </w14:solidFill>
          </w14:textFill>
        </w:rPr>
        <w:t>34.</w:t>
      </w:r>
      <w:r>
        <w:rPr>
          <w:rFonts w:hint="eastAsia" w:ascii="宋体" w:hAnsi="宋体" w:cs="宋体"/>
          <w:color w:val="000000" w:themeColor="text1"/>
          <w:sz w:val="21"/>
          <w:szCs w:val="21"/>
          <w14:textFill>
            <w14:solidFill>
              <w14:schemeClr w14:val="tx1"/>
            </w14:solidFill>
          </w14:textFill>
        </w:rPr>
        <w:t>预付款保函（适用于预付款支付）</w:t>
      </w:r>
      <w:bookmarkEnd w:id="207"/>
      <w:bookmarkEnd w:id="208"/>
    </w:p>
    <w:p w14:paraId="12D330D1">
      <w:pPr>
        <w:widowControl w:val="0"/>
        <w:numPr>
          <w:ilvl w:val="1"/>
          <w:numId w:val="0"/>
        </w:numPr>
        <w:overflowPunct w:val="0"/>
        <w:ind w:left="567" w:leftChars="0" w:hanging="567" w:firstLineChars="0"/>
        <w:rPr>
          <w:rFonts w:ascii="宋体" w:hAnsi="宋体" w:cs="宋体"/>
          <w:color w:val="000000" w:themeColor="text1"/>
          <w:szCs w:val="21"/>
          <w:highlight w:val="none"/>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34.1.</w:t>
      </w:r>
      <w:r>
        <w:rPr>
          <w:rFonts w:hint="eastAsia" w:ascii="宋体" w:hAnsi="宋体" w:cs="宋体"/>
          <w:color w:val="000000" w:themeColor="text1"/>
          <w:szCs w:val="21"/>
          <w14:textFill>
            <w14:solidFill>
              <w14:schemeClr w14:val="tx1"/>
            </w14:solidFill>
          </w14:textFill>
        </w:rPr>
        <w:t>在签订合同时，中标人应按本须知规定向</w:t>
      </w:r>
      <w:r>
        <w:rPr>
          <w:rFonts w:hint="eastAsia" w:ascii="宋体" w:hAnsi="宋体" w:cs="宋体"/>
          <w:color w:val="000000" w:themeColor="text1"/>
          <w:szCs w:val="21"/>
          <w:highlight w:val="none"/>
          <w14:textFill>
            <w14:solidFill>
              <w14:schemeClr w14:val="tx1"/>
            </w14:solidFill>
          </w14:textFill>
        </w:rPr>
        <w:t>采购人提交一份合同预付款等额有效的预付款保函。预付款保函有效期从保函开立之日起至采购人向中标人抵扣完所有预付款之日止。如果中标人提交的预付款保函的有效期先于采购文件要求的预付款保函有效期到达，中标人应在原提交的预付款保函有效期前15日内，无条件办理预付款保函延期手续。否则视为中标人违约，采购人可在预付款保函到期前将未抵扣的预付款转为现金存入采购人账户</w:t>
      </w:r>
    </w:p>
    <w:p w14:paraId="76EDAD25">
      <w:pPr>
        <w:widowControl w:val="0"/>
        <w:numPr>
          <w:ilvl w:val="1"/>
          <w:numId w:val="0"/>
        </w:numPr>
        <w:overflowPunct w:val="0"/>
        <w:ind w:left="567" w:leftChars="0" w:hanging="567" w:firstLineChars="0"/>
        <w:rPr>
          <w:rFonts w:ascii="宋体" w:hAnsi="宋体" w:cs="宋体"/>
          <w:color w:val="000000" w:themeColor="text1"/>
          <w:szCs w:val="21"/>
          <w:highlight w:val="none"/>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34.2.</w:t>
      </w:r>
      <w:r>
        <w:rPr>
          <w:rFonts w:hint="eastAsia" w:ascii="宋体" w:hAnsi="宋体" w:cs="宋体"/>
          <w:color w:val="000000" w:themeColor="text1"/>
          <w:szCs w:val="21"/>
          <w:highlight w:val="none"/>
          <w14:textFill>
            <w14:solidFill>
              <w14:schemeClr w14:val="tx1"/>
            </w14:solidFill>
          </w14:textFill>
        </w:rPr>
        <w:t>预付款保函应：</w:t>
      </w:r>
    </w:p>
    <w:p w14:paraId="616E2B1B">
      <w:pPr>
        <w:widowControl w:val="0"/>
        <w:tabs>
          <w:tab w:val="left" w:pos="907"/>
        </w:tabs>
        <w:adjustRightInd/>
        <w:snapToGrid/>
        <w:ind w:left="567"/>
        <w:jc w:val="both"/>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（1）由东莞市行政区域内的银行支行及以上银行机构开具。非东莞市行政区内的银行开具的保函要由银行所在地公证部门出具的公证书。</w:t>
      </w:r>
    </w:p>
    <w:p w14:paraId="4B1BE430">
      <w:pPr>
        <w:widowControl w:val="0"/>
        <w:tabs>
          <w:tab w:val="left" w:pos="907"/>
        </w:tabs>
        <w:adjustRightInd/>
        <w:snapToGrid/>
        <w:ind w:left="567"/>
        <w:jc w:val="both"/>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（2）必须打印，手写、涂改无效</w:t>
      </w:r>
    </w:p>
    <w:p w14:paraId="2FB940B6">
      <w:pPr>
        <w:widowControl w:val="0"/>
        <w:numPr>
          <w:ilvl w:val="1"/>
          <w:numId w:val="0"/>
        </w:numPr>
        <w:overflowPunct w:val="0"/>
        <w:ind w:left="567" w:leftChars="0" w:hanging="567" w:firstLineChars="0"/>
        <w:rPr>
          <w:rFonts w:ascii="宋体" w:hAnsi="宋体" w:cs="宋体"/>
          <w:color w:val="000000" w:themeColor="text1"/>
          <w:szCs w:val="21"/>
          <w:highlight w:val="none"/>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34.3.</w:t>
      </w:r>
      <w:r>
        <w:rPr>
          <w:rFonts w:hint="eastAsia" w:ascii="宋体" w:hAnsi="宋体" w:cs="宋体"/>
          <w:color w:val="000000" w:themeColor="text1"/>
          <w:szCs w:val="21"/>
          <w:highlight w:val="none"/>
          <w14:textFill>
            <w14:solidFill>
              <w14:schemeClr w14:val="tx1"/>
            </w14:solidFill>
          </w14:textFill>
        </w:rPr>
        <w:t>若中标人不能按本须知（34.1至34.2）的规定执行，采购人将不予支付预付款。</w:t>
      </w:r>
    </w:p>
    <w:p w14:paraId="7E451AF0">
      <w:pPr>
        <w:widowControl w:val="0"/>
        <w:numPr>
          <w:ilvl w:val="1"/>
          <w:numId w:val="0"/>
        </w:numPr>
        <w:overflowPunct w:val="0"/>
        <w:ind w:left="567" w:leftChars="0" w:hanging="567" w:firstLineChars="0"/>
        <w:rPr>
          <w:rFonts w:ascii="宋体" w:hAnsi="宋体" w:cs="宋体"/>
          <w:color w:val="000000" w:themeColor="text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34.4.</w:t>
      </w:r>
      <w:r>
        <w:rPr>
          <w:rFonts w:hint="eastAsia" w:ascii="宋体" w:hAnsi="宋体" w:cs="宋体"/>
          <w:color w:val="000000" w:themeColor="text1"/>
          <w:szCs w:val="21"/>
          <w:highlight w:val="none"/>
          <w14:textFill>
            <w14:solidFill>
              <w14:schemeClr w14:val="tx1"/>
            </w14:solidFill>
          </w14:textFill>
        </w:rPr>
        <w:t>如果中标人提交的预付款保函的有效期先于采购文件要求的预付款保函有效期到达，中标人应在原提交的预付款保函有效期满前15天内，无条件办理预付款保函延期手续。否则视为中标人违约，采购人可在预付款保函到期前将未抵扣的预付</w:t>
      </w:r>
      <w:r>
        <w:rPr>
          <w:rFonts w:hint="eastAsia" w:ascii="宋体" w:hAnsi="宋体" w:cs="宋体"/>
          <w:color w:val="000000" w:themeColor="text1"/>
          <w:szCs w:val="21"/>
          <w14:textFill>
            <w14:solidFill>
              <w14:schemeClr w14:val="tx1"/>
            </w14:solidFill>
          </w14:textFill>
        </w:rPr>
        <w:t>款金额转为现金存入采购人账户。</w:t>
      </w:r>
    </w:p>
    <w:p w14:paraId="3A372B9E">
      <w:pPr>
        <w:pStyle w:val="4"/>
        <w:numPr>
          <w:ilvl w:val="0"/>
          <w:numId w:val="2"/>
        </w:numPr>
        <w:spacing w:before="0" w:after="0" w:line="360" w:lineRule="auto"/>
        <w:jc w:val="center"/>
        <w:rPr>
          <w:rFonts w:ascii="宋体" w:hAnsi="宋体" w:cs="宋体"/>
          <w:color w:val="000000" w:themeColor="text1"/>
          <w14:textFill>
            <w14:solidFill>
              <w14:schemeClr w14:val="tx1"/>
            </w14:solidFill>
          </w14:textFill>
        </w:rPr>
      </w:pPr>
      <w:bookmarkStart w:id="209" w:name="_Toc9293"/>
      <w:bookmarkStart w:id="210" w:name="_Toc25392"/>
      <w:bookmarkStart w:id="211" w:name="_Toc21814"/>
      <w:r>
        <w:rPr>
          <w:rFonts w:hint="eastAsia" w:ascii="宋体" w:hAnsi="宋体" w:cs="宋体"/>
          <w:color w:val="000000" w:themeColor="text1"/>
          <w14:textFill>
            <w14:solidFill>
              <w14:schemeClr w14:val="tx1"/>
            </w14:solidFill>
          </w14:textFill>
        </w:rPr>
        <w:t>异议</w:t>
      </w:r>
      <w:bookmarkEnd w:id="209"/>
      <w:bookmarkEnd w:id="210"/>
      <w:bookmarkEnd w:id="211"/>
    </w:p>
    <w:p w14:paraId="1B8C5EBD">
      <w:pPr>
        <w:pStyle w:val="5"/>
        <w:widowControl w:val="0"/>
        <w:numPr>
          <w:ilvl w:val="0"/>
          <w:numId w:val="0"/>
        </w:numPr>
        <w:overflowPunct w:val="0"/>
        <w:ind w:left="425" w:leftChars="0" w:hanging="425" w:firstLineChars="0"/>
        <w:rPr>
          <w:rFonts w:ascii="宋体" w:hAnsi="宋体" w:cs="宋体"/>
          <w:color w:val="000000" w:themeColor="text1"/>
          <w:sz w:val="21"/>
          <w:szCs w:val="21"/>
          <w14:textFill>
            <w14:solidFill>
              <w14:schemeClr w14:val="tx1"/>
            </w14:solidFill>
          </w14:textFill>
        </w:rPr>
      </w:pPr>
      <w:bookmarkStart w:id="212" w:name="_Toc9791"/>
      <w:bookmarkStart w:id="213" w:name="_Toc23754"/>
      <w:r>
        <w:rPr>
          <w:rFonts w:hint="default" w:ascii="宋体" w:hAnsi="宋体" w:eastAsia="宋体" w:cs="宋体"/>
          <w:b/>
          <w:color w:val="000000" w:themeColor="text1"/>
          <w:sz w:val="21"/>
          <w:szCs w:val="21"/>
          <w:lang w:val="en-US" w:eastAsia="zh-CN" w:bidi="ar-SA"/>
          <w14:textFill>
            <w14:solidFill>
              <w14:schemeClr w14:val="tx1"/>
            </w14:solidFill>
          </w14:textFill>
        </w:rPr>
        <w:t>35.</w:t>
      </w:r>
      <w:r>
        <w:rPr>
          <w:rFonts w:hint="eastAsia" w:ascii="宋体" w:hAnsi="宋体" w:cs="宋体"/>
          <w:color w:val="000000" w:themeColor="text1"/>
          <w:sz w:val="21"/>
          <w:szCs w:val="21"/>
          <w14:textFill>
            <w14:solidFill>
              <w14:schemeClr w14:val="tx1"/>
            </w14:solidFill>
          </w14:textFill>
        </w:rPr>
        <w:t>异议</w:t>
      </w:r>
      <w:bookmarkEnd w:id="212"/>
      <w:bookmarkEnd w:id="213"/>
    </w:p>
    <w:p w14:paraId="094DEB43">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35.1.</w:t>
      </w:r>
      <w:r>
        <w:rPr>
          <w:rFonts w:hint="eastAsia" w:ascii="宋体" w:hAnsi="宋体" w:cs="宋体"/>
          <w:color w:val="000000" w:themeColor="text1"/>
          <w:szCs w:val="21"/>
          <w:lang w:val="zh-CN"/>
          <w14:textFill>
            <w14:solidFill>
              <w14:schemeClr w14:val="tx1"/>
            </w14:solidFill>
          </w14:textFill>
        </w:rPr>
        <w:t>采购文件的异议</w:t>
      </w:r>
      <w:r>
        <w:rPr>
          <w:rFonts w:hint="eastAsia" w:ascii="宋体" w:hAnsi="宋体" w:cs="宋体"/>
          <w:color w:val="000000" w:themeColor="text1"/>
          <w:szCs w:val="21"/>
          <w14:textFill>
            <w14:solidFill>
              <w14:schemeClr w14:val="tx1"/>
            </w14:solidFill>
          </w14:textFill>
        </w:rPr>
        <w:t xml:space="preserve">  </w:t>
      </w:r>
    </w:p>
    <w:p w14:paraId="619EBFA9">
      <w:pPr>
        <w:widowControl w:val="0"/>
        <w:tabs>
          <w:tab w:val="left" w:pos="907"/>
        </w:tabs>
        <w:adjustRightInd/>
        <w:snapToGrid/>
        <w:ind w:firstLine="420" w:firstLineChars="200"/>
        <w:jc w:val="both"/>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kern w:val="2"/>
          <w:szCs w:val="21"/>
          <w:lang w:val="zh-CN"/>
          <w14:textFill>
            <w14:solidFill>
              <w14:schemeClr w14:val="tx1"/>
            </w14:solidFill>
          </w14:textFill>
        </w:rPr>
        <w:t>投标人或者其他利害关系人对采购文件有异议的，应当在投标截止时间10日前</w:t>
      </w:r>
      <w:r>
        <w:rPr>
          <w:rFonts w:hint="eastAsia" w:ascii="宋体" w:hAnsi="宋体" w:cs="宋体"/>
          <w:color w:val="000000" w:themeColor="text1"/>
          <w:kern w:val="2"/>
          <w:szCs w:val="21"/>
          <w:lang w:val="zh-CN"/>
          <w14:textFill>
            <w14:solidFill>
              <w14:schemeClr w14:val="tx1"/>
            </w14:solidFill>
          </w14:textFill>
        </w:rPr>
        <w:t>以书面形式向采购代理机构提出，并将材料原件送达采购代理机构，逾期则视为对采购文件所有内容无异议。</w:t>
      </w:r>
      <w:r>
        <w:rPr>
          <w:rFonts w:hint="eastAsia" w:ascii="宋体" w:hAnsi="宋体" w:cs="宋体"/>
          <w:bCs/>
          <w:color w:val="000000" w:themeColor="text1"/>
          <w:kern w:val="2"/>
          <w:szCs w:val="21"/>
          <w:lang w:val="zh-CN"/>
          <w14:textFill>
            <w14:solidFill>
              <w14:schemeClr w14:val="tx1"/>
            </w14:solidFill>
          </w14:textFill>
        </w:rPr>
        <w:t>异议</w:t>
      </w:r>
      <w:r>
        <w:rPr>
          <w:rFonts w:hint="eastAsia" w:ascii="宋体" w:hAnsi="宋体" w:cs="宋体"/>
          <w:color w:val="000000" w:themeColor="text1"/>
          <w:kern w:val="2"/>
          <w:szCs w:val="21"/>
          <w:lang w:val="zh-CN"/>
          <w14:textFill>
            <w14:solidFill>
              <w14:schemeClr w14:val="tx1"/>
            </w14:solidFill>
          </w14:textFill>
        </w:rPr>
        <w:t>书面材料必须加盖投标人法人公章，并注明联系人、联系电话、联系地址。</w:t>
      </w:r>
      <w:r>
        <w:rPr>
          <w:rFonts w:hint="eastAsia" w:ascii="宋体" w:hAnsi="宋体" w:cs="宋体"/>
          <w:bCs/>
          <w:color w:val="000000" w:themeColor="text1"/>
          <w:kern w:val="2"/>
          <w:szCs w:val="21"/>
          <w:lang w:val="zh-CN"/>
          <w14:textFill>
            <w14:solidFill>
              <w14:schemeClr w14:val="tx1"/>
            </w14:solidFill>
          </w14:textFill>
        </w:rPr>
        <w:t>超出</w:t>
      </w:r>
      <w:r>
        <w:rPr>
          <w:rFonts w:hint="eastAsia" w:ascii="宋体" w:hAnsi="宋体" w:cs="宋体"/>
          <w:color w:val="000000" w:themeColor="text1"/>
          <w:kern w:val="2"/>
          <w:szCs w:val="21"/>
          <w:lang w:val="zh-CN"/>
          <w14:textFill>
            <w14:solidFill>
              <w14:schemeClr w14:val="tx1"/>
            </w14:solidFill>
          </w14:textFill>
        </w:rPr>
        <w:t>提交接收异议截止时间而</w:t>
      </w:r>
      <w:r>
        <w:rPr>
          <w:rFonts w:hint="eastAsia" w:ascii="宋体" w:hAnsi="宋体" w:cs="宋体"/>
          <w:bCs/>
          <w:color w:val="000000" w:themeColor="text1"/>
          <w:kern w:val="2"/>
          <w:szCs w:val="21"/>
          <w:lang w:val="zh-CN"/>
          <w14:textFill>
            <w14:solidFill>
              <w14:schemeClr w14:val="tx1"/>
            </w14:solidFill>
          </w14:textFill>
        </w:rPr>
        <w:t>提出的任何疑问，</w:t>
      </w:r>
      <w:r>
        <w:rPr>
          <w:rFonts w:hint="eastAsia" w:ascii="宋体" w:hAnsi="宋体" w:cs="宋体"/>
          <w:bCs/>
          <w:color w:val="000000" w:themeColor="text1"/>
          <w:kern w:val="2"/>
          <w:szCs w:val="21"/>
          <w14:textFill>
            <w14:solidFill>
              <w14:schemeClr w14:val="tx1"/>
            </w14:solidFill>
          </w14:textFill>
        </w:rPr>
        <w:t>采购人或</w:t>
      </w:r>
      <w:r>
        <w:rPr>
          <w:rFonts w:hint="eastAsia" w:ascii="宋体" w:hAnsi="宋体" w:cs="宋体"/>
          <w:bCs/>
          <w:color w:val="000000" w:themeColor="text1"/>
          <w:kern w:val="2"/>
          <w:szCs w:val="21"/>
          <w:lang w:val="zh-CN"/>
          <w14:textFill>
            <w14:solidFill>
              <w14:schemeClr w14:val="tx1"/>
            </w14:solidFill>
          </w14:textFill>
        </w:rPr>
        <w:t>采购代理机构可不予答复。</w:t>
      </w:r>
    </w:p>
    <w:p w14:paraId="4B53DDE5">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35.2.</w:t>
      </w:r>
      <w:r>
        <w:rPr>
          <w:rFonts w:hint="eastAsia" w:ascii="宋体" w:hAnsi="宋体" w:cs="宋体"/>
          <w:color w:val="000000" w:themeColor="text1"/>
          <w:szCs w:val="21"/>
          <w:lang w:val="zh-CN"/>
          <w14:textFill>
            <w14:solidFill>
              <w14:schemeClr w14:val="tx1"/>
            </w14:solidFill>
          </w14:textFill>
        </w:rPr>
        <w:t>评标结果异议</w:t>
      </w:r>
      <w:r>
        <w:rPr>
          <w:rFonts w:hint="eastAsia" w:ascii="宋体" w:hAnsi="宋体" w:cs="宋体"/>
          <w:color w:val="000000" w:themeColor="text1"/>
          <w:szCs w:val="21"/>
          <w14:textFill>
            <w14:solidFill>
              <w14:schemeClr w14:val="tx1"/>
            </w14:solidFill>
          </w14:textFill>
        </w:rPr>
        <w:t xml:space="preserve">   </w:t>
      </w:r>
    </w:p>
    <w:p w14:paraId="53E79AC3">
      <w:pPr>
        <w:widowControl w:val="0"/>
        <w:tabs>
          <w:tab w:val="left" w:pos="907"/>
        </w:tabs>
        <w:adjustRightInd/>
        <w:snapToGrid/>
        <w:ind w:firstLine="420" w:firstLineChars="200"/>
        <w:jc w:val="both"/>
        <w:rPr>
          <w:rFonts w:ascii="宋体" w:hAnsi="宋体" w:cs="宋体"/>
          <w:color w:val="000000" w:themeColor="text1"/>
          <w:kern w:val="2"/>
          <w:szCs w:val="21"/>
          <w:lang w:val="zh-CN"/>
          <w14:textFill>
            <w14:solidFill>
              <w14:schemeClr w14:val="tx1"/>
            </w14:solidFill>
          </w14:textFill>
        </w:rPr>
      </w:pPr>
      <w:r>
        <w:rPr>
          <w:rFonts w:hint="eastAsia" w:ascii="宋体" w:hAnsi="宋体" w:cs="宋体"/>
          <w:color w:val="000000" w:themeColor="text1"/>
          <w:kern w:val="2"/>
          <w:szCs w:val="21"/>
          <w:lang w:val="zh-CN"/>
          <w14:textFill>
            <w14:solidFill>
              <w14:schemeClr w14:val="tx1"/>
            </w14:solidFill>
          </w14:textFill>
        </w:rPr>
        <w:t>投标人或者其他利害关系人对评标结果有异议的，应当在中标候选人公示期间向采购代理机构以书面的形式提出，并将完整的异议书面材料原件送达采购代理机构，逾期则视为对评标结果无异议。超出提交异议截止时间而提出的任何疑问，采购代理机构可不予答复。</w:t>
      </w:r>
    </w:p>
    <w:p w14:paraId="5637C2AA">
      <w:pPr>
        <w:widowControl w:val="0"/>
        <w:tabs>
          <w:tab w:val="left" w:pos="907"/>
        </w:tabs>
        <w:adjustRightInd/>
        <w:snapToGrid/>
        <w:ind w:firstLine="420" w:firstLineChars="200"/>
        <w:jc w:val="both"/>
        <w:rPr>
          <w:rFonts w:ascii="宋体" w:hAnsi="宋体" w:cs="宋体"/>
          <w:color w:val="000000" w:themeColor="text1"/>
          <w:kern w:val="2"/>
          <w:szCs w:val="21"/>
          <w:lang w:val="zh-CN"/>
          <w14:textFill>
            <w14:solidFill>
              <w14:schemeClr w14:val="tx1"/>
            </w14:solidFill>
          </w14:textFill>
        </w:rPr>
      </w:pPr>
      <w:r>
        <w:rPr>
          <w:rFonts w:hint="eastAsia" w:ascii="宋体" w:hAnsi="宋体" w:cs="宋体"/>
          <w:color w:val="000000" w:themeColor="text1"/>
          <w:kern w:val="2"/>
          <w:szCs w:val="21"/>
          <w:lang w:val="zh-CN"/>
          <w14:textFill>
            <w14:solidFill>
              <w14:schemeClr w14:val="tx1"/>
            </w14:solidFill>
          </w14:textFill>
        </w:rPr>
        <w:t>采购代理机构将拒收未能提供完整异议书面材料的异议，完整的异议书面材料必须同时包含：异议书（加盖法人公章，并注明联系人、联系电话、联系地址）、授权提交异议的法定代表人授权书原件、反映异议人主体资格的营业执照复印件（加盖法人公章）、以及合法来源的证据证明材料。</w:t>
      </w:r>
    </w:p>
    <w:p w14:paraId="6098DF70">
      <w:pPr>
        <w:widowControl w:val="0"/>
        <w:numPr>
          <w:ilvl w:val="1"/>
          <w:numId w:val="0"/>
        </w:numPr>
        <w:overflowPunct w:val="0"/>
        <w:ind w:left="567" w:leftChars="0" w:hanging="567" w:firstLineChars="0"/>
        <w:rPr>
          <w:rFonts w:ascii="宋体" w:hAnsi="宋体" w:cs="宋体"/>
          <w:color w:val="000000" w:themeColor="text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35.3.</w:t>
      </w:r>
      <w:r>
        <w:rPr>
          <w:rFonts w:hint="eastAsia" w:ascii="宋体" w:hAnsi="宋体" w:cs="宋体"/>
          <w:color w:val="000000" w:themeColor="text1"/>
          <w:szCs w:val="21"/>
          <w14:textFill>
            <w14:solidFill>
              <w14:schemeClr w14:val="tx1"/>
            </w14:solidFill>
          </w14:textFill>
        </w:rPr>
        <w:t>以联合体形式参加采购活动的，其异议应当由组成联合体的所有投标人共同提出。</w:t>
      </w:r>
    </w:p>
    <w:p w14:paraId="3398EC31">
      <w:pPr>
        <w:pStyle w:val="4"/>
        <w:numPr>
          <w:ilvl w:val="0"/>
          <w:numId w:val="2"/>
        </w:numPr>
        <w:spacing w:before="0" w:after="0" w:line="360" w:lineRule="auto"/>
        <w:jc w:val="center"/>
        <w:rPr>
          <w:rFonts w:ascii="宋体" w:hAnsi="宋体" w:cs="宋体"/>
          <w:color w:val="000000" w:themeColor="text1"/>
          <w14:textFill>
            <w14:solidFill>
              <w14:schemeClr w14:val="tx1"/>
            </w14:solidFill>
          </w14:textFill>
        </w:rPr>
      </w:pPr>
      <w:bookmarkStart w:id="214" w:name="_Toc5159"/>
      <w:bookmarkStart w:id="215" w:name="_Toc18965"/>
      <w:bookmarkStart w:id="216" w:name="_Toc23395"/>
      <w:r>
        <w:rPr>
          <w:rFonts w:hint="eastAsia" w:ascii="宋体" w:hAnsi="宋体" w:cs="宋体"/>
          <w:color w:val="000000" w:themeColor="text1"/>
          <w14:textFill>
            <w14:solidFill>
              <w14:schemeClr w14:val="tx1"/>
            </w14:solidFill>
          </w14:textFill>
        </w:rPr>
        <w:t>其他</w:t>
      </w:r>
      <w:bookmarkEnd w:id="214"/>
      <w:bookmarkEnd w:id="215"/>
      <w:bookmarkEnd w:id="216"/>
    </w:p>
    <w:p w14:paraId="4C686491">
      <w:pPr>
        <w:pStyle w:val="5"/>
        <w:widowControl w:val="0"/>
        <w:numPr>
          <w:ilvl w:val="0"/>
          <w:numId w:val="0"/>
        </w:numPr>
        <w:overflowPunct w:val="0"/>
        <w:ind w:left="425" w:leftChars="0" w:hanging="425" w:firstLineChars="0"/>
        <w:rPr>
          <w:rFonts w:ascii="宋体" w:hAnsi="宋体" w:cs="宋体"/>
          <w:vanish/>
          <w:color w:val="000000" w:themeColor="text1"/>
          <w:szCs w:val="21"/>
          <w14:textFill>
            <w14:solidFill>
              <w14:schemeClr w14:val="tx1"/>
            </w14:solidFill>
          </w14:textFill>
        </w:rPr>
      </w:pPr>
      <w:bookmarkStart w:id="217" w:name="_Toc12672"/>
      <w:bookmarkStart w:id="218" w:name="_Toc1587"/>
      <w:r>
        <w:rPr>
          <w:rFonts w:hint="default" w:ascii="宋体" w:hAnsi="宋体" w:eastAsia="宋体" w:cs="宋体"/>
          <w:b/>
          <w:color w:val="000000" w:themeColor="text1"/>
          <w:sz w:val="21"/>
          <w:szCs w:val="21"/>
          <w:lang w:val="en-US" w:eastAsia="zh-CN" w:bidi="ar-SA"/>
          <w14:textFill>
            <w14:solidFill>
              <w14:schemeClr w14:val="tx1"/>
            </w14:solidFill>
          </w14:textFill>
        </w:rPr>
        <w:t>36.</w:t>
      </w:r>
      <w:r>
        <w:rPr>
          <w:rFonts w:hint="eastAsia" w:ascii="宋体" w:hAnsi="宋体" w:cs="宋体"/>
          <w:color w:val="000000" w:themeColor="text1"/>
          <w:sz w:val="21"/>
          <w:szCs w:val="21"/>
          <w14:textFill>
            <w14:solidFill>
              <w14:schemeClr w14:val="tx1"/>
            </w14:solidFill>
          </w14:textFill>
        </w:rPr>
        <w:t>采购文件的解释权</w:t>
      </w:r>
      <w:bookmarkEnd w:id="217"/>
      <w:bookmarkEnd w:id="218"/>
    </w:p>
    <w:p w14:paraId="1E029DF8">
      <w:pPr>
        <w:widowControl w:val="0"/>
        <w:numPr>
          <w:ilvl w:val="1"/>
          <w:numId w:val="0"/>
        </w:numPr>
        <w:overflowPunct w:val="0"/>
        <w:ind w:left="567" w:leftChars="0" w:hanging="567" w:firstLineChars="0"/>
        <w:rPr>
          <w:rFonts w:ascii="宋体" w:hAnsi="宋体" w:cs="宋体"/>
          <w:color w:val="000000" w:themeColor="text1"/>
          <w:szCs w:val="21"/>
          <w14:textFill>
            <w14:solidFill>
              <w14:schemeClr w14:val="tx1"/>
            </w14:solidFill>
          </w14:textFill>
        </w:rPr>
      </w:pPr>
      <w:r>
        <w:rPr>
          <w:rFonts w:hint="default" w:ascii="宋体" w:hAnsi="宋体" w:eastAsia="宋体" w:cs="宋体"/>
          <w:color w:val="000000" w:themeColor="text1"/>
          <w:sz w:val="21"/>
          <w:szCs w:val="21"/>
          <w:lang w:val="en-US" w:eastAsia="zh-CN" w:bidi="ar-SA"/>
          <w14:textFill>
            <w14:solidFill>
              <w14:schemeClr w14:val="tx1"/>
            </w14:solidFill>
          </w14:textFill>
        </w:rPr>
        <w:t>36.1.</w:t>
      </w:r>
      <w:r>
        <w:rPr>
          <w:rFonts w:hint="eastAsia" w:ascii="宋体" w:hAnsi="宋体" w:cs="宋体"/>
          <w:color w:val="000000" w:themeColor="text1"/>
          <w:szCs w:val="21"/>
          <w14:textFill>
            <w14:solidFill>
              <w14:schemeClr w14:val="tx1"/>
            </w14:solidFill>
          </w14:textFill>
        </w:rPr>
        <w:t>本采购文件是根据国家有关法律、法规以及采购管理有关规定和参照国际惯例编制，解释权属本采购代理机构。</w:t>
      </w:r>
    </w:p>
    <w:p w14:paraId="0FD3CDD7">
      <w:pPr>
        <w:widowControl w:val="0"/>
        <w:numPr>
          <w:ilvl w:val="1"/>
          <w:numId w:val="7"/>
        </w:numPr>
        <w:tabs>
          <w:tab w:val="left" w:pos="907"/>
        </w:tabs>
        <w:adjustRightInd/>
        <w:snapToGrid/>
        <w:spacing w:line="360" w:lineRule="exact"/>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6A5DD650">
      <w:pPr>
        <w:pStyle w:val="2"/>
        <w:spacing w:before="0" w:after="0" w:line="240" w:lineRule="auto"/>
        <w:rPr>
          <w:color w:val="000000" w:themeColor="text1"/>
          <w:sz w:val="28"/>
          <w:szCs w:val="28"/>
          <w14:textFill>
            <w14:solidFill>
              <w14:schemeClr w14:val="tx1"/>
            </w14:solidFill>
          </w14:textFill>
        </w:rPr>
      </w:pPr>
      <w:bookmarkStart w:id="219" w:name="_Toc16219"/>
      <w:bookmarkStart w:id="220" w:name="_Toc30789"/>
      <w:r>
        <w:rPr>
          <w:rFonts w:hint="eastAsia"/>
          <w:color w:val="000000" w:themeColor="text1"/>
          <w:sz w:val="28"/>
          <w:szCs w:val="28"/>
          <w14:textFill>
            <w14:solidFill>
              <w14:schemeClr w14:val="tx1"/>
            </w14:solidFill>
          </w14:textFill>
        </w:rPr>
        <w:t>第五部分  合同条款格式</w:t>
      </w:r>
      <w:bookmarkEnd w:id="219"/>
      <w:bookmarkEnd w:id="220"/>
      <w:bookmarkStart w:id="221" w:name="_Toc15636"/>
    </w:p>
    <w:bookmarkEnd w:id="221"/>
    <w:p w14:paraId="5E6D8D0A">
      <w:pPr>
        <w:rPr>
          <w:color w:val="000000" w:themeColor="text1"/>
          <w:lang w:bidi="zh-CN"/>
          <w14:textFill>
            <w14:solidFill>
              <w14:schemeClr w14:val="tx1"/>
            </w14:solidFill>
          </w14:textFill>
        </w:rPr>
      </w:pPr>
      <w:bookmarkStart w:id="222" w:name="_Hlt109815959"/>
      <w:bookmarkEnd w:id="222"/>
    </w:p>
    <w:p w14:paraId="46CED0F1">
      <w:pPr>
        <w:tabs>
          <w:tab w:val="left" w:pos="851"/>
          <w:tab w:val="left" w:pos="993"/>
          <w:tab w:val="left" w:pos="1276"/>
        </w:tabs>
        <w:ind w:right="418" w:rightChars="199"/>
        <w:rPr>
          <w:b/>
          <w:bCs/>
          <w:color w:val="000000" w:themeColor="text1"/>
          <w:sz w:val="52"/>
          <w:szCs w:val="52"/>
          <w14:textFill>
            <w14:solidFill>
              <w14:schemeClr w14:val="tx1"/>
            </w14:solidFill>
          </w14:textFill>
        </w:rPr>
      </w:pPr>
      <w:r>
        <w:rPr>
          <w:rFonts w:hint="eastAsia"/>
          <w:b/>
          <w:bCs/>
          <w:color w:val="000000" w:themeColor="text1"/>
          <w:sz w:val="28"/>
          <w:szCs w:val="28"/>
          <w14:textFill>
            <w14:solidFill>
              <w14:schemeClr w14:val="tx1"/>
            </w14:solidFill>
          </w14:textFill>
        </w:rPr>
        <w:t>合同编号：</w:t>
      </w:r>
    </w:p>
    <w:p w14:paraId="394A30CD">
      <w:pPr>
        <w:pStyle w:val="8"/>
        <w:ind w:firstLine="0" w:firstLineChars="0"/>
        <w:rPr>
          <w:rFonts w:cs="宋体"/>
          <w:b/>
          <w:bCs/>
          <w:color w:val="000000" w:themeColor="text1"/>
          <w14:textFill>
            <w14:solidFill>
              <w14:schemeClr w14:val="tx1"/>
            </w14:solidFill>
          </w14:textFill>
        </w:rPr>
      </w:pPr>
    </w:p>
    <w:p w14:paraId="0FA83FC6">
      <w:pPr>
        <w:pStyle w:val="8"/>
        <w:ind w:firstLine="0" w:firstLineChars="0"/>
        <w:rPr>
          <w:rFonts w:cs="宋体"/>
          <w:b/>
          <w:bCs/>
          <w:color w:val="000000" w:themeColor="text1"/>
          <w14:textFill>
            <w14:solidFill>
              <w14:schemeClr w14:val="tx1"/>
            </w14:solidFill>
          </w14:textFill>
        </w:rPr>
      </w:pPr>
    </w:p>
    <w:p w14:paraId="7EF750FA">
      <w:pPr>
        <w:pStyle w:val="8"/>
        <w:ind w:firstLine="0" w:firstLineChars="0"/>
        <w:rPr>
          <w:rFonts w:cs="宋体"/>
          <w:b/>
          <w:bCs/>
          <w:color w:val="000000" w:themeColor="text1"/>
          <w14:textFill>
            <w14:solidFill>
              <w14:schemeClr w14:val="tx1"/>
            </w14:solidFill>
          </w14:textFill>
        </w:rPr>
      </w:pPr>
    </w:p>
    <w:p w14:paraId="7C075200">
      <w:pPr>
        <w:pStyle w:val="8"/>
        <w:ind w:firstLine="0" w:firstLineChars="0"/>
        <w:rPr>
          <w:rFonts w:cs="宋体"/>
          <w:b/>
          <w:bCs/>
          <w:color w:val="000000" w:themeColor="text1"/>
          <w14:textFill>
            <w14:solidFill>
              <w14:schemeClr w14:val="tx1"/>
            </w14:solidFill>
          </w14:textFill>
        </w:rPr>
      </w:pPr>
    </w:p>
    <w:p w14:paraId="43353C04">
      <w:pPr>
        <w:pStyle w:val="8"/>
        <w:ind w:firstLine="0" w:firstLineChars="0"/>
        <w:rPr>
          <w:rFonts w:cs="宋体"/>
          <w:b/>
          <w:bCs/>
          <w:color w:val="000000" w:themeColor="text1"/>
          <w14:textFill>
            <w14:solidFill>
              <w14:schemeClr w14:val="tx1"/>
            </w14:solidFill>
          </w14:textFill>
        </w:rPr>
      </w:pPr>
    </w:p>
    <w:p w14:paraId="5BDE88BE">
      <w:pPr>
        <w:pStyle w:val="8"/>
        <w:ind w:firstLine="0" w:firstLineChars="0"/>
        <w:rPr>
          <w:rFonts w:cs="宋体"/>
          <w:b/>
          <w:bCs/>
          <w:color w:val="000000" w:themeColor="text1"/>
          <w14:textFill>
            <w14:solidFill>
              <w14:schemeClr w14:val="tx1"/>
            </w14:solidFill>
          </w14:textFill>
        </w:rPr>
      </w:pPr>
    </w:p>
    <w:p w14:paraId="08DEB2A1">
      <w:pPr>
        <w:pStyle w:val="8"/>
        <w:ind w:firstLine="0" w:firstLineChars="0"/>
        <w:rPr>
          <w:rFonts w:cs="宋体"/>
          <w:b/>
          <w:bCs/>
          <w:color w:val="000000" w:themeColor="text1"/>
          <w14:textFill>
            <w14:solidFill>
              <w14:schemeClr w14:val="tx1"/>
            </w14:solidFill>
          </w14:textFill>
        </w:rPr>
      </w:pPr>
    </w:p>
    <w:p w14:paraId="09980ADE">
      <w:pPr>
        <w:pStyle w:val="8"/>
        <w:ind w:firstLine="0" w:firstLineChars="0"/>
        <w:rPr>
          <w:rFonts w:cs="宋体"/>
          <w:b/>
          <w:bCs/>
          <w:color w:val="000000" w:themeColor="text1"/>
          <w14:textFill>
            <w14:solidFill>
              <w14:schemeClr w14:val="tx1"/>
            </w14:solidFill>
          </w14:textFill>
        </w:rPr>
      </w:pPr>
    </w:p>
    <w:p w14:paraId="7E88A21B">
      <w:pPr>
        <w:jc w:val="center"/>
        <w:rPr>
          <w:b/>
          <w:bCs/>
          <w:color w:val="000000" w:themeColor="text1"/>
          <w:sz w:val="52"/>
          <w:szCs w:val="52"/>
          <w14:textFill>
            <w14:solidFill>
              <w14:schemeClr w14:val="tx1"/>
            </w14:solidFill>
          </w14:textFill>
        </w:rPr>
      </w:pPr>
      <w:r>
        <w:rPr>
          <w:rFonts w:hint="eastAsia"/>
          <w:b/>
          <w:bCs/>
          <w:color w:val="000000" w:themeColor="text1"/>
          <w:sz w:val="52"/>
          <w:szCs w:val="52"/>
          <w:lang w:eastAsia="zh-CN"/>
          <w14:textFill>
            <w14:solidFill>
              <w14:schemeClr w14:val="tx1"/>
            </w14:solidFill>
          </w14:textFill>
        </w:rPr>
        <w:t>东莞能源集团安全信息化管理系统建设项目（重新采购）</w:t>
      </w:r>
      <w:r>
        <w:rPr>
          <w:rFonts w:hint="eastAsia"/>
          <w:b/>
          <w:bCs/>
          <w:color w:val="000000" w:themeColor="text1"/>
          <w:sz w:val="52"/>
          <w:szCs w:val="52"/>
          <w14:textFill>
            <w14:solidFill>
              <w14:schemeClr w14:val="tx1"/>
            </w14:solidFill>
          </w14:textFill>
        </w:rPr>
        <w:t>合同</w:t>
      </w:r>
    </w:p>
    <w:p w14:paraId="06EF37A3">
      <w:pPr>
        <w:pStyle w:val="8"/>
        <w:ind w:firstLine="0" w:firstLineChars="0"/>
        <w:rPr>
          <w:rFonts w:cs="宋体"/>
          <w:b/>
          <w:bCs/>
          <w:color w:val="000000" w:themeColor="text1"/>
          <w14:textFill>
            <w14:solidFill>
              <w14:schemeClr w14:val="tx1"/>
            </w14:solidFill>
          </w14:textFill>
        </w:rPr>
      </w:pPr>
    </w:p>
    <w:p w14:paraId="2B27D05A">
      <w:pPr>
        <w:pStyle w:val="8"/>
        <w:ind w:firstLine="0" w:firstLineChars="0"/>
        <w:rPr>
          <w:rFonts w:cs="宋体"/>
          <w:b/>
          <w:bCs/>
          <w:color w:val="000000" w:themeColor="text1"/>
          <w14:textFill>
            <w14:solidFill>
              <w14:schemeClr w14:val="tx1"/>
            </w14:solidFill>
          </w14:textFill>
        </w:rPr>
      </w:pPr>
    </w:p>
    <w:p w14:paraId="5232E59F">
      <w:pPr>
        <w:pStyle w:val="8"/>
        <w:ind w:firstLine="0" w:firstLineChars="0"/>
        <w:rPr>
          <w:rFonts w:cs="宋体"/>
          <w:b/>
          <w:bCs/>
          <w:color w:val="000000" w:themeColor="text1"/>
          <w14:textFill>
            <w14:solidFill>
              <w14:schemeClr w14:val="tx1"/>
            </w14:solidFill>
          </w14:textFill>
        </w:rPr>
      </w:pPr>
    </w:p>
    <w:p w14:paraId="57F23BA0">
      <w:pPr>
        <w:pStyle w:val="8"/>
        <w:ind w:firstLine="0" w:firstLineChars="0"/>
        <w:rPr>
          <w:rFonts w:cs="宋体"/>
          <w:b/>
          <w:bCs/>
          <w:color w:val="000000" w:themeColor="text1"/>
          <w14:textFill>
            <w14:solidFill>
              <w14:schemeClr w14:val="tx1"/>
            </w14:solidFill>
          </w14:textFill>
        </w:rPr>
      </w:pPr>
    </w:p>
    <w:p w14:paraId="139817F1">
      <w:pPr>
        <w:pStyle w:val="8"/>
        <w:ind w:firstLine="0" w:firstLineChars="0"/>
        <w:rPr>
          <w:rFonts w:cs="宋体"/>
          <w:b/>
          <w:bCs/>
          <w:color w:val="000000" w:themeColor="text1"/>
          <w14:textFill>
            <w14:solidFill>
              <w14:schemeClr w14:val="tx1"/>
            </w14:solidFill>
          </w14:textFill>
        </w:rPr>
      </w:pPr>
    </w:p>
    <w:p w14:paraId="0FFB1DAA">
      <w:pPr>
        <w:pStyle w:val="8"/>
        <w:ind w:firstLine="0" w:firstLineChars="0"/>
        <w:rPr>
          <w:rFonts w:cs="宋体"/>
          <w:b/>
          <w:bCs/>
          <w:color w:val="000000" w:themeColor="text1"/>
          <w14:textFill>
            <w14:solidFill>
              <w14:schemeClr w14:val="tx1"/>
            </w14:solidFill>
          </w14:textFill>
        </w:rPr>
      </w:pPr>
    </w:p>
    <w:p w14:paraId="4FB5FFDE">
      <w:pPr>
        <w:pStyle w:val="8"/>
        <w:ind w:firstLine="0" w:firstLineChars="0"/>
        <w:rPr>
          <w:rFonts w:cs="宋体"/>
          <w:b/>
          <w:bCs/>
          <w:color w:val="000000" w:themeColor="text1"/>
          <w14:textFill>
            <w14:solidFill>
              <w14:schemeClr w14:val="tx1"/>
            </w14:solidFill>
          </w14:textFill>
        </w:rPr>
      </w:pPr>
    </w:p>
    <w:p w14:paraId="255547FD">
      <w:pPr>
        <w:pStyle w:val="8"/>
        <w:ind w:firstLine="0" w:firstLineChars="0"/>
        <w:rPr>
          <w:rFonts w:cs="宋体"/>
          <w:b/>
          <w:bCs/>
          <w:color w:val="000000" w:themeColor="text1"/>
          <w14:textFill>
            <w14:solidFill>
              <w14:schemeClr w14:val="tx1"/>
            </w14:solidFill>
          </w14:textFill>
        </w:rPr>
      </w:pPr>
    </w:p>
    <w:p w14:paraId="0C330327">
      <w:pPr>
        <w:pStyle w:val="8"/>
        <w:ind w:firstLine="0" w:firstLineChars="0"/>
        <w:rPr>
          <w:rFonts w:cs="宋体"/>
          <w:b/>
          <w:bCs/>
          <w:color w:val="000000" w:themeColor="text1"/>
          <w14:textFill>
            <w14:solidFill>
              <w14:schemeClr w14:val="tx1"/>
            </w14:solidFill>
          </w14:textFill>
        </w:rPr>
      </w:pPr>
    </w:p>
    <w:p w14:paraId="7B5C9BF5">
      <w:pPr>
        <w:pStyle w:val="8"/>
        <w:ind w:firstLine="0" w:firstLineChars="0"/>
        <w:rPr>
          <w:rFonts w:cs="宋体"/>
          <w:b/>
          <w:bCs/>
          <w:color w:val="000000" w:themeColor="text1"/>
          <w14:textFill>
            <w14:solidFill>
              <w14:schemeClr w14:val="tx1"/>
            </w14:solidFill>
          </w14:textFill>
        </w:rPr>
      </w:pPr>
    </w:p>
    <w:p w14:paraId="24FDD1FB">
      <w:pPr>
        <w:ind w:left="867" w:leftChars="413"/>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甲方：</w:t>
      </w:r>
      <w:r>
        <w:rPr>
          <w:rFonts w:hint="eastAsia"/>
          <w:b/>
          <w:color w:val="000000" w:themeColor="text1"/>
          <w:sz w:val="28"/>
          <w:szCs w:val="28"/>
          <w:u w:val="single"/>
          <w:lang w:eastAsia="zh-CN"/>
          <w14:textFill>
            <w14:solidFill>
              <w14:schemeClr w14:val="tx1"/>
            </w14:solidFill>
          </w14:textFill>
        </w:rPr>
        <w:t>东莞市能源投资集团有限公司</w:t>
      </w:r>
      <w:r>
        <w:rPr>
          <w:rFonts w:hint="eastAsia"/>
          <w:b/>
          <w:color w:val="000000" w:themeColor="text1"/>
          <w:sz w:val="28"/>
          <w:szCs w:val="28"/>
          <w14:textFill>
            <w14:solidFill>
              <w14:schemeClr w14:val="tx1"/>
            </w14:solidFill>
          </w14:textFill>
        </w:rPr>
        <w:t>（公章）</w:t>
      </w:r>
    </w:p>
    <w:p w14:paraId="05BB5895">
      <w:pPr>
        <w:ind w:left="867" w:leftChars="413"/>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乙方：</w:t>
      </w:r>
      <w:r>
        <w:rPr>
          <w:rFonts w:hint="eastAsia"/>
          <w:b/>
          <w:color w:val="000000" w:themeColor="text1"/>
          <w:sz w:val="28"/>
          <w:szCs w:val="28"/>
          <w:u w:val="single"/>
          <w14:textFill>
            <w14:solidFill>
              <w14:schemeClr w14:val="tx1"/>
            </w14:solidFill>
          </w14:textFill>
        </w:rPr>
        <w:t xml:space="preserve">                           </w:t>
      </w:r>
      <w:r>
        <w:rPr>
          <w:rFonts w:hint="eastAsia"/>
          <w:b/>
          <w:color w:val="000000" w:themeColor="text1"/>
          <w:sz w:val="28"/>
          <w:szCs w:val="28"/>
          <w14:textFill>
            <w14:solidFill>
              <w14:schemeClr w14:val="tx1"/>
            </w14:solidFill>
          </w14:textFill>
        </w:rPr>
        <w:t>（公章）</w:t>
      </w:r>
    </w:p>
    <w:p w14:paraId="3BBD36DE">
      <w:pPr>
        <w:ind w:left="867" w:leftChars="413"/>
        <w:rPr>
          <w:b/>
          <w:color w:val="000000" w:themeColor="text1"/>
          <w:sz w:val="28"/>
          <w:szCs w:val="28"/>
          <w:u w:val="single"/>
          <w14:textFill>
            <w14:solidFill>
              <w14:schemeClr w14:val="tx1"/>
            </w14:solidFill>
          </w14:textFill>
        </w:rPr>
      </w:pPr>
      <w:r>
        <w:rPr>
          <w:rFonts w:hint="eastAsia"/>
          <w:b/>
          <w:color w:val="000000" w:themeColor="text1"/>
          <w:sz w:val="28"/>
          <w:szCs w:val="28"/>
          <w14:textFill>
            <w14:solidFill>
              <w14:schemeClr w14:val="tx1"/>
            </w14:solidFill>
          </w14:textFill>
        </w:rPr>
        <w:t>签订日期：</w:t>
      </w:r>
      <w:r>
        <w:rPr>
          <w:b/>
          <w:color w:val="000000" w:themeColor="text1"/>
          <w:sz w:val="28"/>
          <w:szCs w:val="28"/>
          <w:u w:val="single"/>
          <w14:textFill>
            <w14:solidFill>
              <w14:schemeClr w14:val="tx1"/>
            </w14:solidFill>
          </w14:textFill>
        </w:rPr>
        <w:t>202</w:t>
      </w:r>
      <w:r>
        <w:rPr>
          <w:rFonts w:hint="eastAsia"/>
          <w:b/>
          <w:color w:val="000000" w:themeColor="text1"/>
          <w:sz w:val="28"/>
          <w:szCs w:val="28"/>
          <w:u w:val="single"/>
          <w:lang w:val="en-US" w:eastAsia="zh-CN"/>
          <w14:textFill>
            <w14:solidFill>
              <w14:schemeClr w14:val="tx1"/>
            </w14:solidFill>
          </w14:textFill>
        </w:rPr>
        <w:t>6</w:t>
      </w:r>
      <w:r>
        <w:rPr>
          <w:rFonts w:hint="eastAsia"/>
          <w:b/>
          <w:color w:val="000000" w:themeColor="text1"/>
          <w:sz w:val="28"/>
          <w:szCs w:val="28"/>
          <w:u w:val="single"/>
          <w14:textFill>
            <w14:solidFill>
              <w14:schemeClr w14:val="tx1"/>
            </w14:solidFill>
          </w14:textFill>
        </w:rPr>
        <w:t xml:space="preserve">年  </w:t>
      </w:r>
      <w:r>
        <w:rPr>
          <w:b/>
          <w:color w:val="000000" w:themeColor="text1"/>
          <w:sz w:val="28"/>
          <w:szCs w:val="28"/>
          <w:u w:val="single"/>
          <w14:textFill>
            <w14:solidFill>
              <w14:schemeClr w14:val="tx1"/>
            </w14:solidFill>
          </w14:textFill>
        </w:rPr>
        <w:t xml:space="preserve"> </w:t>
      </w:r>
      <w:r>
        <w:rPr>
          <w:rFonts w:hint="eastAsia"/>
          <w:b/>
          <w:color w:val="000000" w:themeColor="text1"/>
          <w:sz w:val="28"/>
          <w:szCs w:val="28"/>
          <w:u w:val="single"/>
          <w14:textFill>
            <w14:solidFill>
              <w14:schemeClr w14:val="tx1"/>
            </w14:solidFill>
          </w14:textFill>
        </w:rPr>
        <w:t>月   日</w:t>
      </w:r>
    </w:p>
    <w:p w14:paraId="046B4AF9">
      <w:pPr>
        <w:ind w:left="867" w:leftChars="413"/>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签订地点：</w:t>
      </w:r>
      <w:r>
        <w:rPr>
          <w:rFonts w:hint="eastAsia"/>
          <w:b/>
          <w:color w:val="000000" w:themeColor="text1"/>
          <w:sz w:val="28"/>
          <w:szCs w:val="28"/>
          <w:u w:val="single"/>
          <w14:textFill>
            <w14:solidFill>
              <w14:schemeClr w14:val="tx1"/>
            </w14:solidFill>
          </w14:textFill>
        </w:rPr>
        <w:t>东莞市</w:t>
      </w:r>
    </w:p>
    <w:p w14:paraId="6FA4476B">
      <w:pPr>
        <w:rPr>
          <w:color w:val="000000" w:themeColor="text1"/>
          <w14:textFill>
            <w14:solidFill>
              <w14:schemeClr w14:val="tx1"/>
            </w14:solidFill>
          </w14:textFill>
        </w:rPr>
      </w:pPr>
    </w:p>
    <w:p w14:paraId="784A667A">
      <w:pPr>
        <w:jc w:val="center"/>
        <w:rPr>
          <w:b/>
          <w:bCs/>
          <w:color w:val="000000" w:themeColor="text1"/>
          <w:sz w:val="36"/>
          <w:szCs w:val="36"/>
          <w14:textFill>
            <w14:solidFill>
              <w14:schemeClr w14:val="tx1"/>
            </w14:solidFill>
          </w14:textFill>
        </w:rPr>
      </w:pPr>
      <w:r>
        <w:rPr>
          <w:b/>
          <w:bCs/>
          <w:color w:val="000000" w:themeColor="text1"/>
          <w:sz w:val="36"/>
          <w:szCs w:val="36"/>
          <w14:textFill>
            <w14:solidFill>
              <w14:schemeClr w14:val="tx1"/>
            </w14:solidFill>
          </w14:textFill>
        </w:rPr>
        <w:br w:type="page"/>
      </w:r>
      <w:r>
        <w:rPr>
          <w:rFonts w:hint="eastAsia"/>
          <w:b/>
          <w:bCs/>
          <w:color w:val="000000" w:themeColor="text1"/>
          <w:sz w:val="36"/>
          <w:szCs w:val="36"/>
          <w:lang w:eastAsia="zh-CN"/>
          <w14:textFill>
            <w14:solidFill>
              <w14:schemeClr w14:val="tx1"/>
            </w14:solidFill>
          </w14:textFill>
        </w:rPr>
        <w:t>东莞能源集团安全信息化管理系统建设项目（重新采购）</w:t>
      </w:r>
      <w:r>
        <w:rPr>
          <w:rFonts w:hint="eastAsia"/>
          <w:b/>
          <w:bCs/>
          <w:color w:val="000000" w:themeColor="text1"/>
          <w:sz w:val="36"/>
          <w:szCs w:val="36"/>
          <w14:textFill>
            <w14:solidFill>
              <w14:schemeClr w14:val="tx1"/>
            </w14:solidFill>
          </w14:textFill>
        </w:rPr>
        <w:t>合同</w:t>
      </w:r>
    </w:p>
    <w:p w14:paraId="550950F7">
      <w:pPr>
        <w:spacing w:line="440" w:lineRule="exact"/>
        <w:ind w:firstLine="420" w:firstLineChars="200"/>
        <w:rPr>
          <w:color w:val="000000" w:themeColor="text1"/>
          <w:szCs w:val="21"/>
          <w14:textFill>
            <w14:solidFill>
              <w14:schemeClr w14:val="tx1"/>
            </w14:solidFill>
          </w14:textFill>
        </w:rPr>
      </w:pPr>
    </w:p>
    <w:p w14:paraId="06CED2DC">
      <w:pPr>
        <w:rPr>
          <w:rFonts w:hint="eastAsia" w:ascii="宋体" w:hAnsi="宋体" w:eastAsia="宋体" w:cs="宋体"/>
          <w:color w:val="000000" w:themeColor="text1"/>
          <w:szCs w:val="21"/>
          <w:u w:val="single"/>
          <w:lang w:eastAsia="zh-CN"/>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甲方（采购人）：</w:t>
      </w:r>
      <w:r>
        <w:rPr>
          <w:rFonts w:hint="eastAsia" w:ascii="宋体" w:hAnsi="宋体" w:cs="宋体"/>
          <w:color w:val="000000" w:themeColor="text1"/>
          <w:szCs w:val="21"/>
          <w:u w:val="single"/>
          <w:lang w:eastAsia="zh-CN" w:bidi="ar"/>
          <w14:textFill>
            <w14:solidFill>
              <w14:schemeClr w14:val="tx1"/>
            </w14:solidFill>
          </w14:textFill>
        </w:rPr>
        <w:t>东莞市能源投资集团有限公司</w:t>
      </w:r>
    </w:p>
    <w:p w14:paraId="5E5C9AFE">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 xml:space="preserve">乙方（中标人）：                             </w:t>
      </w:r>
    </w:p>
    <w:p w14:paraId="17ED82C9">
      <w:pPr>
        <w:rPr>
          <w:rFonts w:ascii="宋体" w:hAnsi="宋体" w:cs="宋体"/>
          <w:color w:val="000000" w:themeColor="text1"/>
          <w:szCs w:val="21"/>
          <w14:textFill>
            <w14:solidFill>
              <w14:schemeClr w14:val="tx1"/>
            </w14:solidFill>
          </w14:textFill>
        </w:rPr>
      </w:pPr>
    </w:p>
    <w:p w14:paraId="546A4D99">
      <w:pPr>
        <w:ind w:firstLine="525"/>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根据《中华人民共和国民法典》及其他法律法规的有关规定，</w:t>
      </w:r>
      <w:r>
        <w:rPr>
          <w:rFonts w:hint="eastAsia" w:ascii="宋体" w:hAnsi="宋体" w:cs="宋体"/>
          <w:color w:val="000000" w:themeColor="text1"/>
          <w:szCs w:val="21"/>
          <w:lang w:bidi="ar"/>
          <w14:textFill>
            <w14:solidFill>
              <w14:schemeClr w14:val="tx1"/>
            </w14:solidFill>
          </w14:textFill>
        </w:rPr>
        <w:t>甲乙双方就乙方向甲方提供</w:t>
      </w:r>
      <w:r>
        <w:rPr>
          <w:rFonts w:hint="eastAsia" w:ascii="宋体" w:hAnsi="宋体" w:cs="宋体"/>
          <w:color w:val="000000" w:themeColor="text1"/>
          <w:szCs w:val="21"/>
          <w:lang w:eastAsia="zh-CN" w:bidi="ar"/>
          <w14:textFill>
            <w14:solidFill>
              <w14:schemeClr w14:val="tx1"/>
            </w14:solidFill>
          </w14:textFill>
        </w:rPr>
        <w:t>东莞能源集团安全信息化管理系统建设项目（重新采购）</w:t>
      </w:r>
      <w:r>
        <w:rPr>
          <w:rFonts w:hint="eastAsia" w:ascii="宋体" w:hAnsi="宋体" w:cs="宋体"/>
          <w:color w:val="000000" w:themeColor="text1"/>
          <w:szCs w:val="21"/>
          <w:lang w:bidi="ar"/>
          <w14:textFill>
            <w14:solidFill>
              <w14:schemeClr w14:val="tx1"/>
            </w14:solidFill>
          </w14:textFill>
        </w:rPr>
        <w:t>事项，经协商一致，本着公平，公正的原则签订本合同，并由双方共同遵守。</w:t>
      </w:r>
    </w:p>
    <w:p w14:paraId="77F9208B">
      <w:pP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一、合同金额</w:t>
      </w:r>
    </w:p>
    <w:p w14:paraId="11C354C0">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合同金额（含税）为（大写）：_____________元（￥_________元），其中：增值税率为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%，税金金额¥</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元，不含税暂定合同总价款为¥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元。</w:t>
      </w:r>
    </w:p>
    <w:p w14:paraId="108B301F">
      <w:pPr>
        <w:bidi w:val="0"/>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合同金额为全包价，以人民币为结算单位，</w:t>
      </w:r>
      <w:r>
        <w:rPr>
          <w:color w:val="000000" w:themeColor="text1"/>
          <w14:textFill>
            <w14:solidFill>
              <w14:schemeClr w14:val="tx1"/>
            </w14:solidFill>
          </w14:textFill>
        </w:rPr>
        <w:t>包含完成本次采购所有标的内容的费用，包含服务费用、人工费、材料费、调试费、各种税务费及合同实施过程中的不可预见费用等全部费用（含采购文件所要求的必要的辅助材料费用)和售后服务费等。包含所有应支付的对专利权和版权、设计或其他知识产权而需要向其他方支付的版税</w:t>
      </w:r>
      <w:r>
        <w:rPr>
          <w:rFonts w:hint="eastAsia"/>
          <w:color w:val="000000" w:themeColor="text1"/>
          <w:lang w:eastAsia="zh-CN"/>
          <w14:textFill>
            <w14:solidFill>
              <w14:schemeClr w14:val="tx1"/>
            </w14:solidFill>
          </w14:textFill>
        </w:rPr>
        <w:t>。</w:t>
      </w:r>
    </w:p>
    <w:p w14:paraId="3129EB67">
      <w:pP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二、服务内容及要求</w:t>
      </w:r>
    </w:p>
    <w:p w14:paraId="7BA947BA">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乙方为甲方提供以下服务内容及要求：</w:t>
      </w:r>
    </w:p>
    <w:p w14:paraId="65CB709B">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具体服务内容及要求详见采购文件，按照采购文件和投标文件执行。</w:t>
      </w:r>
    </w:p>
    <w:p w14:paraId="3C95D40B">
      <w:pP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三、服务期</w:t>
      </w:r>
    </w:p>
    <w:p w14:paraId="479B95A6">
      <w:pPr>
        <w:ind w:firstLine="420"/>
        <w:rPr>
          <w:rFonts w:ascii="宋体" w:hAnsi="宋体" w:cs="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自合同签订之日起至2026年12月31日（不含二期）</w:t>
      </w:r>
      <w:r>
        <w:rPr>
          <w:rFonts w:hint="eastAsia" w:asciiTheme="minorEastAsia" w:hAnsiTheme="minorEastAsia" w:cstheme="minorEastAsia"/>
          <w:color w:val="000000" w:themeColor="text1"/>
          <w:szCs w:val="21"/>
          <w14:textFill>
            <w14:solidFill>
              <w14:schemeClr w14:val="tx1"/>
            </w14:solidFill>
          </w14:textFill>
        </w:rPr>
        <w:t>完成整个项目的建设及上线试运行，系统整体稳定试运行1个月后进行系统初验工作，初验通过即进入为期6个月的系统迭代优化阶段</w:t>
      </w:r>
      <w:r>
        <w:rPr>
          <w:rFonts w:hint="eastAsia"/>
          <w:color w:val="000000" w:themeColor="text1"/>
          <w:lang w:eastAsia="zh-CN"/>
          <w14:textFill>
            <w14:solidFill>
              <w14:schemeClr w14:val="tx1"/>
            </w14:solidFill>
          </w14:textFill>
        </w:rPr>
        <w:t>。</w:t>
      </w:r>
      <w:r>
        <w:rPr>
          <w:rFonts w:hint="eastAsia" w:asciiTheme="minorEastAsia" w:hAnsiTheme="minorEastAsia" w:cstheme="minorEastAsia"/>
          <w:color w:val="000000" w:themeColor="text1"/>
          <w:szCs w:val="21"/>
          <w14:textFill>
            <w14:solidFill>
              <w14:schemeClr w14:val="tx1"/>
            </w14:solidFill>
          </w14:textFill>
        </w:rPr>
        <w:t>完成系统建设、上线试运行、初验以及6个月的迭代优化并运行稳定，即具备终验条件，进行终验工作。</w:t>
      </w:r>
    </w:p>
    <w:p w14:paraId="094BDE3A">
      <w:pP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四、付款方式</w:t>
      </w:r>
    </w:p>
    <w:p w14:paraId="0409891C">
      <w:pPr>
        <w:bidi w:val="0"/>
        <w:ind w:firstLine="420" w:firstLineChars="200"/>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第一期：合同签订后，甲方收到合格的付款发票及请款报告等资料之日起5个工作日内支付合同金额的</w:t>
      </w:r>
      <w:r>
        <w:rPr>
          <w:rFonts w:hint="eastAsia"/>
          <w:color w:val="000000" w:themeColor="text1"/>
          <w14:textFill>
            <w14:solidFill>
              <w14:schemeClr w14:val="tx1"/>
            </w14:solidFill>
          </w14:textFill>
        </w:rPr>
        <w:t>30%预付款</w:t>
      </w:r>
      <w:r>
        <w:rPr>
          <w:rFonts w:hint="eastAsia"/>
          <w:color w:val="000000" w:themeColor="text1"/>
          <w:lang w:eastAsia="zh-CN"/>
          <w14:textFill>
            <w14:solidFill>
              <w14:schemeClr w14:val="tx1"/>
            </w14:solidFill>
          </w14:textFill>
        </w:rPr>
        <w:t>；</w:t>
      </w:r>
    </w:p>
    <w:p w14:paraId="2A030040">
      <w:pPr>
        <w:bidi w:val="0"/>
        <w:ind w:firstLine="420" w:firstLineChars="200"/>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第二期：</w:t>
      </w:r>
      <w:r>
        <w:rPr>
          <w:rFonts w:hint="eastAsia"/>
          <w:color w:val="000000" w:themeColor="text1"/>
          <w14:textFill>
            <w14:solidFill>
              <w14:schemeClr w14:val="tx1"/>
            </w14:solidFill>
          </w14:textFill>
        </w:rPr>
        <w:t>完成开发、单元测试、系统集成部署后</w:t>
      </w:r>
      <w:r>
        <w:rPr>
          <w:rFonts w:hint="eastAsia" w:asciiTheme="minorEastAsia" w:hAnsiTheme="minorEastAsia" w:cstheme="minorEastAsia"/>
          <w:color w:val="000000" w:themeColor="text1"/>
          <w:szCs w:val="21"/>
          <w:lang w:eastAsia="zh-CN"/>
          <w14:textFill>
            <w14:solidFill>
              <w14:schemeClr w14:val="tx1"/>
            </w14:solidFill>
          </w14:textFill>
        </w:rPr>
        <w:t>甲方</w:t>
      </w:r>
      <w:r>
        <w:rPr>
          <w:rFonts w:hint="eastAsia" w:asciiTheme="minorEastAsia" w:hAnsiTheme="minorEastAsia" w:cstheme="minorEastAsia"/>
          <w:color w:val="000000" w:themeColor="text1"/>
          <w:szCs w:val="21"/>
          <w14:textFill>
            <w14:solidFill>
              <w14:schemeClr w14:val="tx1"/>
            </w14:solidFill>
          </w14:textFill>
        </w:rPr>
        <w:t>收到合格的付款发票及试运行报告等资料之日起</w:t>
      </w:r>
      <w:r>
        <w:rPr>
          <w:rFonts w:hint="eastAsia" w:asciiTheme="minorEastAsia" w:hAnsiTheme="minorEastAsia" w:cstheme="minorEastAsia"/>
          <w:color w:val="000000" w:themeColor="text1"/>
          <w:szCs w:val="21"/>
          <w:lang w:val="zh-CN"/>
          <w14:textFill>
            <w14:solidFill>
              <w14:schemeClr w14:val="tx1"/>
            </w14:solidFill>
          </w14:textFill>
        </w:rPr>
        <w:t>15</w:t>
      </w:r>
      <w:r>
        <w:rPr>
          <w:rFonts w:hint="eastAsia" w:asciiTheme="minorEastAsia" w:hAnsiTheme="minorEastAsia" w:cstheme="minorEastAsia"/>
          <w:color w:val="000000" w:themeColor="text1"/>
          <w:szCs w:val="21"/>
          <w14:textFill>
            <w14:solidFill>
              <w14:schemeClr w14:val="tx1"/>
            </w14:solidFill>
          </w14:textFill>
        </w:rPr>
        <w:t>个工作日支付合同金额的</w:t>
      </w:r>
      <w:r>
        <w:rPr>
          <w:rFonts w:hint="eastAsia"/>
          <w:color w:val="000000" w:themeColor="text1"/>
          <w14:textFill>
            <w14:solidFill>
              <w14:schemeClr w14:val="tx1"/>
            </w14:solidFill>
          </w14:textFill>
        </w:rPr>
        <w:t>40%进度款</w:t>
      </w:r>
      <w:r>
        <w:rPr>
          <w:rFonts w:hint="eastAsia"/>
          <w:color w:val="000000" w:themeColor="text1"/>
          <w:lang w:eastAsia="zh-CN"/>
          <w14:textFill>
            <w14:solidFill>
              <w14:schemeClr w14:val="tx1"/>
            </w14:solidFill>
          </w14:textFill>
        </w:rPr>
        <w:t>；</w:t>
      </w:r>
    </w:p>
    <w:p w14:paraId="71E0557B">
      <w:pPr>
        <w:bidi w:val="0"/>
        <w:ind w:firstLine="420" w:firstLineChars="200"/>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第三期：</w:t>
      </w:r>
      <w:r>
        <w:rPr>
          <w:rFonts w:hint="eastAsia"/>
          <w:color w:val="000000" w:themeColor="text1"/>
          <w14:textFill>
            <w14:solidFill>
              <w14:schemeClr w14:val="tx1"/>
            </w14:solidFill>
          </w14:textFill>
        </w:rPr>
        <w:t>全集团上线、培训完成、验收合格后支付</w:t>
      </w:r>
      <w:r>
        <w:rPr>
          <w:rFonts w:hint="eastAsia"/>
          <w:color w:val="000000" w:themeColor="text1"/>
          <w:lang w:eastAsia="zh-CN"/>
          <w14:textFill>
            <w14:solidFill>
              <w14:schemeClr w14:val="tx1"/>
            </w14:solidFill>
          </w14:textFill>
        </w:rPr>
        <w:t>甲方</w:t>
      </w:r>
      <w:r>
        <w:rPr>
          <w:rFonts w:hint="eastAsia"/>
          <w:color w:val="000000" w:themeColor="text1"/>
          <w14:textFill>
            <w14:solidFill>
              <w14:schemeClr w14:val="tx1"/>
            </w14:solidFill>
          </w14:textFill>
        </w:rPr>
        <w:t>收到合格的付款发票及终验报告等资料之日起15个工作日支付合同金额的25%验收款</w:t>
      </w:r>
      <w:r>
        <w:rPr>
          <w:rFonts w:hint="eastAsia"/>
          <w:color w:val="000000" w:themeColor="text1"/>
          <w:lang w:eastAsia="zh-CN"/>
          <w14:textFill>
            <w14:solidFill>
              <w14:schemeClr w14:val="tx1"/>
            </w14:solidFill>
          </w14:textFill>
        </w:rPr>
        <w:t>；</w:t>
      </w:r>
    </w:p>
    <w:p w14:paraId="5EBB6ACE">
      <w:pPr>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第四期：项目维护期满后，甲方收到合格的付款发票及验收证明等资料之日起15个工作日内支付合同金额的5%。乙方应在每次申请付款前，向甲方提供相应金额的增值税专用发票，具体开票信息以合同约定为准。</w:t>
      </w:r>
    </w:p>
    <w:p w14:paraId="1EC827C6">
      <w:pP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五、验收要求</w:t>
      </w:r>
    </w:p>
    <w:p w14:paraId="3D017173">
      <w:pPr>
        <w:widowControl w:val="0"/>
        <w:adjustRightInd/>
        <w:snapToGrid/>
        <w:ind w:left="0" w:leftChars="0" w:firstLine="420" w:firstLineChars="0"/>
        <w:rPr>
          <w:rFonts w:hint="eastAsia" w:asciiTheme="minorEastAsia" w:hAnsi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1.功能验收</w:t>
      </w:r>
    </w:p>
    <w:p w14:paraId="6FB36A3F">
      <w:pPr>
        <w:widowControl w:val="0"/>
        <w:adjustRightInd/>
        <w:snapToGrid/>
        <w:ind w:left="0" w:leftChars="0" w:firstLine="420" w:firstLineChars="0"/>
        <w:rPr>
          <w:rFonts w:hint="eastAsia" w:asciiTheme="minorEastAsia" w:hAnsi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所有本期规划建设模块完整落地，业务流程完整闭环，物联设备数据采集展示正常，台账报表、导出打印、消息提醒、权限管控功能全部正常使用，满足企业日常安全管理业务需求。</w:t>
      </w:r>
    </w:p>
    <w:p w14:paraId="1D80541E">
      <w:pPr>
        <w:widowControl w:val="0"/>
        <w:adjustRightInd/>
        <w:snapToGrid/>
        <w:ind w:left="0" w:leftChars="0" w:firstLine="420" w:firstLineChars="0"/>
        <w:rPr>
          <w:rFonts w:hint="eastAsia" w:asciiTheme="minorEastAsia" w:hAnsi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2.性能验收</w:t>
      </w:r>
    </w:p>
    <w:p w14:paraId="18DEA5E5">
      <w:pPr>
        <w:widowControl w:val="0"/>
        <w:adjustRightInd/>
        <w:snapToGrid/>
        <w:ind w:left="0" w:leftChars="0" w:firstLine="420" w:firstLineChars="0"/>
        <w:rPr>
          <w:rFonts w:hint="eastAsia" w:asciiTheme="minorEastAsia" w:hAnsi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系统响应速度、并发承载、视频预览、数据采集等性能指标达到设计要求，长时间连续运行稳定无异常。</w:t>
      </w:r>
    </w:p>
    <w:p w14:paraId="6875424E">
      <w:pPr>
        <w:widowControl w:val="0"/>
        <w:adjustRightInd/>
        <w:snapToGrid/>
        <w:ind w:left="0" w:leftChars="0" w:firstLine="420" w:firstLineChars="0"/>
        <w:rPr>
          <w:rFonts w:hint="eastAsia" w:asciiTheme="minorEastAsia" w:hAnsi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3.接口验收</w:t>
      </w:r>
    </w:p>
    <w:p w14:paraId="5E7766F9">
      <w:pPr>
        <w:widowControl w:val="0"/>
        <w:adjustRightInd/>
        <w:snapToGrid/>
        <w:ind w:left="0" w:leftChars="0" w:firstLine="420" w:firstLineChars="0"/>
        <w:rPr>
          <w:rFonts w:hint="eastAsia" w:asciiTheme="minorEastAsia" w:hAnsi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各类硬件对接接口、内部交互接口运行稳定，数据传输实时准确，接口文档完整规范。</w:t>
      </w:r>
    </w:p>
    <w:p w14:paraId="12EE62B8">
      <w:pPr>
        <w:widowControl w:val="0"/>
        <w:adjustRightInd/>
        <w:snapToGrid/>
        <w:ind w:left="0" w:leftChars="0" w:firstLine="420" w:firstLineChars="0"/>
        <w:rPr>
          <w:rFonts w:hint="eastAsia" w:asciiTheme="minorEastAsia" w:hAnsi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4.安全验收</w:t>
      </w:r>
    </w:p>
    <w:p w14:paraId="120BC80D">
      <w:pPr>
        <w:widowControl w:val="0"/>
        <w:adjustRightInd/>
        <w:snapToGrid/>
        <w:ind w:left="0" w:leftChars="0" w:firstLine="420" w:firstLineChars="0"/>
        <w:rPr>
          <w:rFonts w:hint="eastAsia" w:asciiTheme="minorEastAsia" w:hAnsi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权限隔离、数据备份、操作日志、网络防护等安全措施落实到位，无安全漏洞与数据风险。</w:t>
      </w:r>
    </w:p>
    <w:p w14:paraId="0383836A">
      <w:pPr>
        <w:widowControl w:val="0"/>
        <w:adjustRightInd/>
        <w:snapToGrid/>
        <w:ind w:left="0" w:leftChars="0" w:firstLine="420" w:firstLineChars="0"/>
        <w:rPr>
          <w:rFonts w:hint="eastAsia" w:asciiTheme="minorEastAsia" w:hAnsi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5.文档验收</w:t>
      </w:r>
    </w:p>
    <w:p w14:paraId="0F9DC22A">
      <w:pPr>
        <w:widowControl w:val="0"/>
        <w:adjustRightInd/>
        <w:snapToGrid/>
        <w:ind w:left="0" w:leftChars="0" w:firstLine="420" w:firstLineChars="0"/>
        <w:rPr>
          <w:rFonts w:hint="eastAsia" w:asciiTheme="minorEastAsia" w:hAnsi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lang w:val="en-US" w:eastAsia="zh-CN"/>
          <w14:textFill>
            <w14:solidFill>
              <w14:schemeClr w14:val="tx1"/>
            </w14:solidFill>
          </w14:textFill>
        </w:rPr>
        <w:t>完整交付需求报告、设计方案、接口文档、操作手册、运维手册、测试报告等全套资料，统一归档交付。</w:t>
      </w:r>
    </w:p>
    <w:p w14:paraId="050B65D3">
      <w:pPr>
        <w:jc w:val="both"/>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六、项目</w:t>
      </w:r>
      <w:r>
        <w:rPr>
          <w:rFonts w:hint="eastAsia" w:ascii="宋体" w:hAnsi="宋体" w:cs="宋体"/>
          <w:b/>
          <w:color w:val="000000" w:themeColor="text1"/>
          <w:szCs w:val="21"/>
          <w:lang w:val="en-US" w:eastAsia="zh-CN"/>
          <w14:textFill>
            <w14:solidFill>
              <w14:schemeClr w14:val="tx1"/>
            </w14:solidFill>
          </w14:textFill>
        </w:rPr>
        <w:t>维护</w:t>
      </w:r>
      <w:r>
        <w:rPr>
          <w:rFonts w:hint="eastAsia" w:ascii="宋体" w:hAnsi="宋体" w:cs="宋体"/>
          <w:b/>
          <w:color w:val="000000" w:themeColor="text1"/>
          <w:szCs w:val="21"/>
          <w14:textFill>
            <w14:solidFill>
              <w14:schemeClr w14:val="tx1"/>
            </w14:solidFill>
          </w14:textFill>
        </w:rPr>
        <w:t>要求</w:t>
      </w:r>
    </w:p>
    <w:p w14:paraId="7D9E0403">
      <w:pPr>
        <w:widowControl w:val="0"/>
        <w:adjustRightInd/>
        <w:snapToGrid/>
        <w:ind w:left="0" w:leftChars="0" w:firstLine="420" w:firstLineChars="0"/>
        <w:rPr>
          <w:rFonts w:hint="eastAsia" w:asciiTheme="minorEastAsia" w:hAnsi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乙方</w:t>
      </w:r>
      <w:r>
        <w:rPr>
          <w:rFonts w:asciiTheme="minorEastAsia" w:hAnsiTheme="minorEastAsia" w:cstheme="minorEastAsia"/>
          <w:color w:val="000000" w:themeColor="text1"/>
          <w:szCs w:val="21"/>
          <w14:textFill>
            <w14:solidFill>
              <w14:schemeClr w14:val="tx1"/>
            </w14:solidFill>
          </w14:textFill>
        </w:rPr>
        <w:t>必须对合同中规定的</w:t>
      </w:r>
      <w:r>
        <w:rPr>
          <w:rFonts w:hint="eastAsia" w:asciiTheme="minorEastAsia" w:hAnsiTheme="minorEastAsia" w:cstheme="minorEastAsia"/>
          <w:color w:val="000000" w:themeColor="text1"/>
          <w:szCs w:val="21"/>
          <w:lang w:val="en-US" w:eastAsia="zh-CN"/>
          <w14:textFill>
            <w14:solidFill>
              <w14:schemeClr w14:val="tx1"/>
            </w14:solidFill>
          </w14:textFill>
        </w:rPr>
        <w:t>服务</w:t>
      </w:r>
      <w:r>
        <w:rPr>
          <w:rFonts w:asciiTheme="minorEastAsia" w:hAnsiTheme="minorEastAsia" w:cstheme="minorEastAsia"/>
          <w:color w:val="000000" w:themeColor="text1"/>
          <w:szCs w:val="21"/>
          <w14:textFill>
            <w14:solidFill>
              <w14:schemeClr w14:val="tx1"/>
            </w14:solidFill>
          </w14:textFill>
        </w:rPr>
        <w:t>提供1年的</w:t>
      </w:r>
      <w:r>
        <w:rPr>
          <w:rFonts w:hint="eastAsia" w:asciiTheme="minorEastAsia" w:hAnsiTheme="minorEastAsia" w:cstheme="minorEastAsia"/>
          <w:color w:val="000000" w:themeColor="text1"/>
          <w:szCs w:val="21"/>
          <w:lang w:val="en-US" w:eastAsia="zh-CN"/>
          <w14:textFill>
            <w14:solidFill>
              <w14:schemeClr w14:val="tx1"/>
            </w14:solidFill>
          </w14:textFill>
        </w:rPr>
        <w:t>维护</w:t>
      </w:r>
      <w:r>
        <w:rPr>
          <w:rFonts w:asciiTheme="minorEastAsia" w:hAnsiTheme="minorEastAsia" w:cstheme="minorEastAsia"/>
          <w:color w:val="000000" w:themeColor="text1"/>
          <w:szCs w:val="21"/>
          <w14:textFill>
            <w14:solidFill>
              <w14:schemeClr w14:val="tx1"/>
            </w14:solidFill>
          </w14:textFill>
        </w:rPr>
        <w:t>期（货物另有规定的按原规定执行）</w:t>
      </w:r>
      <w:r>
        <w:rPr>
          <w:rFonts w:hint="eastAsia" w:asciiTheme="minorEastAsia" w:hAnsiTheme="minorEastAsia" w:cstheme="minorEastAsia"/>
          <w:color w:val="000000" w:themeColor="text1"/>
          <w:szCs w:val="21"/>
          <w14:textFill>
            <w14:solidFill>
              <w14:schemeClr w14:val="tx1"/>
            </w14:solidFill>
          </w14:textFill>
        </w:rPr>
        <w:t>，</w:t>
      </w:r>
      <w:r>
        <w:rPr>
          <w:rFonts w:asciiTheme="minorEastAsia" w:hAnsiTheme="minorEastAsia" w:cstheme="minorEastAsia"/>
          <w:color w:val="000000" w:themeColor="text1"/>
          <w:szCs w:val="21"/>
          <w14:textFill>
            <w14:solidFill>
              <w14:schemeClr w14:val="tx1"/>
            </w14:solidFill>
          </w14:textFill>
        </w:rPr>
        <w:t>时间从完成项目验收合格移交手续之日起计算。</w:t>
      </w:r>
    </w:p>
    <w:p w14:paraId="10D11648">
      <w:pP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七</w:t>
      </w:r>
      <w:r>
        <w:rPr>
          <w:rFonts w:hint="eastAsia" w:ascii="宋体" w:hAnsi="宋体" w:cs="宋体"/>
          <w:b/>
          <w:color w:val="000000" w:themeColor="text1"/>
          <w:szCs w:val="21"/>
          <w14:textFill>
            <w14:solidFill>
              <w14:schemeClr w14:val="tx1"/>
            </w14:solidFill>
          </w14:textFill>
        </w:rPr>
        <w:t>、知识产权及保密要求</w:t>
      </w:r>
    </w:p>
    <w:p w14:paraId="4E6155FD">
      <w:pPr>
        <w:ind w:firstLine="420" w:firstLineChars="200"/>
        <w:jc w:val="both"/>
        <w:rPr>
          <w:rFonts w:ascii="宋体" w:hAnsi="宋体" w:cs="宋体"/>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乙方针对本项目开发完成的项目成果所有权和知识产权由甲方单独享有</w:t>
      </w:r>
      <w:r>
        <w:rPr>
          <w:rFonts w:hint="eastAsia" w:asciiTheme="minorEastAsia" w:hAnsi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szCs w:val="21"/>
          <w14:textFill>
            <w14:solidFill>
              <w14:schemeClr w14:val="tx1"/>
            </w14:solidFill>
          </w14:textFill>
        </w:rPr>
        <w:t>乙方必须按甲方的要求及时提供知识产权申请所需的相关技术文件并协助甲方完成申请工作。如项目成果中已包含乙方原有的知识产权</w:t>
      </w:r>
      <w:r>
        <w:rPr>
          <w:rFonts w:hint="eastAsia" w:asciiTheme="minorEastAsia" w:hAnsi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szCs w:val="21"/>
          <w14:textFill>
            <w14:solidFill>
              <w14:schemeClr w14:val="tx1"/>
            </w14:solidFill>
          </w14:textFill>
        </w:rPr>
        <w:t>则该部分的知识产权不发生任何转移</w:t>
      </w:r>
      <w:r>
        <w:rPr>
          <w:rFonts w:hint="eastAsia" w:asciiTheme="minorEastAsia" w:hAnsi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szCs w:val="21"/>
          <w14:textFill>
            <w14:solidFill>
              <w14:schemeClr w14:val="tx1"/>
            </w14:solidFill>
          </w14:textFill>
        </w:rPr>
        <w:t>但甲方有权自由使用</w:t>
      </w:r>
      <w:r>
        <w:rPr>
          <w:rFonts w:hint="eastAsia" w:asciiTheme="minorEastAsia" w:hAnsi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szCs w:val="21"/>
          <w14:textFill>
            <w14:solidFill>
              <w14:schemeClr w14:val="tx1"/>
            </w14:solidFill>
          </w14:textFill>
        </w:rPr>
        <w:t>且该使用也无需支付项目约定之外的任何费用。</w:t>
      </w:r>
      <w:r>
        <w:rPr>
          <w:rFonts w:hint="eastAsia" w:ascii="宋体" w:hAnsi="宋体" w:cs="宋体"/>
          <w:color w:val="000000" w:themeColor="text1"/>
          <w:szCs w:val="21"/>
          <w14:textFill>
            <w14:solidFill>
              <w14:schemeClr w14:val="tx1"/>
            </w14:solidFill>
          </w14:textFill>
        </w:rPr>
        <w:t>乙方应确保其向甲方提供的系统和其他服务成果不侵犯任何第三方的知识产权或其他合法权益。</w:t>
      </w:r>
    </w:p>
    <w:p w14:paraId="235A48D1">
      <w:pPr>
        <w:ind w:firstLine="420" w:firstLineChars="20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乙方在项目实施前须与甲方签署保密协议书，乙方及其工作人员应对工作过程中必须遵守甲方工作的保密纪律和廉政纪律，对在工作中知悉的甲方、甲方下属公司及甲方上级部门非对社会公开的的资料、文件、数据或其他工作资料和掌握的相关情况负有保密义务；未经甲方书面许可，乙方不得对外或对第三方提供和披露，不得用于与甲方工作无关的目的。合同终止后乙方及其工作人员仍需履行保密义务，直至相应信息对外公开时止。</w:t>
      </w:r>
    </w:p>
    <w:p w14:paraId="38CCD74D">
      <w:pP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八</w:t>
      </w:r>
      <w:r>
        <w:rPr>
          <w:rFonts w:hint="eastAsia" w:ascii="宋体" w:hAnsi="宋体" w:cs="宋体"/>
          <w:b/>
          <w:color w:val="000000" w:themeColor="text1"/>
          <w:szCs w:val="21"/>
          <w14:textFill>
            <w14:solidFill>
              <w14:schemeClr w14:val="tx1"/>
            </w14:solidFill>
          </w14:textFill>
        </w:rPr>
        <w:t>、双方权利和义务</w:t>
      </w:r>
    </w:p>
    <w:p w14:paraId="532BFB17">
      <w:pPr>
        <w:jc w:val="both"/>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(一)甲方的权利和义务</w:t>
      </w:r>
    </w:p>
    <w:p w14:paraId="59065589">
      <w:pPr>
        <w:ind w:firstLine="420" w:firstLineChars="20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如果因为乙方人员、管理或技术等单方面原因造成项目进度或质量不符合采购文件和投标文件规定的要求，则视为乙方违约，甲方有权要求其在合理期限内完成或改正；如乙方未在甲方提供的合理期限内完成项目进度、拒绝改正或连续三次改正均未达到甲方要求的，甲方有权终止合同，并要求乙方返还甲方所有已支付款项。</w:t>
      </w:r>
    </w:p>
    <w:p w14:paraId="02981298">
      <w:pPr>
        <w:ind w:firstLine="420" w:firstLineChars="20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因乙方技术人员故意或过失操作造成重大故障、蓄意破坏信息系统设施、发布非法信息或造成泄密事件的，一经查证，则视作乙方严重违约，甲方有权终止合同，并要求乙方返还甲方所有已支付款项，乙方因此造成甲方损失的须对损失全额赔偿。</w:t>
      </w:r>
    </w:p>
    <w:p w14:paraId="67376D00">
      <w:pPr>
        <w:ind w:firstLine="420" w:firstLineChars="20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3、甲方未按要求履行合同义务时，或无故拖延验收、付款时，甲方须向乙方支付滞纳金，标准为每日按违约总额的3‰累计。</w:t>
      </w:r>
    </w:p>
    <w:p w14:paraId="40642B6A">
      <w:pPr>
        <w:jc w:val="both"/>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(二)乙方的权利和义务</w:t>
      </w:r>
    </w:p>
    <w:p w14:paraId="7E699BF6">
      <w:pPr>
        <w:ind w:firstLine="42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1、质保期内提供免费系统维护。期间所发生的质量问题，予以免费解决(因甲方使用不当或其他人为因素造成的故障除外)。但任何时候，均不能免除乙方因软件本身的缺陷所应负的责任。</w:t>
      </w:r>
    </w:p>
    <w:p w14:paraId="3BDDC5DE">
      <w:pPr>
        <w:ind w:firstLine="42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2、乙方在履行本合同过程中应确保不侵犯任何第三方的知识产权及其他权利，如乙方存在侵权行为的须自行承担相应责任，与甲方无关；乙方侵权行为造成甲方损失的，甲方有权要求乙方对损失全额赔偿。</w:t>
      </w:r>
    </w:p>
    <w:p w14:paraId="56FF0154">
      <w:pPr>
        <w:ind w:firstLine="420"/>
        <w:jc w:val="both"/>
        <w:rPr>
          <w:rFonts w:ascii="宋体" w:hAnsi="宋体" w:cs="宋体"/>
          <w:color w:val="000000" w:themeColor="text1"/>
          <w:szCs w:val="21"/>
          <w:lang w:bidi="zh-CN"/>
          <w14:textFill>
            <w14:solidFill>
              <w14:schemeClr w14:val="tx1"/>
            </w14:solidFill>
          </w14:textFill>
        </w:rPr>
      </w:pPr>
      <w:r>
        <w:rPr>
          <w:rFonts w:hint="eastAsia" w:ascii="宋体" w:hAnsi="宋体" w:cs="宋体"/>
          <w:color w:val="000000" w:themeColor="text1"/>
          <w:szCs w:val="21"/>
          <w:lang w:bidi="zh-CN"/>
          <w14:textFill>
            <w14:solidFill>
              <w14:schemeClr w14:val="tx1"/>
            </w14:solidFill>
          </w14:textFill>
        </w:rPr>
        <w:t>3、乙方应采取各种措施，防范乙方为甲方开发、运维的系统，以及与该系统相连结的甲方其他信息系统，被攻击、侵入、干扰、修改、破坏、非授权使用或发生意外事故，导致信息丢失、被泄露、窃取、篡改、毁坏、控制或其他不当对待，该等数据保护措施的严格程度应当不低于乙方保护自身信息、网络的程度，并且充分满足甲方要求及相关法律法规及国家标准的要求。乙方应对自身系统采取必要的措施，防范第三方通过乙方系统对甲方信息、系统采取前述行为。乙方应就所开发或提供给甲方使用产品的漏洞提供免费修复服务。</w:t>
      </w:r>
    </w:p>
    <w:p w14:paraId="24461DE8">
      <w:pPr>
        <w:ind w:firstLine="420"/>
        <w:jc w:val="both"/>
        <w:rPr>
          <w:rFonts w:ascii="宋体" w:hAnsi="宋体" w:cs="宋体"/>
          <w:color w:val="000000" w:themeColor="text1"/>
          <w:szCs w:val="21"/>
          <w:lang w:bidi="zh-CN"/>
          <w14:textFill>
            <w14:solidFill>
              <w14:schemeClr w14:val="tx1"/>
            </w14:solidFill>
          </w14:textFill>
        </w:rPr>
      </w:pPr>
      <w:r>
        <w:rPr>
          <w:rFonts w:hint="eastAsia" w:ascii="宋体" w:hAnsi="宋体" w:cs="宋体"/>
          <w:color w:val="000000" w:themeColor="text1"/>
          <w:szCs w:val="21"/>
          <w:lang w:bidi="zh-CN"/>
          <w14:textFill>
            <w14:solidFill>
              <w14:schemeClr w14:val="tx1"/>
            </w14:solidFill>
          </w14:textFill>
        </w:rPr>
        <w:t>4、乙方应遵守包括但不限于《网络安全法》在内的所有适用法律法规的要求，采取与潜在风险成比例的技术和组织措施，以保护甲方信息及其他数据免受泄露及网络安全事件，确保为甲方开发、运维的系统及其网络处于稳定可靠运行的状态，保障甲方信息、网络数据的完整性、保密性、可用性、可核查性、真实性和可靠性。乙方应采取一切合理措施（包括但不限于培训、指导、签订保密协议等），确保任何处理甲方信息和业务的人员、可以访问甲方信息及其他数据的人员遵守法律规定及合同约定的保密义务。</w:t>
      </w:r>
    </w:p>
    <w:p w14:paraId="1658A121">
      <w:pPr>
        <w:ind w:firstLine="420"/>
        <w:jc w:val="both"/>
        <w:rPr>
          <w:rFonts w:ascii="宋体" w:hAnsi="宋体" w:cs="宋体"/>
          <w:color w:val="000000" w:themeColor="text1"/>
          <w:szCs w:val="21"/>
          <w:lang w:bidi="zh-CN"/>
          <w14:textFill>
            <w14:solidFill>
              <w14:schemeClr w14:val="tx1"/>
            </w14:solidFill>
          </w14:textFill>
        </w:rPr>
      </w:pPr>
      <w:r>
        <w:rPr>
          <w:rFonts w:hint="eastAsia" w:ascii="宋体" w:hAnsi="宋体" w:cs="宋体"/>
          <w:color w:val="000000" w:themeColor="text1"/>
          <w:szCs w:val="21"/>
          <w:lang w:bidi="zh-CN"/>
          <w14:textFill>
            <w14:solidFill>
              <w14:schemeClr w14:val="tx1"/>
            </w14:solidFill>
          </w14:textFill>
        </w:rPr>
        <w:t>5、乙方发现发生或可能发生甲方信息泄露或网络安全事件后，应在30分钟内通知甲方，并向甲方提供信息泄露或网络安全事件性质、相关信息主体种类和大约数量、相关数据种类和大约数量、预计风险和可能后果等相关信息， 配合甲方对事件的调查，提供甲方要求的记录、日志、文件、数据报告或其他信息。乙方不得在未经甲方事先批准的情况下对外发布任何涉及甲方信息泄露或网络安全事件的信息。</w:t>
      </w:r>
    </w:p>
    <w:p w14:paraId="000A055A">
      <w:pPr>
        <w:ind w:firstLine="420"/>
        <w:jc w:val="both"/>
        <w:rPr>
          <w:rFonts w:ascii="宋体" w:hAnsi="宋体" w:cs="宋体"/>
          <w:color w:val="000000" w:themeColor="text1"/>
          <w:szCs w:val="21"/>
          <w:lang w:bidi="zh-CN"/>
          <w14:textFill>
            <w14:solidFill>
              <w14:schemeClr w14:val="tx1"/>
            </w14:solidFill>
          </w14:textFill>
        </w:rPr>
      </w:pPr>
      <w:r>
        <w:rPr>
          <w:rFonts w:hint="eastAsia" w:ascii="宋体" w:hAnsi="宋体" w:cs="宋体"/>
          <w:color w:val="000000" w:themeColor="text1"/>
          <w:szCs w:val="21"/>
          <w:lang w:bidi="zh-CN"/>
          <w14:textFill>
            <w14:solidFill>
              <w14:schemeClr w14:val="tx1"/>
            </w14:solidFill>
          </w14:textFill>
        </w:rPr>
        <w:t>上述义务同样适用于乙方发生严重操作失误、发生疑似违反有关数据保护的法律法规或者其他不规范操作数据的情况。</w:t>
      </w:r>
    </w:p>
    <w:p w14:paraId="289B122F">
      <w:pPr>
        <w:ind w:firstLine="420"/>
        <w:jc w:val="both"/>
        <w:rPr>
          <w:rFonts w:ascii="宋体" w:hAnsi="宋体" w:cs="宋体"/>
          <w:color w:val="000000" w:themeColor="text1"/>
          <w:szCs w:val="21"/>
          <w:lang w:bidi="zh-CN"/>
          <w14:textFill>
            <w14:solidFill>
              <w14:schemeClr w14:val="tx1"/>
            </w14:solidFill>
          </w14:textFill>
        </w:rPr>
      </w:pPr>
      <w:r>
        <w:rPr>
          <w:rFonts w:hint="eastAsia" w:ascii="宋体" w:hAnsi="宋体" w:cs="宋体"/>
          <w:color w:val="000000" w:themeColor="text1"/>
          <w:szCs w:val="21"/>
          <w:lang w:bidi="zh-CN"/>
          <w14:textFill>
            <w14:solidFill>
              <w14:schemeClr w14:val="tx1"/>
            </w14:solidFill>
          </w14:textFill>
        </w:rPr>
        <w:t>乙方及乙方人员违反上述信息、网络安全义务的，应承担由此给甲方造成的一切损失，包括甲方因维权所产生的律师费、诉讼费、保全费、保险费、调查费等一切费用。</w:t>
      </w:r>
    </w:p>
    <w:p w14:paraId="27261CB4">
      <w:pP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九</w:t>
      </w:r>
      <w:r>
        <w:rPr>
          <w:rFonts w:hint="eastAsia" w:ascii="宋体" w:hAnsi="宋体" w:cs="宋体"/>
          <w:b/>
          <w:color w:val="000000" w:themeColor="text1"/>
          <w:szCs w:val="21"/>
          <w14:textFill>
            <w14:solidFill>
              <w14:schemeClr w14:val="tx1"/>
            </w14:solidFill>
          </w14:textFill>
        </w:rPr>
        <w:t>、违约责任与赔偿损失</w:t>
      </w:r>
    </w:p>
    <w:p w14:paraId="0FF6EB7A">
      <w:pPr>
        <w:ind w:firstLine="424"/>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1.乙方提供的服务不符合本合同规定的，甲方有权拒绝支付剩余款项，直至乙方整改完毕，并且乙方每次出现服务不符合合同规定的情形时，须向甲方支付本合同总价5%的违约金。</w:t>
      </w:r>
    </w:p>
    <w:p w14:paraId="3D8E862F">
      <w:pPr>
        <w:ind w:firstLine="424"/>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2.乙方未能按本合同规定的时间完成最终验收，从逾期之日起每日按本合同总价3‰的数额向甲方支付违约金；逾期半个月以上的，甲方有权终止合同，由此造成的甲方经济损失由乙方承担。</w:t>
      </w:r>
    </w:p>
    <w:p w14:paraId="11CEDE47">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3.甲方无正当理由拒收接受服务，到期拒付服务款项的，甲方向乙方偿付本合同总的5%的违约金。甲方逾期付款，则每日按本合同总价的3‰向乙方偿付违约金。</w:t>
      </w:r>
    </w:p>
    <w:p w14:paraId="6ED3D12C">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甲方支付定金后非因法定或约定的事由无故解除合同的，乙方有权没收定金。乙方未按合同约定按时完成各阶段工作并通过甲方验收的，甲方有权选择要求乙方双倍返还定金或者收取本合同约定的违约金，双倍返还定金或者收取违约金后，甲方仍可按法律规定和合同约定要求乙方承担赔偿责任。</w:t>
      </w:r>
    </w:p>
    <w:p w14:paraId="2B75FB3F">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5.其它违约责任按《中华人民共和国民法典(合同编)》处理。</w:t>
      </w:r>
    </w:p>
    <w:p w14:paraId="75D7E177">
      <w:pP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十</w:t>
      </w:r>
      <w:r>
        <w:rPr>
          <w:rFonts w:hint="eastAsia" w:ascii="宋体" w:hAnsi="宋体" w:cs="宋体"/>
          <w:b/>
          <w:color w:val="000000" w:themeColor="text1"/>
          <w:szCs w:val="21"/>
          <w14:textFill>
            <w14:solidFill>
              <w14:schemeClr w14:val="tx1"/>
            </w14:solidFill>
          </w14:textFill>
        </w:rPr>
        <w:t>、争议的解决</w:t>
      </w:r>
    </w:p>
    <w:p w14:paraId="2FE20C02">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合同执行过程中如发生争议，双方应及时友好协商解决。经协商不能达成一致时，合同任何一方直接向甲方所在地有管辖权的人民法院提起诉讼。守约方为解决争议所支出的诉讼费、律师费、保全费、保险费等费用由违约方承担。</w:t>
      </w:r>
    </w:p>
    <w:p w14:paraId="3C01ADFE">
      <w:pP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w:t>
      </w:r>
      <w:r>
        <w:rPr>
          <w:rFonts w:hint="eastAsia" w:ascii="宋体" w:hAnsi="宋体" w:cs="宋体"/>
          <w:b/>
          <w:color w:val="000000" w:themeColor="text1"/>
          <w:szCs w:val="21"/>
          <w:lang w:val="en-US" w:eastAsia="zh-CN"/>
          <w14:textFill>
            <w14:solidFill>
              <w14:schemeClr w14:val="tx1"/>
            </w14:solidFill>
          </w14:textFill>
        </w:rPr>
        <w:t>一</w:t>
      </w:r>
      <w:r>
        <w:rPr>
          <w:rFonts w:hint="eastAsia" w:ascii="宋体" w:hAnsi="宋体" w:cs="宋体"/>
          <w:b/>
          <w:color w:val="000000" w:themeColor="text1"/>
          <w:szCs w:val="21"/>
          <w14:textFill>
            <w14:solidFill>
              <w14:schemeClr w14:val="tx1"/>
            </w14:solidFill>
          </w14:textFill>
        </w:rPr>
        <w:t>、不可抗力</w:t>
      </w:r>
    </w:p>
    <w:p w14:paraId="5A1AC3D3">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6B046785">
      <w:pP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w:t>
      </w:r>
      <w:r>
        <w:rPr>
          <w:rFonts w:hint="eastAsia" w:ascii="宋体" w:hAnsi="宋体" w:cs="宋体"/>
          <w:b/>
          <w:color w:val="000000" w:themeColor="text1"/>
          <w:szCs w:val="21"/>
          <w:lang w:val="en-US" w:eastAsia="zh-CN"/>
          <w14:textFill>
            <w14:solidFill>
              <w14:schemeClr w14:val="tx1"/>
            </w14:solidFill>
          </w14:textFill>
        </w:rPr>
        <w:t>二</w:t>
      </w:r>
      <w:r>
        <w:rPr>
          <w:rFonts w:hint="eastAsia" w:ascii="宋体" w:hAnsi="宋体" w:cs="宋体"/>
          <w:b/>
          <w:color w:val="000000" w:themeColor="text1"/>
          <w:szCs w:val="21"/>
          <w14:textFill>
            <w14:solidFill>
              <w14:schemeClr w14:val="tx1"/>
            </w14:solidFill>
          </w14:textFill>
        </w:rPr>
        <w:t>、税费</w:t>
      </w:r>
    </w:p>
    <w:p w14:paraId="54E8B4BF">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在中国境内、外发生的与本合同执行有关的一切税费均由乙方负担。</w:t>
      </w:r>
    </w:p>
    <w:p w14:paraId="5D34E73D">
      <w:pP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w:t>
      </w:r>
      <w:r>
        <w:rPr>
          <w:rFonts w:hint="eastAsia" w:ascii="宋体" w:hAnsi="宋体" w:cs="宋体"/>
          <w:b/>
          <w:color w:val="000000" w:themeColor="text1"/>
          <w:szCs w:val="21"/>
          <w:lang w:val="en-US" w:eastAsia="zh-CN"/>
          <w14:textFill>
            <w14:solidFill>
              <w14:schemeClr w14:val="tx1"/>
            </w14:solidFill>
          </w14:textFill>
        </w:rPr>
        <w:t>三</w:t>
      </w:r>
      <w:r>
        <w:rPr>
          <w:rFonts w:hint="eastAsia" w:ascii="宋体" w:hAnsi="宋体" w:cs="宋体"/>
          <w:b/>
          <w:color w:val="000000" w:themeColor="text1"/>
          <w:szCs w:val="21"/>
          <w14:textFill>
            <w14:solidFill>
              <w14:schemeClr w14:val="tx1"/>
            </w14:solidFill>
          </w14:textFill>
        </w:rPr>
        <w:t>、其它</w:t>
      </w:r>
    </w:p>
    <w:p w14:paraId="07C11F24">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1.本合同所有附件、采购文件、投标文件、中标通知书均为合同的有效组成部分，与本合同具有同等法律效力。</w:t>
      </w:r>
    </w:p>
    <w:p w14:paraId="140E3372">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2.在执行本合同的过程中，所有经双方签署确认的文件（包括会议纪要、补充协议、往来信函）即成为本合同的有效组成部分。</w:t>
      </w:r>
    </w:p>
    <w:p w14:paraId="01988C2B">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3.如一方地址、电话、传真号码有变更，应在变更当日内书面通知对方，否则，应承担相应责任。</w:t>
      </w:r>
    </w:p>
    <w:p w14:paraId="61C21430">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4.除甲方事先书面同意外，乙方不得部分或全部转让其应履行的合同项下的义务。</w:t>
      </w:r>
    </w:p>
    <w:p w14:paraId="11EE5DAF">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5．乙方人员在合同内发生的涉及安全相关事故由乙方全部承担。</w:t>
      </w:r>
    </w:p>
    <w:p w14:paraId="00A8CA32">
      <w:pP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十四、合同生效</w:t>
      </w:r>
    </w:p>
    <w:p w14:paraId="29897F13">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1.本合同在甲乙双方法定代表人或其授权代表签字盖章后生效。</w:t>
      </w:r>
    </w:p>
    <w:p w14:paraId="6322A015">
      <w:pPr>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2.本合同自双方签字盖章之日起生效：正本一式</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份，双方各执</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份，具同等法律效力。</w:t>
      </w:r>
    </w:p>
    <w:p w14:paraId="008DEC61">
      <w:pP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十五、附件</w:t>
      </w:r>
    </w:p>
    <w:p w14:paraId="50E7DF74">
      <w:pPr>
        <w:ind w:firstLine="48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附件一：《阳光合作协议》</w:t>
      </w:r>
    </w:p>
    <w:p w14:paraId="5A160695">
      <w:pPr>
        <w:ind w:firstLine="48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附件二：《中标通知书》</w:t>
      </w:r>
    </w:p>
    <w:p w14:paraId="0E7AE2D3">
      <w:pPr>
        <w:ind w:firstLine="48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附件三：《采购文件》</w:t>
      </w:r>
    </w:p>
    <w:p w14:paraId="01C50A85">
      <w:pPr>
        <w:ind w:firstLine="480"/>
        <w:jc w:val="both"/>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附件四：《投标文件》.</w:t>
      </w:r>
    </w:p>
    <w:p w14:paraId="44E98AC5">
      <w:pPr>
        <w:rPr>
          <w:rFonts w:hint="eastAsia" w:ascii="宋体" w:hAnsi="宋体" w:cs="宋体"/>
          <w:color w:val="000000" w:themeColor="text1"/>
          <w:szCs w:val="21"/>
          <w:lang w:bidi="ar"/>
          <w14:textFill>
            <w14:solidFill>
              <w14:schemeClr w14:val="tx1"/>
            </w14:solidFill>
          </w14:textFill>
        </w:rPr>
      </w:pPr>
      <w:bookmarkStart w:id="223" w:name="_Toc1766"/>
      <w:bookmarkStart w:id="224" w:name="_Toc3356"/>
      <w:bookmarkStart w:id="225" w:name="_Toc29819"/>
      <w:bookmarkStart w:id="226" w:name="_Toc15880"/>
      <w:bookmarkStart w:id="227" w:name="_Toc121395324"/>
      <w:bookmarkStart w:id="228" w:name="_Toc23032"/>
      <w:bookmarkStart w:id="229" w:name="_Toc15480"/>
    </w:p>
    <w:p w14:paraId="5AD647C6">
      <w:pPr>
        <w:rPr>
          <w:rFonts w:hint="eastAsia" w:ascii="宋体" w:hAnsi="宋体" w:cs="宋体"/>
          <w:color w:val="000000" w:themeColor="text1"/>
          <w:szCs w:val="21"/>
          <w:lang w:bidi="ar"/>
          <w14:textFill>
            <w14:solidFill>
              <w14:schemeClr w14:val="tx1"/>
            </w14:solidFill>
          </w14:textFill>
        </w:rPr>
      </w:pPr>
    </w:p>
    <w:p w14:paraId="2408F0E1">
      <w:pPr>
        <w:rPr>
          <w:rFonts w:hint="eastAsia" w:ascii="宋体" w:hAnsi="宋体" w:cs="宋体"/>
          <w:color w:val="000000" w:themeColor="text1"/>
          <w:szCs w:val="21"/>
          <w:lang w:bidi="ar"/>
          <w14:textFill>
            <w14:solidFill>
              <w14:schemeClr w14:val="tx1"/>
            </w14:solidFill>
          </w14:textFill>
        </w:rPr>
      </w:pPr>
    </w:p>
    <w:p w14:paraId="5C218DBF">
      <w:pPr>
        <w:rPr>
          <w:rFonts w:hint="eastAsia" w:ascii="宋体" w:hAnsi="宋体" w:cs="宋体"/>
          <w:color w:val="000000" w:themeColor="text1"/>
          <w:szCs w:val="21"/>
          <w:lang w:bidi="ar"/>
          <w14:textFill>
            <w14:solidFill>
              <w14:schemeClr w14:val="tx1"/>
            </w14:solidFill>
          </w14:textFill>
        </w:rPr>
      </w:pPr>
    </w:p>
    <w:p w14:paraId="6D1748D0">
      <w:pPr>
        <w:rPr>
          <w:rFonts w:hint="eastAsia" w:ascii="宋体" w:hAnsi="宋体" w:cs="宋体"/>
          <w:color w:val="000000" w:themeColor="text1"/>
          <w:szCs w:val="21"/>
          <w:lang w:bidi="ar"/>
          <w14:textFill>
            <w14:solidFill>
              <w14:schemeClr w14:val="tx1"/>
            </w14:solidFill>
          </w14:textFill>
        </w:rPr>
      </w:pPr>
    </w:p>
    <w:p w14:paraId="7F2A6F22">
      <w:pPr>
        <w:rPr>
          <w:rFonts w:hint="eastAsia" w:ascii="宋体" w:hAnsi="宋体" w:cs="宋体"/>
          <w:color w:val="000000" w:themeColor="text1"/>
          <w:szCs w:val="21"/>
          <w:lang w:bidi="ar"/>
          <w14:textFill>
            <w14:solidFill>
              <w14:schemeClr w14:val="tx1"/>
            </w14:solidFill>
          </w14:textFill>
        </w:rPr>
      </w:pPr>
    </w:p>
    <w:p w14:paraId="77EAC33F">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甲方（盖章）：                             乙方（盖章）：</w:t>
      </w:r>
    </w:p>
    <w:p w14:paraId="2317CCAD">
      <w:pPr>
        <w:rPr>
          <w:rFonts w:ascii="宋体" w:hAnsi="宋体" w:cs="宋体"/>
          <w:color w:val="000000" w:themeColor="text1"/>
          <w:szCs w:val="21"/>
          <w14:textFill>
            <w14:solidFill>
              <w14:schemeClr w14:val="tx1"/>
            </w14:solidFill>
          </w14:textFill>
        </w:rPr>
      </w:pPr>
    </w:p>
    <w:p w14:paraId="3EB37F54">
      <w:pPr>
        <w:rPr>
          <w:rFonts w:ascii="宋体" w:hAnsi="宋体" w:cs="宋体"/>
          <w:color w:val="000000" w:themeColor="text1"/>
          <w:szCs w:val="21"/>
          <w14:textFill>
            <w14:solidFill>
              <w14:schemeClr w14:val="tx1"/>
            </w14:solidFill>
          </w14:textFill>
        </w:rPr>
      </w:pPr>
    </w:p>
    <w:p w14:paraId="6B7F6FA4">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法定代表人（或委托代理人）：              法定代表人（或委托代理人）：</w:t>
      </w:r>
    </w:p>
    <w:p w14:paraId="3AED9543">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地址：                                    地址：</w:t>
      </w:r>
    </w:p>
    <w:p w14:paraId="524AE3CA">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电话：                                    电话：</w:t>
      </w:r>
    </w:p>
    <w:p w14:paraId="6CACFCAB">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 xml:space="preserve">签约时间：                                开户银行： </w:t>
      </w:r>
    </w:p>
    <w:p w14:paraId="5F673A4D">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 xml:space="preserve">                                          账号： </w:t>
      </w:r>
    </w:p>
    <w:p w14:paraId="6A8822DE">
      <w:pP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 xml:space="preserve">                                          签约时间：</w:t>
      </w:r>
    </w:p>
    <w:p w14:paraId="713B74BC">
      <w:pPr>
        <w:pStyle w:val="11"/>
        <w:rPr>
          <w:color w:val="000000" w:themeColor="text1"/>
          <w14:textFill>
            <w14:solidFill>
              <w14:schemeClr w14:val="tx1"/>
            </w14:solidFill>
          </w14:textFill>
        </w:rPr>
      </w:pPr>
    </w:p>
    <w:p w14:paraId="3B46E92B">
      <w:pP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br w:type="page"/>
      </w:r>
    </w:p>
    <w:p w14:paraId="10053688">
      <w:pPr>
        <w:spacing w:line="480" w:lineRule="exact"/>
        <w:outlineLvl w:val="1"/>
        <w:rPr>
          <w:rFonts w:ascii="宋体" w:hAnsi="宋体" w:cs="宋体"/>
          <w:b/>
          <w:color w:val="000000" w:themeColor="text1"/>
          <w:szCs w:val="21"/>
          <w14:textFill>
            <w14:solidFill>
              <w14:schemeClr w14:val="tx1"/>
            </w14:solidFill>
          </w14:textFill>
        </w:rPr>
      </w:pPr>
      <w:bookmarkStart w:id="230" w:name="_Toc13410"/>
      <w:r>
        <w:rPr>
          <w:rFonts w:hint="eastAsia" w:ascii="宋体" w:hAnsi="宋体" w:cs="宋体"/>
          <w:b/>
          <w:color w:val="000000" w:themeColor="text1"/>
          <w:szCs w:val="21"/>
          <w14:textFill>
            <w14:solidFill>
              <w14:schemeClr w14:val="tx1"/>
            </w14:solidFill>
          </w14:textFill>
        </w:rPr>
        <w:t>附件1:</w:t>
      </w:r>
      <w:bookmarkEnd w:id="223"/>
      <w:bookmarkEnd w:id="224"/>
      <w:bookmarkEnd w:id="225"/>
      <w:bookmarkEnd w:id="226"/>
      <w:bookmarkEnd w:id="227"/>
      <w:bookmarkEnd w:id="228"/>
      <w:bookmarkEnd w:id="229"/>
      <w:r>
        <w:rPr>
          <w:rFonts w:hint="eastAsia" w:ascii="宋体" w:hAnsi="宋体" w:cs="宋体"/>
          <w:b/>
          <w:color w:val="000000" w:themeColor="text1"/>
          <w:szCs w:val="21"/>
          <w14:textFill>
            <w14:solidFill>
              <w14:schemeClr w14:val="tx1"/>
            </w14:solidFill>
          </w14:textFill>
        </w:rPr>
        <w:t>阳光合作协议</w:t>
      </w:r>
      <w:bookmarkEnd w:id="230"/>
    </w:p>
    <w:p w14:paraId="34231CC8">
      <w:pPr>
        <w:jc w:val="center"/>
        <w:rPr>
          <w:rFonts w:ascii="黑体" w:hAnsi="黑体" w:eastAsia="黑体"/>
          <w:b/>
          <w:color w:val="000000" w:themeColor="text1"/>
          <w:sz w:val="32"/>
          <w:szCs w:val="32"/>
          <w14:textFill>
            <w14:solidFill>
              <w14:schemeClr w14:val="tx1"/>
            </w14:solidFill>
          </w14:textFill>
        </w:rPr>
      </w:pPr>
      <w:r>
        <w:rPr>
          <w:rFonts w:hint="eastAsia" w:ascii="黑体" w:hAnsi="黑体" w:eastAsia="黑体"/>
          <w:b/>
          <w:color w:val="000000" w:themeColor="text1"/>
          <w:sz w:val="32"/>
          <w:szCs w:val="32"/>
          <w14:textFill>
            <w14:solidFill>
              <w14:schemeClr w14:val="tx1"/>
            </w14:solidFill>
          </w14:textFill>
        </w:rPr>
        <w:t>阳光合作协议</w:t>
      </w:r>
    </w:p>
    <w:p w14:paraId="4839361C">
      <w:pPr>
        <w:spacing w:before="120" w:beforeLines="50" w:after="120" w:afterLines="50"/>
        <w:ind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甲方（采购方全称）：</w:t>
      </w:r>
    </w:p>
    <w:p w14:paraId="4D48D0B4">
      <w:pPr>
        <w:spacing w:before="120" w:beforeLines="50" w:after="120" w:afterLines="50"/>
        <w:ind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乙方（供应方全称）：</w:t>
      </w:r>
    </w:p>
    <w:p w14:paraId="21A69DB5">
      <w:pPr>
        <w:spacing w:before="120" w:beforeLines="50" w:after="120" w:afterLines="50"/>
        <w:ind w:firstLine="420" w:firstLineChars="200"/>
        <w:contextualSpacing/>
        <w:rPr>
          <w:rFonts w:asci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甲乙双方于202</w:t>
      </w:r>
      <w:r>
        <w:rPr>
          <w:rFonts w:hint="eastAsia" w:ascii="宋体" w:hAnsi="宋体"/>
          <w:color w:val="000000" w:themeColor="text1"/>
          <w:lang w:val="en-US" w:eastAsia="zh-CN"/>
          <w14:textFill>
            <w14:solidFill>
              <w14:schemeClr w14:val="tx1"/>
            </w14:solidFill>
          </w14:textFill>
        </w:rPr>
        <w:t>6</w:t>
      </w:r>
      <w:r>
        <w:rPr>
          <w:rFonts w:hint="eastAsia" w:ascii="宋体" w:hAnsi="宋体"/>
          <w:color w:val="000000" w:themeColor="text1"/>
          <w14:textFill>
            <w14:solidFill>
              <w14:schemeClr w14:val="tx1"/>
            </w14:solidFill>
          </w14:textFill>
        </w:rPr>
        <w:t>年</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月</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日签署了</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项目合同（以下简称原合同），为加强双方阳光合作，保证职员职业安全，甲乙双方经协商签订本协议并作为双方共同遵守的阳光合作行为准则。</w:t>
      </w:r>
    </w:p>
    <w:p w14:paraId="14E229EA">
      <w:pPr>
        <w:spacing w:before="120" w:beforeLines="50" w:after="120" w:afterLines="50"/>
        <w:ind w:left="420" w:leftChars="200"/>
        <w:contextualSpacing/>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一、甲方责任</w:t>
      </w:r>
    </w:p>
    <w:p w14:paraId="367E5622">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1.甲方有责任向乙方介绍本单位有关采购管理通用原则和本协议的规定。</w:t>
      </w:r>
    </w:p>
    <w:p w14:paraId="7FC75075">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2.甲方有责任对本单位相关人员进行阳光合作教育。</w:t>
      </w:r>
    </w:p>
    <w:p w14:paraId="4DF93417">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1BF714C9">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4.甲方人员如违反阳光合作管理制度及本协议规定，甲方视情节轻重、影响大小给予行政及经济处罚。</w:t>
      </w:r>
    </w:p>
    <w:p w14:paraId="2238A07D">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5．对于乙方举报甲方人员违反阳光合作规定的情况，甲方应及时进行调查，根据调查情况进行处理，并将调查结果向乙方反馈。</w:t>
      </w:r>
    </w:p>
    <w:p w14:paraId="1FE4FB3A">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6.接受举报的一方应为举报方保密，不得对举报方进行报复，对举报属实和严格遵守《阳光合作协议》的合作方，在同等条件下给予后续合作的优先权。</w:t>
      </w:r>
    </w:p>
    <w:p w14:paraId="20D7E32C">
      <w:pPr>
        <w:spacing w:before="120" w:beforeLines="50" w:after="120" w:afterLines="50"/>
        <w:ind w:left="420" w:leftChars="200"/>
        <w:contextualSpacing/>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二、乙方责任</w:t>
      </w:r>
    </w:p>
    <w:p w14:paraId="227EB4C2">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1.乙方应保证乙方人员了解甲方有关采购管理通用原则和及本协议的规定，并遵照执行。</w:t>
      </w:r>
    </w:p>
    <w:p w14:paraId="0683BF06">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2.乙方不得以任何形式给予甲方人员回扣、赠送实物、现金、有价证券、礼券等有价物品或提供旅游等其他可能影响职务行为公正履行的活动（以下统称“财物”）。</w:t>
      </w:r>
    </w:p>
    <w:p w14:paraId="6B65EBEB">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3.乙方有责任接受甲方对乙方在合作期间阳光合作管理执行情况的监督，并对甲方相关调查工作主动配合。</w:t>
      </w:r>
    </w:p>
    <w:p w14:paraId="6BEC1B3F">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4.乙方有义务就甲方人员任何形式的索取或收受财物行为及时向甲方（直接联系人为</w:t>
      </w:r>
      <w:r>
        <w:rPr>
          <w:rFonts w:hint="eastAsia" w:ascii="宋体" w:hAnsi="宋体"/>
          <w:color w:val="000000" w:themeColor="text1"/>
          <w:lang w:eastAsia="zh-CN"/>
          <w14:textFill>
            <w14:solidFill>
              <w14:schemeClr w14:val="tx1"/>
            </w14:solidFill>
          </w14:textFill>
        </w:rPr>
        <w:t>东莞市能源投资集团有限公司</w:t>
      </w:r>
      <w:r>
        <w:rPr>
          <w:rFonts w:hint="eastAsia" w:ascii="宋体" w:hAnsi="宋体"/>
          <w:color w:val="000000" w:themeColor="text1"/>
          <w:lang w:val="en-US" w:eastAsia="zh-CN"/>
          <w14:textFill>
            <w14:solidFill>
              <w14:schemeClr w14:val="tx1"/>
            </w14:solidFill>
          </w14:textFill>
        </w:rPr>
        <w:t>企业管理</w:t>
      </w:r>
      <w:r>
        <w:rPr>
          <w:rFonts w:hint="eastAsia" w:ascii="宋体" w:hAnsi="宋体"/>
          <w:color w:val="000000" w:themeColor="text1"/>
          <w14:textFill>
            <w14:solidFill>
              <w14:schemeClr w14:val="tx1"/>
            </w14:solidFill>
          </w14:textFill>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w:t>
      </w:r>
      <w:r>
        <w:rPr>
          <w:rFonts w:hint="eastAsia" w:ascii="宋体" w:hAnsi="宋体"/>
          <w:color w:val="000000" w:themeColor="text1"/>
          <w:lang w:eastAsia="zh-CN"/>
          <w14:textFill>
            <w14:solidFill>
              <w14:schemeClr w14:val="tx1"/>
            </w14:solidFill>
          </w14:textFill>
        </w:rPr>
        <w:t>东莞市能源投资集团有限公司</w:t>
      </w:r>
      <w:r>
        <w:rPr>
          <w:rFonts w:hint="eastAsia" w:ascii="宋体" w:hAnsi="宋体"/>
          <w:color w:val="000000" w:themeColor="text1"/>
          <w14:textFill>
            <w14:solidFill>
              <w14:schemeClr w14:val="tx1"/>
            </w14:solidFill>
          </w14:textFill>
        </w:rPr>
        <w:t>及下属子公司）合格供应商。</w:t>
      </w:r>
    </w:p>
    <w:p w14:paraId="61491553">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5．甲方接受乙方实名或匿名举报，保证为举报者的信息保密，常设举报部门及电话： </w:t>
      </w:r>
    </w:p>
    <w:p w14:paraId="01B579D5">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举报受理部门：</w:t>
      </w:r>
      <w:r>
        <w:rPr>
          <w:rFonts w:hint="eastAsia" w:ascii="宋体" w:hAnsi="宋体"/>
          <w:color w:val="000000" w:themeColor="text1"/>
          <w:lang w:eastAsia="zh-CN"/>
          <w14:textFill>
            <w14:solidFill>
              <w14:schemeClr w14:val="tx1"/>
            </w14:solidFill>
          </w14:textFill>
        </w:rPr>
        <w:t>东莞市能源投资集团有限公司</w:t>
      </w:r>
      <w:r>
        <w:rPr>
          <w:rFonts w:hint="eastAsia" w:ascii="宋体" w:hAnsi="宋体"/>
          <w:color w:val="000000" w:themeColor="text1"/>
          <w:lang w:val="en-US" w:eastAsia="zh-CN"/>
          <w14:textFill>
            <w14:solidFill>
              <w14:schemeClr w14:val="tx1"/>
            </w14:solidFill>
          </w14:textFill>
        </w:rPr>
        <w:t>企业管理</w:t>
      </w:r>
    </w:p>
    <w:p w14:paraId="1598DE31">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东实集团举报邮箱：dgsyxf@163.com</w:t>
      </w:r>
    </w:p>
    <w:p w14:paraId="592CB835">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东实集团举报电话：0769-28820703（周一至周五9:00-12:00和14:00-18:00）</w:t>
      </w:r>
    </w:p>
    <w:p w14:paraId="557AF065">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邮寄地址：广东省东莞市松山湖园区新城路5号4栋，</w:t>
      </w:r>
      <w:r>
        <w:rPr>
          <w:rFonts w:hint="eastAsia" w:ascii="宋体" w:hAnsi="宋体"/>
          <w:color w:val="000000" w:themeColor="text1"/>
          <w:lang w:eastAsia="zh-CN"/>
          <w14:textFill>
            <w14:solidFill>
              <w14:schemeClr w14:val="tx1"/>
            </w14:solidFill>
          </w14:textFill>
        </w:rPr>
        <w:t>东莞市能源投资集团有限公司</w:t>
      </w:r>
      <w:r>
        <w:rPr>
          <w:rFonts w:hint="eastAsia" w:ascii="宋体" w:hAnsi="宋体"/>
          <w:color w:val="000000" w:themeColor="text1"/>
          <w:lang w:val="en-US" w:eastAsia="zh-CN"/>
          <w14:textFill>
            <w14:solidFill>
              <w14:schemeClr w14:val="tx1"/>
            </w14:solidFill>
          </w14:textFill>
        </w:rPr>
        <w:t>企业管理</w:t>
      </w:r>
      <w:r>
        <w:rPr>
          <w:rFonts w:hint="eastAsia" w:ascii="宋体" w:hAnsi="宋体"/>
          <w:color w:val="000000" w:themeColor="text1"/>
          <w14:textFill>
            <w14:solidFill>
              <w14:schemeClr w14:val="tx1"/>
            </w14:solidFill>
          </w14:textFill>
        </w:rPr>
        <w:t>部收，邮编523000。</w:t>
      </w:r>
    </w:p>
    <w:p w14:paraId="10FD70A5">
      <w:pPr>
        <w:spacing w:before="120" w:beforeLines="50" w:after="120" w:afterLines="50"/>
        <w:ind w:left="420" w:leftChars="200"/>
        <w:contextualSpacing/>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三、其他</w:t>
      </w:r>
    </w:p>
    <w:p w14:paraId="1EC1F40A">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1.本协议是原合同的补充协议，与原合同有同等法律效力。</w:t>
      </w:r>
    </w:p>
    <w:p w14:paraId="78B775BA">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w:t>
      </w:r>
      <w:r>
        <w:rPr>
          <w:rFonts w:ascii="宋体" w:hAnsi="宋体"/>
          <w:color w:val="000000" w:themeColor="text1"/>
          <w14:textFill>
            <w14:solidFill>
              <w14:schemeClr w14:val="tx1"/>
            </w14:solidFill>
          </w14:textFill>
        </w:rPr>
        <w:t>本</w:t>
      </w:r>
      <w:r>
        <w:rPr>
          <w:rFonts w:hint="eastAsia" w:ascii="宋体" w:hAnsi="宋体"/>
          <w:color w:val="000000" w:themeColor="text1"/>
          <w14:textFill>
            <w14:solidFill>
              <w14:schemeClr w14:val="tx1"/>
            </w14:solidFill>
          </w14:textFill>
        </w:rPr>
        <w:t>协议</w:t>
      </w:r>
      <w:r>
        <w:rPr>
          <w:rFonts w:ascii="宋体" w:hAnsi="宋体"/>
          <w:color w:val="000000" w:themeColor="text1"/>
          <w14:textFill>
            <w14:solidFill>
              <w14:schemeClr w14:val="tx1"/>
            </w14:solidFill>
          </w14:textFill>
        </w:rPr>
        <w:t>一式</w:t>
      </w:r>
      <w:r>
        <w:rPr>
          <w:rFonts w:hint="eastAsia" w:ascii="宋体" w:hAnsi="宋体"/>
          <w:color w:val="000000" w:themeColor="text1"/>
          <w14:textFill>
            <w14:solidFill>
              <w14:schemeClr w14:val="tx1"/>
            </w14:solidFill>
          </w14:textFill>
        </w:rPr>
        <w:t>四</w:t>
      </w:r>
      <w:r>
        <w:rPr>
          <w:rFonts w:ascii="宋体" w:hAnsi="宋体"/>
          <w:color w:val="000000" w:themeColor="text1"/>
          <w14:textFill>
            <w14:solidFill>
              <w14:schemeClr w14:val="tx1"/>
            </w14:solidFill>
          </w14:textFill>
        </w:rPr>
        <w:t>份，甲方执</w:t>
      </w:r>
      <w:r>
        <w:rPr>
          <w:rFonts w:hint="eastAsia" w:ascii="宋体" w:hAnsi="宋体"/>
          <w:color w:val="000000" w:themeColor="text1"/>
          <w14:textFill>
            <w14:solidFill>
              <w14:schemeClr w14:val="tx1"/>
            </w14:solidFill>
          </w14:textFill>
        </w:rPr>
        <w:t>贰</w:t>
      </w:r>
      <w:r>
        <w:rPr>
          <w:rFonts w:ascii="宋体" w:hAnsi="宋体"/>
          <w:color w:val="000000" w:themeColor="text1"/>
          <w14:textFill>
            <w14:solidFill>
              <w14:schemeClr w14:val="tx1"/>
            </w14:solidFill>
          </w14:textFill>
        </w:rPr>
        <w:t>份，乙方执</w:t>
      </w:r>
      <w:r>
        <w:rPr>
          <w:rFonts w:hint="eastAsia" w:ascii="宋体" w:hAnsi="宋体"/>
          <w:color w:val="000000" w:themeColor="text1"/>
          <w14:textFill>
            <w14:solidFill>
              <w14:schemeClr w14:val="tx1"/>
            </w14:solidFill>
          </w14:textFill>
        </w:rPr>
        <w:t>贰</w:t>
      </w:r>
      <w:r>
        <w:rPr>
          <w:rFonts w:ascii="宋体" w:hAnsi="宋体"/>
          <w:color w:val="000000" w:themeColor="text1"/>
          <w14:textFill>
            <w14:solidFill>
              <w14:schemeClr w14:val="tx1"/>
            </w14:solidFill>
          </w14:textFill>
        </w:rPr>
        <w:t>份</w:t>
      </w:r>
      <w:r>
        <w:rPr>
          <w:rFonts w:hint="eastAsia" w:ascii="宋体" w:hAnsi="宋体"/>
          <w:color w:val="000000" w:themeColor="text1"/>
          <w14:textFill>
            <w14:solidFill>
              <w14:schemeClr w14:val="tx1"/>
            </w14:solidFill>
          </w14:textFill>
        </w:rPr>
        <w:t>,具有同等法律效力。</w:t>
      </w:r>
    </w:p>
    <w:p w14:paraId="722E83D8">
      <w:pPr>
        <w:spacing w:before="120" w:beforeLines="50" w:after="120" w:afterLines="50"/>
        <w:ind w:left="105" w:leftChars="50" w:firstLine="420" w:firstLineChars="200"/>
        <w:contextualSpacing/>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3.本协议经双方签署后生效。</w:t>
      </w:r>
    </w:p>
    <w:p w14:paraId="61CA4C60">
      <w:pPr>
        <w:spacing w:before="120" w:beforeLines="50" w:after="120" w:afterLines="50"/>
        <w:ind w:firstLine="420" w:firstLineChars="200"/>
        <w:contextualSpacing/>
        <w:rPr>
          <w:rFonts w:ascii="宋体" w:hAnsi="宋体"/>
          <w:color w:val="000000" w:themeColor="text1"/>
          <w14:textFill>
            <w14:solidFill>
              <w14:schemeClr w14:val="tx1"/>
            </w14:solidFill>
          </w14:textFill>
        </w:rPr>
      </w:pPr>
    </w:p>
    <w:p w14:paraId="543B3E62">
      <w:pPr>
        <w:spacing w:before="120" w:beforeLines="50" w:after="120" w:afterLines="50"/>
        <w:ind w:firstLine="420" w:firstLineChars="200"/>
        <w:contextualSpacing/>
        <w:rPr>
          <w:rFonts w:asci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甲方（盖章）：                    </w:t>
      </w:r>
      <w:r>
        <w:rPr>
          <w:rFonts w:hint="eastAsia" w:ascii="宋体" w:hAnsi="宋体" w:cs="宋体"/>
          <w:color w:val="000000" w:themeColor="text1"/>
          <w:szCs w:val="21"/>
          <w14:textFill>
            <w14:solidFill>
              <w14:schemeClr w14:val="tx1"/>
            </w14:solidFill>
          </w14:textFill>
        </w:rPr>
        <w:t xml:space="preserve">           </w:t>
      </w:r>
      <w:r>
        <w:rPr>
          <w:rFonts w:hint="eastAsia" w:ascii="宋体" w:hAnsi="宋体"/>
          <w:color w:val="000000" w:themeColor="text1"/>
          <w14:textFill>
            <w14:solidFill>
              <w14:schemeClr w14:val="tx1"/>
            </w14:solidFill>
          </w14:textFill>
        </w:rPr>
        <w:t xml:space="preserve">  乙方（盖章）：</w:t>
      </w:r>
      <w:r>
        <w:rPr>
          <w:rFonts w:ascii="宋体"/>
          <w:color w:val="000000" w:themeColor="text1"/>
          <w14:textFill>
            <w14:solidFill>
              <w14:schemeClr w14:val="tx1"/>
            </w14:solidFill>
          </w14:textFill>
        </w:rPr>
        <w:t xml:space="preserve"> </w:t>
      </w:r>
    </w:p>
    <w:p w14:paraId="4ED8CB91">
      <w:pPr>
        <w:spacing w:before="120" w:beforeLines="50" w:after="120" w:afterLines="50"/>
        <w:ind w:firstLine="420" w:firstLineChars="200"/>
        <w:contextualSpacing/>
        <w:rPr>
          <w:rFonts w:ascii="宋体" w:hAnsi="宋体"/>
          <w:color w:val="000000" w:themeColor="text1"/>
          <w14:textFill>
            <w14:solidFill>
              <w14:schemeClr w14:val="tx1"/>
            </w14:solidFill>
          </w14:textFill>
        </w:rPr>
      </w:pPr>
    </w:p>
    <w:p w14:paraId="61AF1431">
      <w:pPr>
        <w:spacing w:before="120" w:beforeLines="50" w:after="120" w:afterLines="50"/>
        <w:ind w:firstLine="420" w:firstLineChars="200"/>
        <w:contextualSpacing/>
        <w:rPr>
          <w:rFonts w:asci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法定代表人（授权代表）：</w:t>
      </w:r>
      <w:r>
        <w:rPr>
          <w:rFonts w:hint="eastAsia" w:ascii="宋体"/>
          <w:color w:val="000000" w:themeColor="text1"/>
          <w14:textFill>
            <w14:solidFill>
              <w14:schemeClr w14:val="tx1"/>
            </w14:solidFill>
          </w14:textFill>
        </w:rPr>
        <w:tab/>
      </w:r>
      <w:r>
        <w:rPr>
          <w:rFonts w:hint="eastAsia" w:ascii="宋体"/>
          <w:color w:val="000000" w:themeColor="text1"/>
          <w14:textFill>
            <w14:solidFill>
              <w14:schemeClr w14:val="tx1"/>
            </w14:solidFill>
          </w14:textFill>
        </w:rPr>
        <w:tab/>
      </w:r>
      <w:r>
        <w:rPr>
          <w:rFonts w:hint="eastAsia" w:asci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法定代表人（授权代表）：</w:t>
      </w:r>
    </w:p>
    <w:p w14:paraId="76A9F59A">
      <w:pPr>
        <w:spacing w:before="120" w:beforeLines="50" w:after="120" w:afterLines="50"/>
        <w:ind w:firstLine="420" w:firstLineChars="200"/>
        <w:contextualSpacing/>
        <w:rPr>
          <w:rFonts w:ascii="宋体" w:hAnsi="宋体"/>
          <w:color w:val="000000" w:themeColor="text1"/>
          <w14:textFill>
            <w14:solidFill>
              <w14:schemeClr w14:val="tx1"/>
            </w14:solidFill>
          </w14:textFill>
        </w:rPr>
      </w:pPr>
    </w:p>
    <w:p w14:paraId="0D854A43">
      <w:pPr>
        <w:pStyle w:val="30"/>
        <w:ind w:left="0" w:leftChars="0"/>
        <w:rPr>
          <w:rFonts w:hAnsi="宋体" w:cs="宋体"/>
          <w:b w:val="0"/>
          <w:bCs w:val="0"/>
          <w:caps/>
          <w:color w:val="000000" w:themeColor="text1"/>
          <w:spacing w:val="80"/>
          <w:sz w:val="21"/>
          <w:szCs w:val="21"/>
          <w14:textFill>
            <w14:solidFill>
              <w14:schemeClr w14:val="tx1"/>
            </w14:solidFill>
          </w14:textFill>
        </w:rPr>
      </w:pPr>
      <w:r>
        <w:rPr>
          <w:rFonts w:hint="eastAsia" w:hAnsi="宋体" w:cs="宋体"/>
          <w:b w:val="0"/>
          <w:bCs w:val="0"/>
          <w:color w:val="000000" w:themeColor="text1"/>
          <w:sz w:val="21"/>
          <w:szCs w:val="21"/>
          <w14:textFill>
            <w14:solidFill>
              <w14:schemeClr w14:val="tx1"/>
            </w14:solidFill>
          </w14:textFill>
        </w:rPr>
        <w:t xml:space="preserve">签约日期：      年  月  日   </w:t>
      </w:r>
      <w:r>
        <w:rPr>
          <w:rFonts w:hint="eastAsia" w:hAnsi="宋体" w:cs="宋体"/>
          <w:b w:val="0"/>
          <w:bCs w:val="0"/>
          <w:color w:val="000000" w:themeColor="text1"/>
          <w:sz w:val="21"/>
          <w:szCs w:val="21"/>
          <w14:textFill>
            <w14:solidFill>
              <w14:schemeClr w14:val="tx1"/>
            </w14:solidFill>
          </w14:textFill>
        </w:rPr>
        <w:tab/>
      </w:r>
      <w:r>
        <w:rPr>
          <w:rFonts w:hint="eastAsia" w:hAnsi="宋体" w:cs="宋体"/>
          <w:b w:val="0"/>
          <w:bCs w:val="0"/>
          <w:color w:val="000000" w:themeColor="text1"/>
          <w:sz w:val="21"/>
          <w:szCs w:val="21"/>
          <w14:textFill>
            <w14:solidFill>
              <w14:schemeClr w14:val="tx1"/>
            </w14:solidFill>
          </w14:textFill>
        </w:rPr>
        <w:t xml:space="preserve">                签约日期：      年  月  日</w:t>
      </w:r>
    </w:p>
    <w:p w14:paraId="67C15F25">
      <w:pPr>
        <w:rPr>
          <w:color w:val="000000" w:themeColor="text1"/>
          <w14:textFill>
            <w14:solidFill>
              <w14:schemeClr w14:val="tx1"/>
            </w14:solidFill>
          </w14:textFill>
        </w:rPr>
      </w:pPr>
      <w:r>
        <w:rPr>
          <w:color w:val="000000" w:themeColor="text1"/>
          <w:lang w:bidi="zh-CN"/>
          <w14:textFill>
            <w14:solidFill>
              <w14:schemeClr w14:val="tx1"/>
            </w14:solidFill>
          </w14:textFill>
        </w:rPr>
        <w:br w:type="page"/>
      </w:r>
    </w:p>
    <w:p w14:paraId="28781AF8">
      <w:pPr>
        <w:pStyle w:val="2"/>
        <w:spacing w:before="0" w:after="0" w:line="240" w:lineRule="auto"/>
        <w:rPr>
          <w:color w:val="000000" w:themeColor="text1"/>
          <w:sz w:val="28"/>
          <w:szCs w:val="28"/>
          <w14:textFill>
            <w14:solidFill>
              <w14:schemeClr w14:val="tx1"/>
            </w14:solidFill>
          </w14:textFill>
        </w:rPr>
      </w:pPr>
      <w:bookmarkStart w:id="231" w:name="_Toc31795"/>
      <w:bookmarkStart w:id="232" w:name="_Toc5002"/>
      <w:r>
        <w:rPr>
          <w:rFonts w:hint="eastAsia"/>
          <w:color w:val="000000" w:themeColor="text1"/>
          <w:sz w:val="28"/>
          <w:szCs w:val="28"/>
          <w14:textFill>
            <w14:solidFill>
              <w14:schemeClr w14:val="tx1"/>
            </w14:solidFill>
          </w14:textFill>
        </w:rPr>
        <w:t>第六部分附件－投标文件格式</w:t>
      </w:r>
      <w:bookmarkEnd w:id="231"/>
      <w:bookmarkEnd w:id="232"/>
    </w:p>
    <w:p w14:paraId="49BA1E73">
      <w:pPr>
        <w:rPr>
          <w:color w:val="000000" w:themeColor="text1"/>
          <w14:textFill>
            <w14:solidFill>
              <w14:schemeClr w14:val="tx1"/>
            </w14:solidFill>
          </w14:textFill>
        </w:rPr>
      </w:pPr>
    </w:p>
    <w:p w14:paraId="42627C91">
      <w:pPr>
        <w:pStyle w:val="4"/>
        <w:widowControl w:val="0"/>
        <w:overflowPunct w:val="0"/>
        <w:spacing w:line="240" w:lineRule="auto"/>
        <w:rPr>
          <w:rFonts w:ascii="宋体" w:hAnsi="宋体"/>
          <w:color w:val="000000" w:themeColor="text1"/>
          <w:sz w:val="21"/>
          <w:szCs w:val="21"/>
          <w14:textFill>
            <w14:solidFill>
              <w14:schemeClr w14:val="tx1"/>
            </w14:solidFill>
          </w14:textFill>
        </w:rPr>
      </w:pPr>
      <w:bookmarkStart w:id="233" w:name="_Toc20331"/>
      <w:bookmarkStart w:id="234" w:name="_Toc21237"/>
      <w:r>
        <w:rPr>
          <w:rFonts w:hint="eastAsia" w:ascii="宋体" w:hAnsi="宋体"/>
          <w:color w:val="000000" w:themeColor="text1"/>
          <w:sz w:val="21"/>
          <w:szCs w:val="21"/>
          <w14:textFill>
            <w14:solidFill>
              <w14:schemeClr w14:val="tx1"/>
            </w14:solidFill>
          </w14:textFill>
        </w:rPr>
        <w:t>投标文件目录</w:t>
      </w:r>
      <w:bookmarkEnd w:id="233"/>
      <w:bookmarkEnd w:id="234"/>
    </w:p>
    <w:p w14:paraId="498ECAA1">
      <w:pPr>
        <w:jc w:val="center"/>
        <w:rPr>
          <w:rFonts w:ascii="黑体" w:eastAsia="黑体"/>
          <w:color w:val="000000" w:themeColor="text1"/>
          <w:sz w:val="32"/>
          <w:szCs w:val="32"/>
          <w14:textFill>
            <w14:solidFill>
              <w14:schemeClr w14:val="tx1"/>
            </w14:solidFill>
          </w14:textFill>
        </w:rPr>
      </w:pPr>
    </w:p>
    <w:p w14:paraId="2978757F">
      <w:pPr>
        <w:jc w:val="center"/>
        <w:rPr>
          <w:rFonts w:ascii="黑体" w:eastAsia="黑体"/>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目录</w:t>
      </w:r>
    </w:p>
    <w:p w14:paraId="0812EEAF">
      <w:pPr>
        <w:adjustRightInd/>
        <w:snapToGrid/>
        <w:spacing w:line="276"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格式自理。</w:t>
      </w:r>
    </w:p>
    <w:p w14:paraId="5067EDAE">
      <w:pPr>
        <w:adjustRightInd/>
        <w:snapToGrid/>
        <w:spacing w:line="276" w:lineRule="auto"/>
        <w:rPr>
          <w:rFonts w:ascii="宋体" w:hAnsi="宋体"/>
          <w:color w:val="000000" w:themeColor="text1"/>
          <w:szCs w:val="21"/>
          <w14:textFill>
            <w14:solidFill>
              <w14:schemeClr w14:val="tx1"/>
            </w14:solidFill>
          </w14:textFill>
        </w:rPr>
      </w:pPr>
    </w:p>
    <w:p w14:paraId="7665A849">
      <w:pPr>
        <w:adjustRightInd/>
        <w:snapToGrid/>
        <w:spacing w:line="276" w:lineRule="auto"/>
        <w:rPr>
          <w:rFonts w:ascii="宋体" w:hAnsi="宋体"/>
          <w:color w:val="000000" w:themeColor="text1"/>
          <w:szCs w:val="21"/>
          <w14:textFill>
            <w14:solidFill>
              <w14:schemeClr w14:val="tx1"/>
            </w14:solidFill>
          </w14:textFill>
        </w:rPr>
      </w:pPr>
    </w:p>
    <w:p w14:paraId="01AE901A">
      <w:pPr>
        <w:adjustRightInd/>
        <w:snapToGrid/>
        <w:spacing w:line="276"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w:t>
      </w:r>
    </w:p>
    <w:p w14:paraId="17D19C87">
      <w:pPr>
        <w:adjustRightInd/>
        <w:snapToGrid/>
        <w:spacing w:line="276"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1、投标人制作的投标文件应当具备目录。</w:t>
      </w:r>
      <w:r>
        <w:rPr>
          <w:rFonts w:ascii="宋体" w:hAnsi="宋体"/>
          <w:color w:val="000000" w:themeColor="text1"/>
          <w:szCs w:val="21"/>
          <w14:textFill>
            <w14:solidFill>
              <w14:schemeClr w14:val="tx1"/>
            </w14:solidFill>
          </w14:textFill>
        </w:rPr>
        <w:br w:type="page"/>
      </w:r>
    </w:p>
    <w:p w14:paraId="37A2BB5C">
      <w:pPr>
        <w:pStyle w:val="4"/>
        <w:widowControl w:val="0"/>
        <w:overflowPunct w:val="0"/>
        <w:spacing w:line="240" w:lineRule="auto"/>
        <w:rPr>
          <w:rFonts w:ascii="宋体" w:hAnsi="宋体"/>
          <w:color w:val="000000" w:themeColor="text1"/>
          <w:sz w:val="21"/>
          <w:szCs w:val="21"/>
          <w14:textFill>
            <w14:solidFill>
              <w14:schemeClr w14:val="tx1"/>
            </w14:solidFill>
          </w14:textFill>
        </w:rPr>
      </w:pPr>
      <w:bookmarkStart w:id="235" w:name="_Toc7168"/>
      <w:bookmarkStart w:id="236" w:name="_Toc7533"/>
      <w:r>
        <w:rPr>
          <w:rFonts w:hint="eastAsia" w:ascii="宋体" w:hAnsi="宋体"/>
          <w:color w:val="000000" w:themeColor="text1"/>
          <w:sz w:val="21"/>
          <w:szCs w:val="21"/>
          <w14:textFill>
            <w14:solidFill>
              <w14:schemeClr w14:val="tx1"/>
            </w14:solidFill>
          </w14:textFill>
        </w:rPr>
        <w:t>附件1.评分标准索引表</w:t>
      </w:r>
      <w:bookmarkEnd w:id="235"/>
      <w:bookmarkEnd w:id="236"/>
    </w:p>
    <w:p w14:paraId="48D9D6FF">
      <w:pPr>
        <w:adjustRightInd/>
        <w:snapToGrid/>
        <w:spacing w:line="276" w:lineRule="auto"/>
        <w:rPr>
          <w:rFonts w:ascii="宋体" w:hAnsi="宋体"/>
          <w:color w:val="000000" w:themeColor="text1"/>
          <w:szCs w:val="21"/>
          <w14:textFill>
            <w14:solidFill>
              <w14:schemeClr w14:val="tx1"/>
            </w14:solidFill>
          </w14:textFill>
        </w:rPr>
      </w:pPr>
    </w:p>
    <w:p w14:paraId="2DD62321">
      <w:pPr>
        <w:jc w:val="center"/>
        <w:rPr>
          <w:rFonts w:ascii="黑体" w:eastAsia="黑体"/>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评分标准索引表</w:t>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14:paraId="00050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704" w:type="dxa"/>
            <w:vAlign w:val="center"/>
          </w:tcPr>
          <w:p w14:paraId="13BE7F18">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序号</w:t>
            </w:r>
          </w:p>
        </w:tc>
        <w:tc>
          <w:tcPr>
            <w:tcW w:w="1704" w:type="dxa"/>
            <w:vAlign w:val="center"/>
          </w:tcPr>
          <w:p w14:paraId="10D32092">
            <w:pPr>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评审项目</w:t>
            </w:r>
          </w:p>
        </w:tc>
        <w:tc>
          <w:tcPr>
            <w:tcW w:w="1704" w:type="dxa"/>
            <w:vAlign w:val="center"/>
          </w:tcPr>
          <w:p w14:paraId="1BD2C96D">
            <w:pPr>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评审细则</w:t>
            </w:r>
          </w:p>
        </w:tc>
        <w:tc>
          <w:tcPr>
            <w:tcW w:w="1705" w:type="dxa"/>
            <w:vAlign w:val="center"/>
          </w:tcPr>
          <w:p w14:paraId="3E23274C">
            <w:pPr>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分值</w:t>
            </w:r>
          </w:p>
        </w:tc>
        <w:tc>
          <w:tcPr>
            <w:tcW w:w="1705" w:type="dxa"/>
            <w:vAlign w:val="center"/>
          </w:tcPr>
          <w:p w14:paraId="4B2473B8">
            <w:pPr>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页码范围</w:t>
            </w:r>
          </w:p>
        </w:tc>
      </w:tr>
      <w:tr w14:paraId="01EC0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522" w:type="dxa"/>
            <w:gridSpan w:val="5"/>
            <w:vAlign w:val="center"/>
          </w:tcPr>
          <w:p w14:paraId="2E2F5628">
            <w:pP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商务评审</w:t>
            </w:r>
          </w:p>
        </w:tc>
      </w:tr>
      <w:tr w14:paraId="6064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0F57493F">
            <w:pPr>
              <w:jc w:val="center"/>
              <w:rPr>
                <w:rFonts w:ascii="宋体" w:hAnsi="宋体" w:cs="宋体"/>
                <w:color w:val="000000" w:themeColor="text1"/>
                <w14:textFill>
                  <w14:solidFill>
                    <w14:schemeClr w14:val="tx1"/>
                  </w14:solidFill>
                </w14:textFill>
              </w:rPr>
            </w:pPr>
          </w:p>
        </w:tc>
        <w:tc>
          <w:tcPr>
            <w:tcW w:w="1704" w:type="dxa"/>
            <w:vAlign w:val="center"/>
          </w:tcPr>
          <w:p w14:paraId="0BE07715">
            <w:pPr>
              <w:jc w:val="center"/>
              <w:rPr>
                <w:rFonts w:ascii="宋体" w:hAnsi="宋体" w:cs="宋体"/>
                <w:color w:val="000000" w:themeColor="text1"/>
                <w14:textFill>
                  <w14:solidFill>
                    <w14:schemeClr w14:val="tx1"/>
                  </w14:solidFill>
                </w14:textFill>
              </w:rPr>
            </w:pPr>
          </w:p>
        </w:tc>
        <w:tc>
          <w:tcPr>
            <w:tcW w:w="1704" w:type="dxa"/>
            <w:vAlign w:val="center"/>
          </w:tcPr>
          <w:p w14:paraId="0CDAB3C1">
            <w:pPr>
              <w:jc w:val="center"/>
              <w:rPr>
                <w:rFonts w:ascii="宋体" w:hAnsi="宋体" w:cs="宋体"/>
                <w:color w:val="000000" w:themeColor="text1"/>
                <w14:textFill>
                  <w14:solidFill>
                    <w14:schemeClr w14:val="tx1"/>
                  </w14:solidFill>
                </w14:textFill>
              </w:rPr>
            </w:pPr>
          </w:p>
        </w:tc>
        <w:tc>
          <w:tcPr>
            <w:tcW w:w="1705" w:type="dxa"/>
            <w:vAlign w:val="center"/>
          </w:tcPr>
          <w:p w14:paraId="71144D33">
            <w:pPr>
              <w:jc w:val="center"/>
              <w:rPr>
                <w:rFonts w:ascii="宋体" w:hAnsi="宋体" w:cs="宋体"/>
                <w:color w:val="000000" w:themeColor="text1"/>
                <w14:textFill>
                  <w14:solidFill>
                    <w14:schemeClr w14:val="tx1"/>
                  </w14:solidFill>
                </w14:textFill>
              </w:rPr>
            </w:pPr>
          </w:p>
        </w:tc>
        <w:tc>
          <w:tcPr>
            <w:tcW w:w="1705" w:type="dxa"/>
            <w:vAlign w:val="center"/>
          </w:tcPr>
          <w:p w14:paraId="1C0868EC">
            <w:pPr>
              <w:jc w:val="center"/>
              <w:rPr>
                <w:rFonts w:ascii="宋体" w:hAnsi="宋体" w:cs="宋体"/>
                <w:color w:val="000000" w:themeColor="text1"/>
                <w14:textFill>
                  <w14:solidFill>
                    <w14:schemeClr w14:val="tx1"/>
                  </w14:solidFill>
                </w14:textFill>
              </w:rPr>
            </w:pPr>
          </w:p>
        </w:tc>
      </w:tr>
      <w:tr w14:paraId="1C21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39085BA4">
            <w:pPr>
              <w:jc w:val="center"/>
              <w:rPr>
                <w:rFonts w:ascii="宋体" w:hAnsi="宋体" w:cs="宋体"/>
                <w:color w:val="000000" w:themeColor="text1"/>
                <w14:textFill>
                  <w14:solidFill>
                    <w14:schemeClr w14:val="tx1"/>
                  </w14:solidFill>
                </w14:textFill>
              </w:rPr>
            </w:pPr>
          </w:p>
        </w:tc>
        <w:tc>
          <w:tcPr>
            <w:tcW w:w="1704" w:type="dxa"/>
            <w:vAlign w:val="center"/>
          </w:tcPr>
          <w:p w14:paraId="6D76C98A">
            <w:pPr>
              <w:jc w:val="center"/>
              <w:rPr>
                <w:rFonts w:ascii="宋体" w:hAnsi="宋体" w:cs="宋体"/>
                <w:color w:val="000000" w:themeColor="text1"/>
                <w14:textFill>
                  <w14:solidFill>
                    <w14:schemeClr w14:val="tx1"/>
                  </w14:solidFill>
                </w14:textFill>
              </w:rPr>
            </w:pPr>
          </w:p>
        </w:tc>
        <w:tc>
          <w:tcPr>
            <w:tcW w:w="1704" w:type="dxa"/>
            <w:vAlign w:val="center"/>
          </w:tcPr>
          <w:p w14:paraId="269F4694">
            <w:pPr>
              <w:jc w:val="center"/>
              <w:rPr>
                <w:rFonts w:ascii="宋体" w:hAnsi="宋体" w:cs="宋体"/>
                <w:color w:val="000000" w:themeColor="text1"/>
                <w14:textFill>
                  <w14:solidFill>
                    <w14:schemeClr w14:val="tx1"/>
                  </w14:solidFill>
                </w14:textFill>
              </w:rPr>
            </w:pPr>
          </w:p>
        </w:tc>
        <w:tc>
          <w:tcPr>
            <w:tcW w:w="1705" w:type="dxa"/>
            <w:vAlign w:val="center"/>
          </w:tcPr>
          <w:p w14:paraId="50314A46">
            <w:pPr>
              <w:jc w:val="center"/>
              <w:rPr>
                <w:rFonts w:ascii="宋体" w:hAnsi="宋体" w:cs="宋体"/>
                <w:color w:val="000000" w:themeColor="text1"/>
                <w14:textFill>
                  <w14:solidFill>
                    <w14:schemeClr w14:val="tx1"/>
                  </w14:solidFill>
                </w14:textFill>
              </w:rPr>
            </w:pPr>
          </w:p>
        </w:tc>
        <w:tc>
          <w:tcPr>
            <w:tcW w:w="1705" w:type="dxa"/>
            <w:vAlign w:val="center"/>
          </w:tcPr>
          <w:p w14:paraId="4C383F45">
            <w:pPr>
              <w:jc w:val="center"/>
              <w:rPr>
                <w:rFonts w:ascii="宋体" w:hAnsi="宋体" w:cs="宋体"/>
                <w:color w:val="000000" w:themeColor="text1"/>
                <w14:textFill>
                  <w14:solidFill>
                    <w14:schemeClr w14:val="tx1"/>
                  </w14:solidFill>
                </w14:textFill>
              </w:rPr>
            </w:pPr>
          </w:p>
        </w:tc>
      </w:tr>
      <w:tr w14:paraId="2127B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789E8817">
            <w:pPr>
              <w:jc w:val="center"/>
              <w:rPr>
                <w:rFonts w:ascii="宋体" w:hAnsi="宋体" w:cs="宋体"/>
                <w:color w:val="000000" w:themeColor="text1"/>
                <w14:textFill>
                  <w14:solidFill>
                    <w14:schemeClr w14:val="tx1"/>
                  </w14:solidFill>
                </w14:textFill>
              </w:rPr>
            </w:pPr>
          </w:p>
        </w:tc>
        <w:tc>
          <w:tcPr>
            <w:tcW w:w="1704" w:type="dxa"/>
            <w:vAlign w:val="center"/>
          </w:tcPr>
          <w:p w14:paraId="704D604D">
            <w:pPr>
              <w:jc w:val="center"/>
              <w:rPr>
                <w:rFonts w:ascii="宋体" w:hAnsi="宋体" w:cs="宋体"/>
                <w:color w:val="000000" w:themeColor="text1"/>
                <w14:textFill>
                  <w14:solidFill>
                    <w14:schemeClr w14:val="tx1"/>
                  </w14:solidFill>
                </w14:textFill>
              </w:rPr>
            </w:pPr>
          </w:p>
        </w:tc>
        <w:tc>
          <w:tcPr>
            <w:tcW w:w="1704" w:type="dxa"/>
            <w:vAlign w:val="center"/>
          </w:tcPr>
          <w:p w14:paraId="0BE6511C">
            <w:pPr>
              <w:jc w:val="center"/>
              <w:rPr>
                <w:rFonts w:ascii="宋体" w:hAnsi="宋体" w:cs="宋体"/>
                <w:color w:val="000000" w:themeColor="text1"/>
                <w14:textFill>
                  <w14:solidFill>
                    <w14:schemeClr w14:val="tx1"/>
                  </w14:solidFill>
                </w14:textFill>
              </w:rPr>
            </w:pPr>
          </w:p>
        </w:tc>
        <w:tc>
          <w:tcPr>
            <w:tcW w:w="1705" w:type="dxa"/>
            <w:vAlign w:val="center"/>
          </w:tcPr>
          <w:p w14:paraId="618863C6">
            <w:pPr>
              <w:jc w:val="center"/>
              <w:rPr>
                <w:rFonts w:ascii="宋体" w:hAnsi="宋体" w:cs="宋体"/>
                <w:color w:val="000000" w:themeColor="text1"/>
                <w14:textFill>
                  <w14:solidFill>
                    <w14:schemeClr w14:val="tx1"/>
                  </w14:solidFill>
                </w14:textFill>
              </w:rPr>
            </w:pPr>
          </w:p>
        </w:tc>
        <w:tc>
          <w:tcPr>
            <w:tcW w:w="1705" w:type="dxa"/>
            <w:vAlign w:val="center"/>
          </w:tcPr>
          <w:p w14:paraId="3EE62E77">
            <w:pPr>
              <w:jc w:val="center"/>
              <w:rPr>
                <w:rFonts w:ascii="宋体" w:hAnsi="宋体" w:cs="宋体"/>
                <w:color w:val="000000" w:themeColor="text1"/>
                <w14:textFill>
                  <w14:solidFill>
                    <w14:schemeClr w14:val="tx1"/>
                  </w14:solidFill>
                </w14:textFill>
              </w:rPr>
            </w:pPr>
          </w:p>
        </w:tc>
      </w:tr>
      <w:tr w14:paraId="075C2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522" w:type="dxa"/>
            <w:gridSpan w:val="5"/>
            <w:vAlign w:val="center"/>
          </w:tcPr>
          <w:p w14:paraId="032AEEEE">
            <w:pP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技术评审</w:t>
            </w:r>
          </w:p>
        </w:tc>
      </w:tr>
      <w:tr w14:paraId="3D67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6C864DBA">
            <w:pPr>
              <w:jc w:val="center"/>
              <w:rPr>
                <w:rFonts w:ascii="宋体" w:hAnsi="宋体" w:cs="宋体"/>
                <w:color w:val="000000" w:themeColor="text1"/>
                <w14:textFill>
                  <w14:solidFill>
                    <w14:schemeClr w14:val="tx1"/>
                  </w14:solidFill>
                </w14:textFill>
              </w:rPr>
            </w:pPr>
          </w:p>
        </w:tc>
        <w:tc>
          <w:tcPr>
            <w:tcW w:w="1704" w:type="dxa"/>
            <w:vAlign w:val="center"/>
          </w:tcPr>
          <w:p w14:paraId="48FCF0A1">
            <w:pPr>
              <w:jc w:val="center"/>
              <w:rPr>
                <w:rFonts w:ascii="宋体" w:hAnsi="宋体" w:cs="宋体"/>
                <w:color w:val="000000" w:themeColor="text1"/>
                <w14:textFill>
                  <w14:solidFill>
                    <w14:schemeClr w14:val="tx1"/>
                  </w14:solidFill>
                </w14:textFill>
              </w:rPr>
            </w:pPr>
          </w:p>
        </w:tc>
        <w:tc>
          <w:tcPr>
            <w:tcW w:w="1704" w:type="dxa"/>
            <w:vAlign w:val="center"/>
          </w:tcPr>
          <w:p w14:paraId="2A11FCDC">
            <w:pPr>
              <w:jc w:val="center"/>
              <w:rPr>
                <w:rFonts w:ascii="宋体" w:hAnsi="宋体" w:cs="宋体"/>
                <w:color w:val="000000" w:themeColor="text1"/>
                <w14:textFill>
                  <w14:solidFill>
                    <w14:schemeClr w14:val="tx1"/>
                  </w14:solidFill>
                </w14:textFill>
              </w:rPr>
            </w:pPr>
          </w:p>
        </w:tc>
        <w:tc>
          <w:tcPr>
            <w:tcW w:w="1705" w:type="dxa"/>
            <w:vAlign w:val="center"/>
          </w:tcPr>
          <w:p w14:paraId="02AC666A">
            <w:pPr>
              <w:jc w:val="center"/>
              <w:rPr>
                <w:rFonts w:ascii="宋体" w:hAnsi="宋体" w:cs="宋体"/>
                <w:color w:val="000000" w:themeColor="text1"/>
                <w14:textFill>
                  <w14:solidFill>
                    <w14:schemeClr w14:val="tx1"/>
                  </w14:solidFill>
                </w14:textFill>
              </w:rPr>
            </w:pPr>
          </w:p>
        </w:tc>
        <w:tc>
          <w:tcPr>
            <w:tcW w:w="1705" w:type="dxa"/>
            <w:vAlign w:val="center"/>
          </w:tcPr>
          <w:p w14:paraId="14EB91D6">
            <w:pPr>
              <w:jc w:val="center"/>
              <w:rPr>
                <w:rFonts w:ascii="宋体" w:hAnsi="宋体" w:cs="宋体"/>
                <w:color w:val="000000" w:themeColor="text1"/>
                <w14:textFill>
                  <w14:solidFill>
                    <w14:schemeClr w14:val="tx1"/>
                  </w14:solidFill>
                </w14:textFill>
              </w:rPr>
            </w:pPr>
          </w:p>
        </w:tc>
      </w:tr>
      <w:tr w14:paraId="14D6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54E1A42A">
            <w:pPr>
              <w:jc w:val="center"/>
              <w:rPr>
                <w:rFonts w:ascii="宋体" w:hAnsi="宋体" w:cs="宋体"/>
                <w:color w:val="000000" w:themeColor="text1"/>
                <w14:textFill>
                  <w14:solidFill>
                    <w14:schemeClr w14:val="tx1"/>
                  </w14:solidFill>
                </w14:textFill>
              </w:rPr>
            </w:pPr>
          </w:p>
        </w:tc>
        <w:tc>
          <w:tcPr>
            <w:tcW w:w="1704" w:type="dxa"/>
            <w:vAlign w:val="center"/>
          </w:tcPr>
          <w:p w14:paraId="027E61DB">
            <w:pPr>
              <w:jc w:val="center"/>
              <w:rPr>
                <w:rFonts w:ascii="宋体" w:hAnsi="宋体" w:cs="宋体"/>
                <w:color w:val="000000" w:themeColor="text1"/>
                <w14:textFill>
                  <w14:solidFill>
                    <w14:schemeClr w14:val="tx1"/>
                  </w14:solidFill>
                </w14:textFill>
              </w:rPr>
            </w:pPr>
          </w:p>
        </w:tc>
        <w:tc>
          <w:tcPr>
            <w:tcW w:w="1704" w:type="dxa"/>
            <w:vAlign w:val="center"/>
          </w:tcPr>
          <w:p w14:paraId="10313B37">
            <w:pPr>
              <w:jc w:val="center"/>
              <w:rPr>
                <w:rFonts w:ascii="宋体" w:hAnsi="宋体" w:cs="宋体"/>
                <w:color w:val="000000" w:themeColor="text1"/>
                <w14:textFill>
                  <w14:solidFill>
                    <w14:schemeClr w14:val="tx1"/>
                  </w14:solidFill>
                </w14:textFill>
              </w:rPr>
            </w:pPr>
          </w:p>
        </w:tc>
        <w:tc>
          <w:tcPr>
            <w:tcW w:w="1705" w:type="dxa"/>
            <w:vAlign w:val="center"/>
          </w:tcPr>
          <w:p w14:paraId="63E1889E">
            <w:pPr>
              <w:jc w:val="center"/>
              <w:rPr>
                <w:rFonts w:ascii="宋体" w:hAnsi="宋体" w:cs="宋体"/>
                <w:color w:val="000000" w:themeColor="text1"/>
                <w14:textFill>
                  <w14:solidFill>
                    <w14:schemeClr w14:val="tx1"/>
                  </w14:solidFill>
                </w14:textFill>
              </w:rPr>
            </w:pPr>
          </w:p>
        </w:tc>
        <w:tc>
          <w:tcPr>
            <w:tcW w:w="1705" w:type="dxa"/>
            <w:vAlign w:val="center"/>
          </w:tcPr>
          <w:p w14:paraId="09D5E45C">
            <w:pPr>
              <w:jc w:val="center"/>
              <w:rPr>
                <w:rFonts w:ascii="宋体" w:hAnsi="宋体" w:cs="宋体"/>
                <w:color w:val="000000" w:themeColor="text1"/>
                <w14:textFill>
                  <w14:solidFill>
                    <w14:schemeClr w14:val="tx1"/>
                  </w14:solidFill>
                </w14:textFill>
              </w:rPr>
            </w:pPr>
          </w:p>
        </w:tc>
      </w:tr>
      <w:tr w14:paraId="2E46E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686CEFA6">
            <w:pPr>
              <w:jc w:val="center"/>
              <w:rPr>
                <w:rFonts w:ascii="宋体" w:hAnsi="宋体" w:cs="宋体"/>
                <w:color w:val="000000" w:themeColor="text1"/>
                <w14:textFill>
                  <w14:solidFill>
                    <w14:schemeClr w14:val="tx1"/>
                  </w14:solidFill>
                </w14:textFill>
              </w:rPr>
            </w:pPr>
          </w:p>
        </w:tc>
        <w:tc>
          <w:tcPr>
            <w:tcW w:w="1704" w:type="dxa"/>
            <w:vAlign w:val="center"/>
          </w:tcPr>
          <w:p w14:paraId="7646000D">
            <w:pPr>
              <w:jc w:val="center"/>
              <w:rPr>
                <w:rFonts w:ascii="宋体" w:hAnsi="宋体" w:cs="宋体"/>
                <w:color w:val="000000" w:themeColor="text1"/>
                <w14:textFill>
                  <w14:solidFill>
                    <w14:schemeClr w14:val="tx1"/>
                  </w14:solidFill>
                </w14:textFill>
              </w:rPr>
            </w:pPr>
          </w:p>
        </w:tc>
        <w:tc>
          <w:tcPr>
            <w:tcW w:w="1704" w:type="dxa"/>
            <w:vAlign w:val="center"/>
          </w:tcPr>
          <w:p w14:paraId="0B10A365">
            <w:pPr>
              <w:jc w:val="center"/>
              <w:rPr>
                <w:rFonts w:ascii="宋体" w:hAnsi="宋体" w:cs="宋体"/>
                <w:color w:val="000000" w:themeColor="text1"/>
                <w14:textFill>
                  <w14:solidFill>
                    <w14:schemeClr w14:val="tx1"/>
                  </w14:solidFill>
                </w14:textFill>
              </w:rPr>
            </w:pPr>
          </w:p>
        </w:tc>
        <w:tc>
          <w:tcPr>
            <w:tcW w:w="1705" w:type="dxa"/>
            <w:vAlign w:val="center"/>
          </w:tcPr>
          <w:p w14:paraId="218112B8">
            <w:pPr>
              <w:jc w:val="center"/>
              <w:rPr>
                <w:rFonts w:ascii="宋体" w:hAnsi="宋体" w:cs="宋体"/>
                <w:color w:val="000000" w:themeColor="text1"/>
                <w14:textFill>
                  <w14:solidFill>
                    <w14:schemeClr w14:val="tx1"/>
                  </w14:solidFill>
                </w14:textFill>
              </w:rPr>
            </w:pPr>
          </w:p>
        </w:tc>
        <w:tc>
          <w:tcPr>
            <w:tcW w:w="1705" w:type="dxa"/>
            <w:vAlign w:val="center"/>
          </w:tcPr>
          <w:p w14:paraId="17D1C61E">
            <w:pPr>
              <w:jc w:val="center"/>
              <w:rPr>
                <w:rFonts w:ascii="宋体" w:hAnsi="宋体" w:cs="宋体"/>
                <w:color w:val="000000" w:themeColor="text1"/>
                <w14:textFill>
                  <w14:solidFill>
                    <w14:schemeClr w14:val="tx1"/>
                  </w14:solidFill>
                </w14:textFill>
              </w:rPr>
            </w:pPr>
          </w:p>
        </w:tc>
      </w:tr>
    </w:tbl>
    <w:p w14:paraId="63263A21">
      <w:pPr>
        <w:rPr>
          <w:rFonts w:ascii="宋体" w:hAnsi="宋体"/>
          <w:color w:val="000000" w:themeColor="text1"/>
          <w:szCs w:val="21"/>
          <w14:textFill>
            <w14:solidFill>
              <w14:schemeClr w14:val="tx1"/>
            </w14:solidFill>
          </w14:textFill>
        </w:rPr>
      </w:pPr>
    </w:p>
    <w:p w14:paraId="38AD82B1">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w:t>
      </w:r>
    </w:p>
    <w:p w14:paraId="465E29BD">
      <w:pPr>
        <w:numPr>
          <w:ilvl w:val="0"/>
          <w:numId w:val="8"/>
        </w:num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该表格为参考格式，投标人可按实际情况自行制订评分标准索引表。</w:t>
      </w:r>
    </w:p>
    <w:p w14:paraId="426193E9">
      <w:pPr>
        <w:pStyle w:val="11"/>
        <w:spacing w:before="0"/>
        <w:ind w:left="0"/>
        <w:rPr>
          <w:color w:val="000000" w:themeColor="text1"/>
          <w14:textFill>
            <w14:solidFill>
              <w14:schemeClr w14:val="tx1"/>
            </w14:solidFill>
          </w14:textFill>
        </w:rPr>
      </w:pPr>
    </w:p>
    <w:p w14:paraId="0FE279FA">
      <w:pPr>
        <w:adjustRightInd/>
        <w:snapToGrid/>
        <w:spacing w:line="276" w:lineRule="auto"/>
        <w:rPr>
          <w:rFonts w:ascii="宋体" w:hAnsi="宋体"/>
          <w:color w:val="000000" w:themeColor="text1"/>
          <w:szCs w:val="21"/>
          <w14:textFill>
            <w14:solidFill>
              <w14:schemeClr w14:val="tx1"/>
            </w14:solidFill>
          </w14:textFill>
        </w:rPr>
      </w:pPr>
    </w:p>
    <w:p w14:paraId="18FDC481">
      <w:pPr>
        <w:adjustRightInd/>
        <w:snapToGrid/>
        <w:spacing w:line="276" w:lineRule="auto"/>
        <w:rPr>
          <w:rFonts w:ascii="宋体" w:hAnsi="宋体"/>
          <w:color w:val="000000" w:themeColor="text1"/>
          <w:szCs w:val="21"/>
          <w14:textFill>
            <w14:solidFill>
              <w14:schemeClr w14:val="tx1"/>
            </w14:solidFill>
          </w14:textFill>
        </w:rPr>
      </w:pPr>
    </w:p>
    <w:p w14:paraId="34D998E6">
      <w:pPr>
        <w:adjustRightInd/>
        <w:snapToGrid/>
        <w:spacing w:line="276" w:lineRule="auto"/>
        <w:rPr>
          <w:rFonts w:ascii="宋体" w:hAnsi="宋体"/>
          <w:color w:val="000000" w:themeColor="text1"/>
          <w:szCs w:val="21"/>
          <w14:textFill>
            <w14:solidFill>
              <w14:schemeClr w14:val="tx1"/>
            </w14:solidFill>
          </w14:textFill>
        </w:rPr>
      </w:pPr>
    </w:p>
    <w:p w14:paraId="412F82A8">
      <w:pPr>
        <w:adjustRightInd/>
        <w:snapToGrid/>
        <w:spacing w:line="276" w:lineRule="auto"/>
        <w:rPr>
          <w:rFonts w:ascii="宋体" w:hAnsi="宋体"/>
          <w:color w:val="000000" w:themeColor="text1"/>
          <w:szCs w:val="21"/>
          <w14:textFill>
            <w14:solidFill>
              <w14:schemeClr w14:val="tx1"/>
            </w14:solidFill>
          </w14:textFill>
        </w:rPr>
      </w:pPr>
    </w:p>
    <w:p w14:paraId="3937F9C5">
      <w:pPr>
        <w:adjustRightInd/>
        <w:snapToGrid/>
        <w:spacing w:line="276" w:lineRule="auto"/>
        <w:rPr>
          <w:rFonts w:ascii="宋体" w:hAnsi="宋体"/>
          <w:color w:val="000000" w:themeColor="text1"/>
          <w:szCs w:val="21"/>
          <w14:textFill>
            <w14:solidFill>
              <w14:schemeClr w14:val="tx1"/>
            </w14:solidFill>
          </w14:textFill>
        </w:rPr>
      </w:pPr>
    </w:p>
    <w:p w14:paraId="362A7C04">
      <w:pPr>
        <w:adjustRightInd/>
        <w:snapToGrid/>
        <w:spacing w:line="276"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br w:type="page"/>
      </w:r>
    </w:p>
    <w:p w14:paraId="3B2E526F">
      <w:pPr>
        <w:jc w:val="center"/>
        <w:rPr>
          <w:rFonts w:ascii="黑体" w:eastAsia="黑体"/>
          <w:color w:val="000000" w:themeColor="text1"/>
          <w:sz w:val="52"/>
          <w:szCs w:val="52"/>
          <w14:textFill>
            <w14:solidFill>
              <w14:schemeClr w14:val="tx1"/>
            </w14:solidFill>
          </w14:textFill>
        </w:rPr>
      </w:pPr>
      <w:bookmarkStart w:id="237" w:name="_Toc18450"/>
      <w:bookmarkStart w:id="238" w:name="_Toc30918"/>
      <w:bookmarkStart w:id="239" w:name="_Toc21746"/>
      <w:bookmarkStart w:id="240" w:name="_Toc20335"/>
      <w:bookmarkStart w:id="241" w:name="_Toc28154"/>
    </w:p>
    <w:p w14:paraId="487CC7CF">
      <w:pPr>
        <w:pStyle w:val="3"/>
        <w:spacing w:before="0" w:after="0" w:line="360" w:lineRule="auto"/>
        <w:jc w:val="center"/>
        <w:rPr>
          <w:color w:val="000000" w:themeColor="text1"/>
          <w:sz w:val="72"/>
          <w:szCs w:val="72"/>
          <w14:textFill>
            <w14:solidFill>
              <w14:schemeClr w14:val="tx1"/>
            </w14:solidFill>
          </w14:textFill>
        </w:rPr>
      </w:pPr>
      <w:bookmarkStart w:id="242" w:name="_Toc28068"/>
      <w:bookmarkStart w:id="243" w:name="_Toc4381"/>
      <w:r>
        <w:rPr>
          <w:rFonts w:hint="eastAsia"/>
          <w:color w:val="000000" w:themeColor="text1"/>
          <w:sz w:val="72"/>
          <w:szCs w:val="72"/>
          <w14:textFill>
            <w14:solidFill>
              <w14:schemeClr w14:val="tx1"/>
            </w14:solidFill>
          </w14:textFill>
        </w:rPr>
        <w:t>价格文件</w:t>
      </w:r>
      <w:bookmarkEnd w:id="237"/>
      <w:bookmarkEnd w:id="238"/>
      <w:bookmarkEnd w:id="242"/>
      <w:bookmarkEnd w:id="243"/>
      <w:bookmarkStart w:id="244" w:name="_Hlt10456397"/>
      <w:bookmarkEnd w:id="244"/>
      <w:bookmarkStart w:id="245" w:name="_Hlt10519799"/>
      <w:bookmarkEnd w:id="245"/>
    </w:p>
    <w:p w14:paraId="0F3C8C6E">
      <w:pPr>
        <w:jc w:val="center"/>
        <w:rPr>
          <w:rFonts w:ascii="黑体" w:eastAsia="黑体"/>
          <w:color w:val="000000" w:themeColor="text1"/>
          <w:sz w:val="72"/>
          <w:szCs w:val="72"/>
          <w14:textFill>
            <w14:solidFill>
              <w14:schemeClr w14:val="tx1"/>
            </w14:solidFill>
          </w14:textFill>
        </w:rPr>
      </w:pPr>
      <w:r>
        <w:rPr>
          <w:rFonts w:hint="eastAsia" w:ascii="黑体" w:eastAsia="黑体"/>
          <w:color w:val="000000" w:themeColor="text1"/>
          <w:sz w:val="72"/>
          <w:szCs w:val="72"/>
          <w14:textFill>
            <w14:solidFill>
              <w14:schemeClr w14:val="tx1"/>
            </w14:solidFill>
          </w14:textFill>
        </w:rPr>
        <w:t>（单独装订成册）</w:t>
      </w:r>
      <w:bookmarkEnd w:id="239"/>
      <w:bookmarkEnd w:id="240"/>
      <w:bookmarkEnd w:id="241"/>
    </w:p>
    <w:p w14:paraId="62950AFC">
      <w:pPr>
        <w:rPr>
          <w:color w:val="000000" w:themeColor="text1"/>
          <w14:textFill>
            <w14:solidFill>
              <w14:schemeClr w14:val="tx1"/>
            </w14:solidFill>
          </w14:textFill>
        </w:rPr>
      </w:pPr>
    </w:p>
    <w:p w14:paraId="77FEEAA5">
      <w:pPr>
        <w:pStyle w:val="11"/>
        <w:rPr>
          <w:color w:val="000000" w:themeColor="text1"/>
          <w14:textFill>
            <w14:solidFill>
              <w14:schemeClr w14:val="tx1"/>
            </w14:solidFill>
          </w14:textFill>
        </w:rPr>
      </w:pPr>
    </w:p>
    <w:p w14:paraId="0D174DC7">
      <w:pPr>
        <w:pStyle w:val="29"/>
        <w:keepNext w:val="0"/>
        <w:keepLines w:val="0"/>
        <w:pageBreakBefore w:val="0"/>
        <w:widowControl/>
        <w:kinsoku/>
        <w:wordWrap/>
        <w:overflowPunct/>
        <w:topLinePunct w:val="0"/>
        <w:autoSpaceDE/>
        <w:autoSpaceDN/>
        <w:bidi w:val="0"/>
        <w:adjustRightInd w:val="0"/>
        <w:snapToGrid w:val="0"/>
        <w:spacing w:before="0" w:after="0" w:afterAutospacing="0" w:line="360" w:lineRule="auto"/>
        <w:ind w:left="0" w:firstLine="240"/>
        <w:textAlignment w:val="auto"/>
        <w:rPr>
          <w:color w:val="000000" w:themeColor="text1"/>
          <w14:textFill>
            <w14:solidFill>
              <w14:schemeClr w14:val="tx1"/>
            </w14:solidFill>
          </w14:textFill>
        </w:rPr>
      </w:pPr>
    </w:p>
    <w:p w14:paraId="187F5E79">
      <w:pPr>
        <w:keepNext w:val="0"/>
        <w:keepLines w:val="0"/>
        <w:pageBreakBefore w:val="0"/>
        <w:widowControl/>
        <w:kinsoku/>
        <w:wordWrap/>
        <w:overflowPunct/>
        <w:topLinePunct w:val="0"/>
        <w:autoSpaceDE/>
        <w:autoSpaceDN/>
        <w:bidi w:val="0"/>
        <w:adjustRightInd w:val="0"/>
        <w:snapToGrid w:val="0"/>
        <w:spacing w:afterAutospacing="0" w:line="360" w:lineRule="auto"/>
        <w:ind w:left="0"/>
        <w:textAlignment w:val="auto"/>
        <w:rPr>
          <w:rFonts w:ascii="宋体" w:hAnsi="宋体" w:cs="宋体"/>
          <w:b/>
          <w:bCs/>
          <w:color w:val="000000" w:themeColor="text1"/>
          <w:spacing w:val="-6"/>
          <w:sz w:val="32"/>
          <w:szCs w:val="32"/>
          <w14:textFill>
            <w14:solidFill>
              <w14:schemeClr w14:val="tx1"/>
            </w14:solidFill>
          </w14:textFill>
        </w:rPr>
      </w:pPr>
      <w:r>
        <w:rPr>
          <w:rFonts w:hint="eastAsia" w:ascii="宋体" w:hAnsi="宋体" w:cs="宋体"/>
          <w:b/>
          <w:bCs/>
          <w:color w:val="000000" w:themeColor="text1"/>
          <w:spacing w:val="53"/>
          <w:kern w:val="0"/>
          <w:sz w:val="32"/>
          <w:szCs w:val="32"/>
          <w:fitText w:val="1600" w:id="1947737316"/>
          <w14:textFill>
            <w14:solidFill>
              <w14:schemeClr w14:val="tx1"/>
            </w14:solidFill>
          </w14:textFill>
        </w:rPr>
        <w:t>项目名</w:t>
      </w:r>
      <w:r>
        <w:rPr>
          <w:rFonts w:hint="eastAsia" w:ascii="宋体" w:hAnsi="宋体" w:cs="宋体"/>
          <w:b/>
          <w:bCs/>
          <w:color w:val="000000" w:themeColor="text1"/>
          <w:spacing w:val="1"/>
          <w:kern w:val="0"/>
          <w:sz w:val="32"/>
          <w:szCs w:val="32"/>
          <w:fitText w:val="1600" w:id="1947737316"/>
          <w14:textFill>
            <w14:solidFill>
              <w14:schemeClr w14:val="tx1"/>
            </w14:solidFill>
          </w14:textFill>
        </w:rPr>
        <w:t>称</w:t>
      </w:r>
      <w:r>
        <w:rPr>
          <w:rFonts w:hint="eastAsia" w:ascii="宋体" w:hAnsi="宋体" w:cs="宋体"/>
          <w:b/>
          <w:bCs/>
          <w:color w:val="000000" w:themeColor="text1"/>
          <w:spacing w:val="-6"/>
          <w:sz w:val="32"/>
          <w:szCs w:val="32"/>
          <w14:textFill>
            <w14:solidFill>
              <w14:schemeClr w14:val="tx1"/>
            </w14:solidFill>
          </w14:textFill>
        </w:rPr>
        <w:t>：</w:t>
      </w:r>
    </w:p>
    <w:p w14:paraId="17ECB82B">
      <w:pPr>
        <w:keepNext w:val="0"/>
        <w:keepLines w:val="0"/>
        <w:pageBreakBefore w:val="0"/>
        <w:widowControl/>
        <w:kinsoku/>
        <w:wordWrap/>
        <w:overflowPunct/>
        <w:topLinePunct w:val="0"/>
        <w:autoSpaceDE/>
        <w:autoSpaceDN/>
        <w:bidi w:val="0"/>
        <w:adjustRightInd w:val="0"/>
        <w:snapToGrid w:val="0"/>
        <w:spacing w:afterAutospacing="0" w:line="360" w:lineRule="auto"/>
        <w:ind w:left="0"/>
        <w:textAlignment w:val="auto"/>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pacing w:val="53"/>
          <w:kern w:val="0"/>
          <w:sz w:val="32"/>
          <w:szCs w:val="32"/>
          <w:highlight w:val="none"/>
          <w:fitText w:val="1600" w:id="70211570"/>
          <w14:textFill>
            <w14:solidFill>
              <w14:schemeClr w14:val="tx1"/>
            </w14:solidFill>
          </w14:textFill>
        </w:rPr>
        <w:t>项目编</w:t>
      </w:r>
      <w:r>
        <w:rPr>
          <w:rFonts w:hint="eastAsia" w:ascii="宋体" w:hAnsi="宋体" w:cs="宋体"/>
          <w:b/>
          <w:bCs/>
          <w:color w:val="000000" w:themeColor="text1"/>
          <w:spacing w:val="1"/>
          <w:kern w:val="0"/>
          <w:sz w:val="32"/>
          <w:szCs w:val="32"/>
          <w:highlight w:val="none"/>
          <w:fitText w:val="1600" w:id="70211570"/>
          <w14:textFill>
            <w14:solidFill>
              <w14:schemeClr w14:val="tx1"/>
            </w14:solidFill>
          </w14:textFill>
        </w:rPr>
        <w:t>号</w:t>
      </w:r>
      <w:r>
        <w:rPr>
          <w:rFonts w:hint="eastAsia" w:ascii="宋体" w:hAnsi="宋体" w:cs="宋体"/>
          <w:b/>
          <w:bCs/>
          <w:color w:val="000000" w:themeColor="text1"/>
          <w:sz w:val="32"/>
          <w:szCs w:val="32"/>
          <w:highlight w:val="none"/>
          <w14:textFill>
            <w14:solidFill>
              <w14:schemeClr w14:val="tx1"/>
            </w14:solidFill>
          </w14:textFill>
        </w:rPr>
        <w:t>：</w:t>
      </w:r>
    </w:p>
    <w:p w14:paraId="3D637ABD">
      <w:pPr>
        <w:pStyle w:val="27"/>
        <w:keepNext w:val="0"/>
        <w:keepLines w:val="0"/>
        <w:pageBreakBefore w:val="0"/>
        <w:widowControl/>
        <w:kinsoku/>
        <w:wordWrap/>
        <w:overflowPunct/>
        <w:topLinePunct w:val="0"/>
        <w:autoSpaceDE/>
        <w:autoSpaceDN/>
        <w:bidi w:val="0"/>
        <w:adjustRightInd w:val="0"/>
        <w:snapToGrid w:val="0"/>
        <w:spacing w:afterAutospacing="0" w:line="360" w:lineRule="auto"/>
        <w:ind w:left="0"/>
        <w:jc w:val="left"/>
        <w:textAlignment w:val="auto"/>
        <w:rPr>
          <w:rFonts w:ascii="宋体" w:hAnsi="宋体" w:cs="宋体"/>
          <w:b/>
          <w:color w:val="000000" w:themeColor="text1"/>
          <w:spacing w:val="1280"/>
          <w:kern w:val="0"/>
          <w:sz w:val="32"/>
          <w:szCs w:val="32"/>
          <w:highlight w:val="none"/>
          <w14:textFill>
            <w14:solidFill>
              <w14:schemeClr w14:val="tx1"/>
            </w14:solidFill>
          </w14:textFill>
        </w:rPr>
      </w:pPr>
      <w:r>
        <w:rPr>
          <w:rFonts w:hint="eastAsia" w:ascii="宋体" w:hAnsi="宋体" w:cs="宋体"/>
          <w:b/>
          <w:color w:val="000000" w:themeColor="text1"/>
          <w:spacing w:val="106"/>
          <w:kern w:val="0"/>
          <w:sz w:val="32"/>
          <w:szCs w:val="32"/>
          <w:highlight w:val="none"/>
          <w:lang w:bidi="ar"/>
          <w14:textFill>
            <w14:solidFill>
              <w14:schemeClr w14:val="tx1"/>
            </w14:solidFill>
          </w14:textFill>
        </w:rPr>
        <w:t>包组号（如有）：</w:t>
      </w:r>
    </w:p>
    <w:p w14:paraId="03248E4C">
      <w:pPr>
        <w:keepNext w:val="0"/>
        <w:keepLines w:val="0"/>
        <w:pageBreakBefore w:val="0"/>
        <w:widowControl/>
        <w:kinsoku/>
        <w:wordWrap/>
        <w:overflowPunct/>
        <w:topLinePunct w:val="0"/>
        <w:autoSpaceDE/>
        <w:autoSpaceDN/>
        <w:bidi w:val="0"/>
        <w:adjustRightInd w:val="0"/>
        <w:snapToGrid w:val="0"/>
        <w:spacing w:afterAutospacing="0" w:line="360" w:lineRule="auto"/>
        <w:ind w:left="0"/>
        <w:textAlignment w:val="auto"/>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pacing w:val="0"/>
          <w:kern w:val="0"/>
          <w:sz w:val="32"/>
          <w:szCs w:val="32"/>
          <w:highlight w:val="none"/>
          <w:fitText w:val="1600" w:id="1458731915"/>
          <w14:textFill>
            <w14:solidFill>
              <w14:schemeClr w14:val="tx1"/>
            </w14:solidFill>
          </w14:textFill>
        </w:rPr>
        <w:t>投标人名称</w:t>
      </w:r>
      <w:r>
        <w:rPr>
          <w:rFonts w:hint="eastAsia" w:ascii="宋体" w:hAnsi="宋体" w:cs="宋体"/>
          <w:b/>
          <w:color w:val="000000" w:themeColor="text1"/>
          <w:sz w:val="32"/>
          <w:szCs w:val="32"/>
          <w:highlight w:val="none"/>
          <w14:textFill>
            <w14:solidFill>
              <w14:schemeClr w14:val="tx1"/>
            </w14:solidFill>
          </w14:textFill>
        </w:rPr>
        <w:t>：</w:t>
      </w:r>
    </w:p>
    <w:p w14:paraId="6B1FD764">
      <w:pPr>
        <w:keepNext w:val="0"/>
        <w:keepLines w:val="0"/>
        <w:pageBreakBefore w:val="0"/>
        <w:widowControl/>
        <w:kinsoku/>
        <w:wordWrap/>
        <w:overflowPunct/>
        <w:topLinePunct w:val="0"/>
        <w:autoSpaceDE/>
        <w:autoSpaceDN/>
        <w:bidi w:val="0"/>
        <w:adjustRightInd w:val="0"/>
        <w:snapToGrid w:val="0"/>
        <w:spacing w:afterAutospacing="0" w:line="360" w:lineRule="auto"/>
        <w:ind w:left="0"/>
        <w:textAlignment w:val="auto"/>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pacing w:val="32"/>
          <w:kern w:val="0"/>
          <w:sz w:val="32"/>
          <w:szCs w:val="32"/>
          <w:highlight w:val="none"/>
          <w:fitText w:val="1600" w:id="437591866"/>
          <w14:textFill>
            <w14:solidFill>
              <w14:schemeClr w14:val="tx1"/>
            </w14:solidFill>
          </w14:textFill>
        </w:rPr>
        <w:t xml:space="preserve">日    </w:t>
      </w:r>
      <w:r>
        <w:rPr>
          <w:rFonts w:hint="eastAsia" w:ascii="宋体" w:hAnsi="宋体" w:cs="宋体"/>
          <w:b/>
          <w:color w:val="000000" w:themeColor="text1"/>
          <w:spacing w:val="0"/>
          <w:kern w:val="0"/>
          <w:sz w:val="32"/>
          <w:szCs w:val="32"/>
          <w:highlight w:val="none"/>
          <w:fitText w:val="1600" w:id="437591866"/>
          <w14:textFill>
            <w14:solidFill>
              <w14:schemeClr w14:val="tx1"/>
            </w14:solidFill>
          </w14:textFill>
        </w:rPr>
        <w:t>期</w:t>
      </w:r>
      <w:r>
        <w:rPr>
          <w:rFonts w:hint="eastAsia" w:ascii="宋体" w:hAnsi="宋体" w:cs="宋体"/>
          <w:b/>
          <w:color w:val="000000" w:themeColor="text1"/>
          <w:sz w:val="32"/>
          <w:szCs w:val="32"/>
          <w:highlight w:val="none"/>
          <w14:textFill>
            <w14:solidFill>
              <w14:schemeClr w14:val="tx1"/>
            </w14:solidFill>
          </w14:textFill>
        </w:rPr>
        <w:t>：</w:t>
      </w:r>
    </w:p>
    <w:p w14:paraId="764D94D5">
      <w:pPr>
        <w:rPr>
          <w:color w:val="000000" w:themeColor="text1"/>
          <w14:textFill>
            <w14:solidFill>
              <w14:schemeClr w14:val="tx1"/>
            </w14:solidFill>
          </w14:textFill>
        </w:rPr>
      </w:pPr>
    </w:p>
    <w:p w14:paraId="35B06FE1">
      <w:pPr>
        <w:pStyle w:val="11"/>
        <w:rPr>
          <w:color w:val="000000" w:themeColor="text1"/>
          <w14:textFill>
            <w14:solidFill>
              <w14:schemeClr w14:val="tx1"/>
            </w14:solidFill>
          </w14:textFill>
        </w:rPr>
      </w:pPr>
    </w:p>
    <w:p w14:paraId="3E0B609C">
      <w:pPr>
        <w:pStyle w:val="29"/>
        <w:ind w:firstLine="240"/>
        <w:rPr>
          <w:color w:val="000000" w:themeColor="text1"/>
          <w14:textFill>
            <w14:solidFill>
              <w14:schemeClr w14:val="tx1"/>
            </w14:solidFill>
          </w14:textFill>
        </w:rPr>
      </w:pPr>
    </w:p>
    <w:p w14:paraId="6E6BBD36">
      <w:pPr>
        <w:pStyle w:val="24"/>
        <w:rPr>
          <w:color w:val="000000" w:themeColor="text1"/>
          <w14:textFill>
            <w14:solidFill>
              <w14:schemeClr w14:val="tx1"/>
            </w14:solidFill>
          </w14:textFill>
        </w:rPr>
      </w:pPr>
    </w:p>
    <w:p w14:paraId="78D3F0B3">
      <w:pPr>
        <w:rPr>
          <w:color w:val="000000" w:themeColor="text1"/>
          <w14:textFill>
            <w14:solidFill>
              <w14:schemeClr w14:val="tx1"/>
            </w14:solidFill>
          </w14:textFill>
        </w:rPr>
      </w:pPr>
    </w:p>
    <w:p w14:paraId="0BD30D0A">
      <w:pPr>
        <w:pStyle w:val="11"/>
        <w:rPr>
          <w:color w:val="000000" w:themeColor="text1"/>
          <w14:textFill>
            <w14:solidFill>
              <w14:schemeClr w14:val="tx1"/>
            </w14:solidFill>
          </w14:textFill>
        </w:rPr>
      </w:pPr>
    </w:p>
    <w:p w14:paraId="19B50386">
      <w:pPr>
        <w:pStyle w:val="29"/>
        <w:ind w:firstLine="240"/>
        <w:rPr>
          <w:color w:val="000000" w:themeColor="text1"/>
          <w14:textFill>
            <w14:solidFill>
              <w14:schemeClr w14:val="tx1"/>
            </w14:solidFill>
          </w14:textFill>
        </w:rPr>
      </w:pPr>
    </w:p>
    <w:p w14:paraId="70924261">
      <w:pPr>
        <w:pStyle w:val="24"/>
        <w:rPr>
          <w:color w:val="000000" w:themeColor="text1"/>
          <w14:textFill>
            <w14:solidFill>
              <w14:schemeClr w14:val="tx1"/>
            </w14:solidFill>
          </w14:textFill>
        </w:rPr>
      </w:pPr>
    </w:p>
    <w:p w14:paraId="58E14C4A">
      <w:pPr>
        <w:pStyle w:val="24"/>
        <w:ind w:left="0"/>
        <w:rPr>
          <w:color w:val="000000" w:themeColor="text1"/>
          <w14:textFill>
            <w14:solidFill>
              <w14:schemeClr w14:val="tx1"/>
            </w14:solidFill>
          </w14:textFill>
        </w:rPr>
      </w:pPr>
    </w:p>
    <w:p w14:paraId="6D69EE70">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25DB5A67">
      <w:pPr>
        <w:pStyle w:val="5"/>
        <w:widowControl w:val="0"/>
        <w:overflowPunct w:val="0"/>
        <w:spacing w:line="240" w:lineRule="auto"/>
        <w:rPr>
          <w:rFonts w:ascii="宋体" w:hAnsi="宋体"/>
          <w:color w:val="000000" w:themeColor="text1"/>
          <w:sz w:val="21"/>
          <w:szCs w:val="21"/>
          <w14:textFill>
            <w14:solidFill>
              <w14:schemeClr w14:val="tx1"/>
            </w14:solidFill>
          </w14:textFill>
        </w:rPr>
      </w:pPr>
      <w:bookmarkStart w:id="246" w:name="_Toc20662"/>
      <w:r>
        <w:rPr>
          <w:rFonts w:hint="eastAsia" w:ascii="宋体" w:hAnsi="宋体"/>
          <w:color w:val="000000" w:themeColor="text1"/>
          <w:sz w:val="21"/>
          <w:szCs w:val="21"/>
          <w14:textFill>
            <w14:solidFill>
              <w14:schemeClr w14:val="tx1"/>
            </w14:solidFill>
          </w14:textFill>
        </w:rPr>
        <w:t>附件2.开标一览表格式</w:t>
      </w:r>
      <w:bookmarkEnd w:id="246"/>
    </w:p>
    <w:p w14:paraId="22DBAFE7">
      <w:pPr>
        <w:jc w:val="center"/>
        <w:rPr>
          <w:rFonts w:ascii="黑体" w:eastAsia="黑体"/>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开标一览表</w:t>
      </w:r>
    </w:p>
    <w:p w14:paraId="5FB32362">
      <w:pPr>
        <w:rPr>
          <w:color w:val="000000" w:themeColor="text1"/>
          <w14:textFill>
            <w14:solidFill>
              <w14:schemeClr w14:val="tx1"/>
            </w14:solidFill>
          </w14:textFill>
        </w:rPr>
      </w:pPr>
    </w:p>
    <w:p w14:paraId="6B2DF657">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投标人名称：</w:t>
      </w:r>
    </w:p>
    <w:p w14:paraId="655DF32E">
      <w:pPr>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采购项目编号：</w:t>
      </w:r>
    </w:p>
    <w:tbl>
      <w:tblPr>
        <w:tblStyle w:val="31"/>
        <w:tblW w:w="41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1942"/>
        <w:gridCol w:w="1402"/>
        <w:gridCol w:w="2089"/>
      </w:tblGrid>
      <w:tr w14:paraId="7E10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182" w:type="pct"/>
            <w:vAlign w:val="center"/>
          </w:tcPr>
          <w:p w14:paraId="5921746A">
            <w:pPr>
              <w:spacing w:line="240" w:lineRule="auto"/>
              <w:jc w:val="center"/>
              <w:rPr>
                <w:rFonts w:ascii="宋体" w:hAnsi="宋体" w:cs="宋体"/>
                <w:color w:val="000000" w:themeColor="text1"/>
                <w:kern w:val="28"/>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项目名称</w:t>
            </w:r>
          </w:p>
        </w:tc>
        <w:tc>
          <w:tcPr>
            <w:tcW w:w="1364" w:type="pct"/>
            <w:vAlign w:val="center"/>
          </w:tcPr>
          <w:p w14:paraId="3A6A9462">
            <w:pPr>
              <w:spacing w:line="240" w:lineRule="auto"/>
              <w:jc w:val="center"/>
              <w:rPr>
                <w:rFonts w:ascii="宋体" w:hAnsi="宋体" w:cs="宋体"/>
                <w:color w:val="000000" w:themeColor="text1"/>
                <w:kern w:val="28"/>
                <w:szCs w:val="21"/>
                <w:highlight w:val="none"/>
                <w14:textFill>
                  <w14:solidFill>
                    <w14:schemeClr w14:val="tx1"/>
                  </w14:solidFill>
                </w14:textFill>
              </w:rPr>
            </w:pPr>
            <w:r>
              <w:rPr>
                <w:rFonts w:hint="eastAsia" w:ascii="宋体" w:hAnsi="宋体" w:cs="宋体"/>
                <w:color w:val="000000" w:themeColor="text1"/>
                <w:kern w:val="28"/>
                <w:szCs w:val="21"/>
                <w:highlight w:val="none"/>
                <w:lang w:val="en-US" w:eastAsia="zh-CN"/>
                <w14:textFill>
                  <w14:solidFill>
                    <w14:schemeClr w14:val="tx1"/>
                  </w14:solidFill>
                </w14:textFill>
              </w:rPr>
              <w:t>含税</w:t>
            </w:r>
            <w:r>
              <w:rPr>
                <w:rFonts w:hint="eastAsia" w:ascii="宋体" w:hAnsi="宋体" w:cs="宋体"/>
                <w:color w:val="000000" w:themeColor="text1"/>
                <w:kern w:val="28"/>
                <w:szCs w:val="21"/>
                <w:highlight w:val="none"/>
                <w14:textFill>
                  <w14:solidFill>
                    <w14:schemeClr w14:val="tx1"/>
                  </w14:solidFill>
                </w14:textFill>
              </w:rPr>
              <w:t>投标总价（元）</w:t>
            </w:r>
          </w:p>
        </w:tc>
        <w:tc>
          <w:tcPr>
            <w:tcW w:w="985" w:type="pct"/>
            <w:vAlign w:val="center"/>
          </w:tcPr>
          <w:p w14:paraId="1F1691D2">
            <w:pPr>
              <w:spacing w:line="240" w:lineRule="auto"/>
              <w:jc w:val="center"/>
              <w:rPr>
                <w:rFonts w:ascii="宋体" w:hAnsi="宋体" w:cs="宋体"/>
                <w:color w:val="000000" w:themeColor="text1"/>
                <w:kern w:val="28"/>
                <w:szCs w:val="21"/>
                <w:highlight w:val="none"/>
                <w14:textFill>
                  <w14:solidFill>
                    <w14:schemeClr w14:val="tx1"/>
                  </w14:solidFill>
                </w14:textFill>
              </w:rPr>
            </w:pPr>
            <w:r>
              <w:rPr>
                <w:rFonts w:hint="eastAsia" w:ascii="宋体" w:hAnsi="宋体" w:cs="宋体"/>
                <w:color w:val="000000" w:themeColor="text1"/>
                <w:kern w:val="28"/>
                <w:szCs w:val="21"/>
                <w:highlight w:val="none"/>
                <w14:textFill>
                  <w14:solidFill>
                    <w14:schemeClr w14:val="tx1"/>
                  </w14:solidFill>
                </w14:textFill>
              </w:rPr>
              <w:t>服务期</w:t>
            </w:r>
          </w:p>
        </w:tc>
        <w:tc>
          <w:tcPr>
            <w:tcW w:w="1467" w:type="pct"/>
            <w:vAlign w:val="center"/>
          </w:tcPr>
          <w:p w14:paraId="5A8E48B7">
            <w:pPr>
              <w:spacing w:line="240" w:lineRule="auto"/>
              <w:jc w:val="center"/>
              <w:rPr>
                <w:rFonts w:ascii="宋体" w:hAnsi="宋体" w:cs="宋体"/>
                <w:color w:val="000000" w:themeColor="text1"/>
                <w:kern w:val="28"/>
                <w:szCs w:val="21"/>
                <w:highlight w:val="none"/>
                <w14:textFill>
                  <w14:solidFill>
                    <w14:schemeClr w14:val="tx1"/>
                  </w14:solidFill>
                </w14:textFill>
              </w:rPr>
            </w:pPr>
            <w:r>
              <w:rPr>
                <w:rFonts w:hint="eastAsia" w:ascii="宋体" w:hAnsi="宋体" w:cs="宋体"/>
                <w:color w:val="000000" w:themeColor="text1"/>
                <w:kern w:val="28"/>
                <w:szCs w:val="21"/>
                <w:highlight w:val="none"/>
                <w14:textFill>
                  <w14:solidFill>
                    <w14:schemeClr w14:val="tx1"/>
                  </w14:solidFill>
                </w14:textFill>
              </w:rPr>
              <w:t>备注</w:t>
            </w:r>
          </w:p>
        </w:tc>
      </w:tr>
      <w:tr w14:paraId="367E8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1182" w:type="pct"/>
            <w:vAlign w:val="center"/>
          </w:tcPr>
          <w:p w14:paraId="68B7156B">
            <w:pPr>
              <w:spacing w:line="240" w:lineRule="auto"/>
              <w:jc w:val="center"/>
              <w:rPr>
                <w:rFonts w:ascii="宋体" w:hAnsi="宋体" w:cs="宋体"/>
                <w:color w:val="000000" w:themeColor="text1"/>
                <w:szCs w:val="21"/>
                <w14:textFill>
                  <w14:solidFill>
                    <w14:schemeClr w14:val="tx1"/>
                  </w14:solidFill>
                </w14:textFill>
              </w:rPr>
            </w:pPr>
          </w:p>
        </w:tc>
        <w:tc>
          <w:tcPr>
            <w:tcW w:w="1364" w:type="pct"/>
            <w:vAlign w:val="center"/>
          </w:tcPr>
          <w:p w14:paraId="004BFE7F">
            <w:pPr>
              <w:spacing w:line="24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小写：</w:t>
            </w:r>
          </w:p>
          <w:p w14:paraId="52FA2CA7">
            <w:pPr>
              <w:spacing w:line="24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大写：</w:t>
            </w:r>
          </w:p>
        </w:tc>
        <w:tc>
          <w:tcPr>
            <w:tcW w:w="985" w:type="pct"/>
            <w:vAlign w:val="center"/>
          </w:tcPr>
          <w:p w14:paraId="295F65AC">
            <w:pPr>
              <w:pStyle w:val="67"/>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 xml:space="preserve"> </w:t>
            </w:r>
          </w:p>
        </w:tc>
        <w:tc>
          <w:tcPr>
            <w:tcW w:w="1467" w:type="pct"/>
            <w:vAlign w:val="center"/>
          </w:tcPr>
          <w:p w14:paraId="70DF0FD1">
            <w:pPr>
              <w:pStyle w:val="67"/>
              <w:jc w:val="center"/>
              <w:rPr>
                <w:rFonts w:hAnsi="宋体"/>
                <w:color w:val="000000" w:themeColor="text1"/>
                <w:sz w:val="21"/>
                <w:szCs w:val="21"/>
                <w14:textFill>
                  <w14:solidFill>
                    <w14:schemeClr w14:val="tx1"/>
                  </w14:solidFill>
                </w14:textFill>
              </w:rPr>
            </w:pPr>
          </w:p>
        </w:tc>
      </w:tr>
    </w:tbl>
    <w:p w14:paraId="703BDFB9">
      <w:pPr>
        <w:rPr>
          <w:rFonts w:ascii="宋体" w:hAnsi="宋体"/>
          <w:color w:val="000000" w:themeColor="text1"/>
          <w:szCs w:val="21"/>
          <w14:textFill>
            <w14:solidFill>
              <w14:schemeClr w14:val="tx1"/>
            </w14:solidFill>
          </w14:textFill>
        </w:rPr>
      </w:pPr>
    </w:p>
    <w:p w14:paraId="1B460713">
      <w:pPr>
        <w:ind w:firstLine="359" w:firstLineChars="171"/>
        <w:rPr>
          <w:rFonts w:ascii="宋体" w:hAnsi="宋体"/>
          <w:color w:val="000000" w:themeColor="text1"/>
          <w:szCs w:val="21"/>
          <w14:textFill>
            <w14:solidFill>
              <w14:schemeClr w14:val="tx1"/>
            </w14:solidFill>
          </w14:textFill>
        </w:rPr>
      </w:pPr>
    </w:p>
    <w:p w14:paraId="3111F4C8">
      <w:pPr>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投标人代表签字：</w:t>
      </w:r>
    </w:p>
    <w:p w14:paraId="751951F8">
      <w:pPr>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投标人盖章：</w:t>
      </w:r>
    </w:p>
    <w:p w14:paraId="72995AAC">
      <w:pPr>
        <w:ind w:firstLine="359" w:firstLineChars="171"/>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p>
    <w:p w14:paraId="49D1754A">
      <w:pPr>
        <w:ind w:firstLine="359" w:firstLineChars="171"/>
        <w:rPr>
          <w:rFonts w:ascii="宋体" w:hAnsi="宋体"/>
          <w:color w:val="000000" w:themeColor="text1"/>
          <w:szCs w:val="21"/>
          <w14:textFill>
            <w14:solidFill>
              <w14:schemeClr w14:val="tx1"/>
            </w14:solidFill>
          </w14:textFill>
        </w:rPr>
      </w:pPr>
    </w:p>
    <w:p w14:paraId="4D4584DE">
      <w:pPr>
        <w:ind w:left="391" w:hanging="390" w:hangingChars="186"/>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注：</w:t>
      </w:r>
    </w:p>
    <w:p w14:paraId="54CF9A4C">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1、投标总价栏须</w:t>
      </w:r>
      <w:r>
        <w:rPr>
          <w:rFonts w:ascii="宋体" w:hAnsi="宋体"/>
          <w:color w:val="000000" w:themeColor="text1"/>
          <w:szCs w:val="21"/>
          <w14:textFill>
            <w14:solidFill>
              <w14:schemeClr w14:val="tx1"/>
            </w14:solidFill>
          </w14:textFill>
        </w:rPr>
        <w:t>用</w:t>
      </w:r>
      <w:r>
        <w:rPr>
          <w:rFonts w:hint="eastAsia" w:ascii="宋体" w:hAnsi="宋体"/>
          <w:color w:val="000000" w:themeColor="text1"/>
          <w:szCs w:val="21"/>
          <w14:textFill>
            <w14:solidFill>
              <w14:schemeClr w14:val="tx1"/>
            </w14:solidFill>
          </w14:textFill>
        </w:rPr>
        <w:t>大写金额和小写金额两种方式</w:t>
      </w:r>
      <w:r>
        <w:rPr>
          <w:rFonts w:ascii="宋体" w:hAnsi="宋体"/>
          <w:color w:val="000000" w:themeColor="text1"/>
          <w:szCs w:val="21"/>
          <w14:textFill>
            <w14:solidFill>
              <w14:schemeClr w14:val="tx1"/>
            </w14:solidFill>
          </w14:textFill>
        </w:rPr>
        <w:t>表示的投标总价</w:t>
      </w:r>
      <w:r>
        <w:rPr>
          <w:rFonts w:hint="eastAsia" w:ascii="宋体" w:hAnsi="宋体"/>
          <w:color w:val="000000" w:themeColor="text1"/>
          <w:szCs w:val="21"/>
          <w14:textFill>
            <w14:solidFill>
              <w14:schemeClr w14:val="tx1"/>
            </w14:solidFill>
          </w14:textFill>
        </w:rPr>
        <w:t>，报价保留小数点后两位。投标总价大小写不一致，以大写为准。投标总价必须准确唯一且应包含采购文件要求的所有费用。</w:t>
      </w:r>
    </w:p>
    <w:p w14:paraId="5B1E3830">
      <w:pPr>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2、温馨提示：未按采购文件要求报价、填写开标一览表是导致投标人废标的常见问题，请投标人仔细填写，认真核对。</w:t>
      </w:r>
    </w:p>
    <w:p w14:paraId="02EBAB25">
      <w:pPr>
        <w:widowControl/>
        <w:adjustRightInd/>
        <w:snapToGrid/>
        <w:ind w:left="0" w:firstLine="420" w:firstLineChars="200"/>
        <w:rPr>
          <w:rFonts w:hint="eastAsia" w:ascii="宋体" w:hAnsi="宋体" w:cstheme="minorBidi"/>
          <w:color w:val="000000" w:themeColor="text1"/>
          <w:szCs w:val="21"/>
          <w14:textFill>
            <w14:solidFill>
              <w14:schemeClr w14:val="tx1"/>
            </w14:solidFill>
          </w14:textFill>
        </w:rPr>
      </w:pPr>
      <w:r>
        <w:rPr>
          <w:rFonts w:hint="eastAsia" w:ascii="宋体" w:hAnsi="宋体" w:cstheme="minorBidi"/>
          <w:color w:val="000000" w:themeColor="text1"/>
          <w:szCs w:val="21"/>
          <w:lang w:val="en-US" w:eastAsia="zh-CN"/>
          <w14:textFill>
            <w14:solidFill>
              <w14:schemeClr w14:val="tx1"/>
            </w14:solidFill>
          </w14:textFill>
        </w:rPr>
        <w:t>3、</w:t>
      </w:r>
      <w:r>
        <w:rPr>
          <w:rFonts w:hint="eastAsia" w:ascii="宋体" w:hAnsi="宋体" w:cstheme="minorBidi"/>
          <w:color w:val="000000" w:themeColor="text1"/>
          <w:szCs w:val="21"/>
          <w14:textFill>
            <w14:solidFill>
              <w14:schemeClr w14:val="tx1"/>
            </w14:solidFill>
          </w14:textFill>
        </w:rPr>
        <w:t>本项目需要投标人对免费质保期后的每年运维费用进行报价，报价不得高于本项目投标报价的7%，前述费用不计入在本项目投标报价中。免费质保期后，采购人有权在不高于本次运维报价的情况下与中标人洽商确定运维费用。</w:t>
      </w:r>
    </w:p>
    <w:p w14:paraId="5F11C0BB">
      <w:pPr>
        <w:pStyle w:val="11"/>
        <w:rPr>
          <w:color w:val="000000" w:themeColor="text1"/>
          <w14:textFill>
            <w14:solidFill>
              <w14:schemeClr w14:val="tx1"/>
            </w14:solidFill>
          </w14:textFill>
        </w:rPr>
      </w:pPr>
    </w:p>
    <w:p w14:paraId="2F4AAF99">
      <w:pP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68CB8662">
      <w:pPr>
        <w:pStyle w:val="5"/>
        <w:widowControl w:val="0"/>
        <w:overflowPunct w:val="0"/>
        <w:spacing w:line="24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附件3.运维费用报价表格式</w:t>
      </w:r>
    </w:p>
    <w:p w14:paraId="410E490B">
      <w:pPr>
        <w:jc w:val="center"/>
        <w:rPr>
          <w:rFonts w:ascii="黑体" w:eastAsia="黑体"/>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运维费用报价表</w:t>
      </w:r>
    </w:p>
    <w:p w14:paraId="34458CB8">
      <w:pPr>
        <w:pStyle w:val="77"/>
        <w:spacing w:before="0" w:after="0"/>
        <w:jc w:val="righ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单位：元</w:t>
      </w:r>
    </w:p>
    <w:p w14:paraId="6B2E73B0">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投标人名称：</w:t>
      </w:r>
    </w:p>
    <w:p w14:paraId="069D63B6">
      <w:pPr>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采购项目编号：</w:t>
      </w:r>
    </w:p>
    <w:tbl>
      <w:tblPr>
        <w:tblStyle w:val="3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9"/>
        <w:gridCol w:w="2640"/>
        <w:gridCol w:w="1050"/>
        <w:gridCol w:w="1051"/>
      </w:tblGrid>
      <w:tr w14:paraId="3B19E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2217" w:type="pct"/>
            <w:vAlign w:val="center"/>
          </w:tcPr>
          <w:p w14:paraId="0E181C42">
            <w:pPr>
              <w:spacing w:line="240" w:lineRule="auto"/>
              <w:jc w:val="center"/>
              <w:rPr>
                <w:rFonts w:ascii="宋体" w:hAnsi="宋体" w:cs="宋体"/>
                <w:b/>
                <w:bCs/>
                <w:color w:val="000000" w:themeColor="text1"/>
                <w:kern w:val="28"/>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项目名称</w:t>
            </w:r>
          </w:p>
        </w:tc>
        <w:tc>
          <w:tcPr>
            <w:tcW w:w="1549" w:type="pct"/>
            <w:vAlign w:val="center"/>
          </w:tcPr>
          <w:p w14:paraId="23940AF6">
            <w:pPr>
              <w:spacing w:line="240" w:lineRule="auto"/>
              <w:jc w:val="center"/>
              <w:rPr>
                <w:rFonts w:ascii="宋体" w:hAnsi="宋体" w:cs="宋体"/>
                <w:b/>
                <w:bCs/>
                <w:color w:val="000000" w:themeColor="text1"/>
                <w:kern w:val="28"/>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含税运维费用（元/年）</w:t>
            </w:r>
          </w:p>
        </w:tc>
        <w:tc>
          <w:tcPr>
            <w:tcW w:w="616" w:type="pct"/>
            <w:vAlign w:val="center"/>
          </w:tcPr>
          <w:p w14:paraId="5A7AA97E">
            <w:pPr>
              <w:spacing w:line="240" w:lineRule="auto"/>
              <w:jc w:val="center"/>
              <w:rPr>
                <w:rFonts w:ascii="宋体" w:hAnsi="宋体" w:cs="宋体"/>
                <w:b/>
                <w:bCs/>
                <w:color w:val="000000" w:themeColor="text1"/>
                <w:kern w:val="28"/>
                <w:szCs w:val="21"/>
                <w14:textFill>
                  <w14:solidFill>
                    <w14:schemeClr w14:val="tx1"/>
                  </w14:solidFill>
                </w14:textFill>
              </w:rPr>
            </w:pPr>
            <w:r>
              <w:rPr>
                <w:rFonts w:hint="eastAsia" w:ascii="宋体" w:hAnsi="宋体" w:cs="宋体"/>
                <w:b/>
                <w:bCs/>
                <w:color w:val="000000" w:themeColor="text1"/>
                <w:kern w:val="28"/>
                <w:szCs w:val="21"/>
                <w14:textFill>
                  <w14:solidFill>
                    <w14:schemeClr w14:val="tx1"/>
                  </w14:solidFill>
                </w14:textFill>
              </w:rPr>
              <w:t>税率</w:t>
            </w:r>
          </w:p>
        </w:tc>
        <w:tc>
          <w:tcPr>
            <w:tcW w:w="616" w:type="pct"/>
            <w:vAlign w:val="center"/>
          </w:tcPr>
          <w:p w14:paraId="471D187E">
            <w:pPr>
              <w:spacing w:line="240" w:lineRule="auto"/>
              <w:jc w:val="center"/>
              <w:rPr>
                <w:rFonts w:ascii="宋体" w:hAnsi="宋体" w:cs="宋体"/>
                <w:b/>
                <w:bCs/>
                <w:color w:val="000000" w:themeColor="text1"/>
                <w:kern w:val="28"/>
                <w:szCs w:val="21"/>
                <w14:textFill>
                  <w14:solidFill>
                    <w14:schemeClr w14:val="tx1"/>
                  </w14:solidFill>
                </w14:textFill>
              </w:rPr>
            </w:pPr>
            <w:r>
              <w:rPr>
                <w:rFonts w:hint="eastAsia" w:ascii="宋体" w:hAnsi="宋体" w:cs="宋体"/>
                <w:b/>
                <w:bCs/>
                <w:color w:val="000000" w:themeColor="text1"/>
                <w:kern w:val="28"/>
                <w:szCs w:val="21"/>
                <w14:textFill>
                  <w14:solidFill>
                    <w14:schemeClr w14:val="tx1"/>
                  </w14:solidFill>
                </w14:textFill>
              </w:rPr>
              <w:t>备注</w:t>
            </w:r>
          </w:p>
        </w:tc>
      </w:tr>
      <w:tr w14:paraId="5D00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2217" w:type="pct"/>
            <w:vAlign w:val="center"/>
          </w:tcPr>
          <w:p w14:paraId="4B2F4756">
            <w:pPr>
              <w:spacing w:line="240" w:lineRule="auto"/>
              <w:jc w:val="center"/>
              <w:rPr>
                <w:rFonts w:ascii="宋体" w:hAnsi="宋体" w:cs="宋体"/>
                <w:color w:val="000000" w:themeColor="text1"/>
                <w:szCs w:val="21"/>
                <w14:textFill>
                  <w14:solidFill>
                    <w14:schemeClr w14:val="tx1"/>
                  </w14:solidFill>
                </w14:textFill>
              </w:rPr>
            </w:pPr>
          </w:p>
        </w:tc>
        <w:tc>
          <w:tcPr>
            <w:tcW w:w="1549" w:type="pct"/>
            <w:vAlign w:val="center"/>
          </w:tcPr>
          <w:p w14:paraId="0737B93C">
            <w:pPr>
              <w:spacing w:line="24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小写：</w:t>
            </w:r>
          </w:p>
          <w:p w14:paraId="40470DBD">
            <w:pPr>
              <w:spacing w:line="24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大写：</w:t>
            </w:r>
          </w:p>
        </w:tc>
        <w:tc>
          <w:tcPr>
            <w:tcW w:w="616" w:type="pct"/>
            <w:vAlign w:val="center"/>
          </w:tcPr>
          <w:p w14:paraId="407287C3">
            <w:pPr>
              <w:pStyle w:val="67"/>
              <w:jc w:val="center"/>
              <w:rPr>
                <w:rFonts w:hAnsi="宋体"/>
                <w:color w:val="000000" w:themeColor="text1"/>
                <w:sz w:val="21"/>
                <w:szCs w:val="21"/>
                <w14:textFill>
                  <w14:solidFill>
                    <w14:schemeClr w14:val="tx1"/>
                  </w14:solidFill>
                </w14:textFill>
              </w:rPr>
            </w:pPr>
          </w:p>
        </w:tc>
        <w:tc>
          <w:tcPr>
            <w:tcW w:w="616" w:type="pct"/>
            <w:vAlign w:val="center"/>
          </w:tcPr>
          <w:p w14:paraId="7EE58B2F">
            <w:pPr>
              <w:pStyle w:val="67"/>
              <w:jc w:val="center"/>
              <w:rPr>
                <w:rFonts w:hAnsi="宋体"/>
                <w:color w:val="000000" w:themeColor="text1"/>
                <w:sz w:val="21"/>
                <w:szCs w:val="21"/>
                <w14:textFill>
                  <w14:solidFill>
                    <w14:schemeClr w14:val="tx1"/>
                  </w14:solidFill>
                </w14:textFill>
              </w:rPr>
            </w:pPr>
          </w:p>
        </w:tc>
      </w:tr>
    </w:tbl>
    <w:p w14:paraId="6842D788">
      <w:pPr>
        <w:rPr>
          <w:rFonts w:ascii="宋体" w:hAnsi="宋体"/>
          <w:color w:val="000000" w:themeColor="text1"/>
          <w:szCs w:val="21"/>
          <w14:textFill>
            <w14:solidFill>
              <w14:schemeClr w14:val="tx1"/>
            </w14:solidFill>
          </w14:textFill>
        </w:rPr>
      </w:pPr>
    </w:p>
    <w:p w14:paraId="510315E3">
      <w:pPr>
        <w:ind w:left="391" w:hanging="390" w:hangingChars="186"/>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w:t>
      </w:r>
    </w:p>
    <w:p w14:paraId="441B3E85">
      <w:pPr>
        <w:widowControl w:val="0"/>
        <w:adjustRightInd/>
        <w:snapToGrid/>
        <w:ind w:left="-136" w:firstLine="420"/>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一）本项目需要投标人对免费质保期后的每年运维费用进行报价，报价不得高于本项目投标报价的7%，前述费用不计入在本项目投标报价中。免费质保期后，采购人有权在不高于本次运维报价的情况下与中标人洽商确定运维费用。</w:t>
      </w:r>
    </w:p>
    <w:p w14:paraId="04BAC79E">
      <w:pPr>
        <w:widowControl w:val="0"/>
        <w:adjustRightInd/>
        <w:snapToGrid/>
        <w:ind w:left="-136" w:firstLine="420"/>
        <w:rPr>
          <w:rFonts w:ascii="宋体" w:hAnsi="宋体" w:cs="宋体"/>
          <w:b/>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（二）运维费用报价栏须用大写金额和小写金额两种方式表示运维费用，报价保留小数点后两位。运维费用大小写不一致，以大写为准。</w:t>
      </w:r>
    </w:p>
    <w:p w14:paraId="4912C062">
      <w:pPr>
        <w:rPr>
          <w:color w:val="000000" w:themeColor="text1"/>
          <w14:textFill>
            <w14:solidFill>
              <w14:schemeClr w14:val="tx1"/>
            </w14:solidFill>
          </w14:textFill>
        </w:rPr>
      </w:pPr>
    </w:p>
    <w:p w14:paraId="67F06B8D">
      <w:pPr>
        <w:pStyle w:val="11"/>
        <w:rPr>
          <w:color w:val="000000" w:themeColor="text1"/>
          <w14:textFill>
            <w14:solidFill>
              <w14:schemeClr w14:val="tx1"/>
            </w14:solidFill>
          </w14:textFill>
        </w:rPr>
      </w:pPr>
    </w:p>
    <w:p w14:paraId="60E0DBCB">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投标人代表签字：</w:t>
      </w:r>
    </w:p>
    <w:p w14:paraId="0868C974">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投标人盖章：</w:t>
      </w:r>
    </w:p>
    <w:p w14:paraId="38E56EEE">
      <w:pP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p>
    <w:p w14:paraId="79720C35">
      <w:pPr>
        <w:rPr>
          <w:rFonts w:hint="eastAsia" w:ascii="宋体" w:hAnsi="宋体"/>
          <w:color w:val="000000" w:themeColor="text1"/>
          <w:szCs w:val="21"/>
          <w14:textFill>
            <w14:solidFill>
              <w14:schemeClr w14:val="tx1"/>
            </w14:solidFill>
          </w14:textFill>
        </w:rPr>
      </w:pPr>
    </w:p>
    <w:p w14:paraId="57F2BCC8">
      <w:pP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0DDB3588">
      <w:pPr>
        <w:pStyle w:val="11"/>
        <w:rPr>
          <w:color w:val="000000" w:themeColor="text1"/>
          <w14:textFill>
            <w14:solidFill>
              <w14:schemeClr w14:val="tx1"/>
            </w14:solidFill>
          </w14:textFill>
        </w:rPr>
      </w:pPr>
    </w:p>
    <w:p w14:paraId="5F9BC7C7">
      <w:pPr>
        <w:rPr>
          <w:color w:val="000000" w:themeColor="text1"/>
          <w:sz w:val="52"/>
          <w:szCs w:val="52"/>
          <w14:textFill>
            <w14:solidFill>
              <w14:schemeClr w14:val="tx1"/>
            </w14:solidFill>
          </w14:textFill>
        </w:rPr>
      </w:pPr>
    </w:p>
    <w:p w14:paraId="20B323E5">
      <w:pPr>
        <w:pStyle w:val="3"/>
        <w:spacing w:before="0" w:after="0" w:line="360" w:lineRule="auto"/>
        <w:jc w:val="center"/>
        <w:rPr>
          <w:color w:val="000000" w:themeColor="text1"/>
          <w:sz w:val="72"/>
          <w:szCs w:val="72"/>
          <w14:textFill>
            <w14:solidFill>
              <w14:schemeClr w14:val="tx1"/>
            </w14:solidFill>
          </w14:textFill>
        </w:rPr>
      </w:pPr>
      <w:bookmarkStart w:id="247" w:name="_Toc25869"/>
      <w:bookmarkStart w:id="248" w:name="_Toc22649"/>
      <w:r>
        <w:rPr>
          <w:rFonts w:hint="eastAsia"/>
          <w:color w:val="000000" w:themeColor="text1"/>
          <w:sz w:val="72"/>
          <w:szCs w:val="72"/>
          <w14:textFill>
            <w14:solidFill>
              <w14:schemeClr w14:val="tx1"/>
            </w14:solidFill>
          </w14:textFill>
        </w:rPr>
        <w:t>商务文件</w:t>
      </w:r>
      <w:bookmarkEnd w:id="247"/>
      <w:bookmarkEnd w:id="248"/>
    </w:p>
    <w:p w14:paraId="744F1A1B">
      <w:pPr>
        <w:jc w:val="center"/>
        <w:rPr>
          <w:rFonts w:ascii="黑体" w:eastAsia="黑体"/>
          <w:color w:val="000000" w:themeColor="text1"/>
          <w:sz w:val="72"/>
          <w:szCs w:val="72"/>
          <w14:textFill>
            <w14:solidFill>
              <w14:schemeClr w14:val="tx1"/>
            </w14:solidFill>
          </w14:textFill>
        </w:rPr>
      </w:pPr>
      <w:r>
        <w:rPr>
          <w:rFonts w:hint="eastAsia" w:ascii="黑体" w:eastAsia="黑体"/>
          <w:color w:val="000000" w:themeColor="text1"/>
          <w:sz w:val="72"/>
          <w:szCs w:val="72"/>
          <w14:textFill>
            <w14:solidFill>
              <w14:schemeClr w14:val="tx1"/>
            </w14:solidFill>
          </w14:textFill>
        </w:rPr>
        <w:t>（单独装订成册）</w:t>
      </w:r>
    </w:p>
    <w:p w14:paraId="67CBD562">
      <w:pPr>
        <w:rPr>
          <w:color w:val="000000" w:themeColor="text1"/>
          <w14:textFill>
            <w14:solidFill>
              <w14:schemeClr w14:val="tx1"/>
            </w14:solidFill>
          </w14:textFill>
        </w:rPr>
      </w:pPr>
    </w:p>
    <w:p w14:paraId="26B2A8D7">
      <w:pPr>
        <w:pStyle w:val="11"/>
        <w:rPr>
          <w:color w:val="000000" w:themeColor="text1"/>
          <w14:textFill>
            <w14:solidFill>
              <w14:schemeClr w14:val="tx1"/>
            </w14:solidFill>
          </w14:textFill>
        </w:rPr>
      </w:pPr>
    </w:p>
    <w:p w14:paraId="0F4217B0">
      <w:pPr>
        <w:pStyle w:val="29"/>
        <w:ind w:firstLine="240"/>
        <w:rPr>
          <w:color w:val="000000" w:themeColor="text1"/>
          <w14:textFill>
            <w14:solidFill>
              <w14:schemeClr w14:val="tx1"/>
            </w14:solidFill>
          </w14:textFill>
        </w:rPr>
      </w:pPr>
    </w:p>
    <w:p w14:paraId="335FB95E">
      <w:pPr>
        <w:rPr>
          <w:rFonts w:ascii="宋体" w:hAnsi="宋体" w:cs="宋体"/>
          <w:b/>
          <w:bCs/>
          <w:color w:val="000000" w:themeColor="text1"/>
          <w:spacing w:val="-6"/>
          <w:sz w:val="32"/>
          <w:szCs w:val="32"/>
          <w:highlight w:val="none"/>
          <w14:textFill>
            <w14:solidFill>
              <w14:schemeClr w14:val="tx1"/>
            </w14:solidFill>
          </w14:textFill>
        </w:rPr>
      </w:pPr>
      <w:r>
        <w:rPr>
          <w:rFonts w:hint="eastAsia" w:ascii="宋体" w:hAnsi="宋体" w:cs="宋体"/>
          <w:b/>
          <w:bCs/>
          <w:color w:val="000000" w:themeColor="text1"/>
          <w:spacing w:val="53"/>
          <w:kern w:val="0"/>
          <w:sz w:val="32"/>
          <w:szCs w:val="32"/>
          <w:highlight w:val="none"/>
          <w:fitText w:val="1600" w:id="292250509"/>
          <w14:textFill>
            <w14:solidFill>
              <w14:schemeClr w14:val="tx1"/>
            </w14:solidFill>
          </w14:textFill>
        </w:rPr>
        <w:t>项目名</w:t>
      </w:r>
      <w:r>
        <w:rPr>
          <w:rFonts w:hint="eastAsia" w:ascii="宋体" w:hAnsi="宋体" w:cs="宋体"/>
          <w:b/>
          <w:bCs/>
          <w:color w:val="000000" w:themeColor="text1"/>
          <w:spacing w:val="1"/>
          <w:kern w:val="0"/>
          <w:sz w:val="32"/>
          <w:szCs w:val="32"/>
          <w:highlight w:val="none"/>
          <w:fitText w:val="1600" w:id="292250509"/>
          <w14:textFill>
            <w14:solidFill>
              <w14:schemeClr w14:val="tx1"/>
            </w14:solidFill>
          </w14:textFill>
        </w:rPr>
        <w:t>称</w:t>
      </w:r>
      <w:r>
        <w:rPr>
          <w:rFonts w:hint="eastAsia" w:ascii="宋体" w:hAnsi="宋体" w:cs="宋体"/>
          <w:b/>
          <w:bCs/>
          <w:color w:val="000000" w:themeColor="text1"/>
          <w:spacing w:val="-6"/>
          <w:sz w:val="32"/>
          <w:szCs w:val="32"/>
          <w:highlight w:val="none"/>
          <w14:textFill>
            <w14:solidFill>
              <w14:schemeClr w14:val="tx1"/>
            </w14:solidFill>
          </w14:textFill>
        </w:rPr>
        <w:t>：</w:t>
      </w:r>
    </w:p>
    <w:p w14:paraId="4C0010C9">
      <w:pP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pacing w:val="53"/>
          <w:kern w:val="0"/>
          <w:sz w:val="32"/>
          <w:szCs w:val="32"/>
          <w:highlight w:val="none"/>
          <w:fitText w:val="1600" w:id="1231831253"/>
          <w14:textFill>
            <w14:solidFill>
              <w14:schemeClr w14:val="tx1"/>
            </w14:solidFill>
          </w14:textFill>
        </w:rPr>
        <w:t>项目编</w:t>
      </w:r>
      <w:r>
        <w:rPr>
          <w:rFonts w:hint="eastAsia" w:ascii="宋体" w:hAnsi="宋体" w:cs="宋体"/>
          <w:b/>
          <w:bCs/>
          <w:color w:val="000000" w:themeColor="text1"/>
          <w:spacing w:val="1"/>
          <w:kern w:val="0"/>
          <w:sz w:val="32"/>
          <w:szCs w:val="32"/>
          <w:highlight w:val="none"/>
          <w:fitText w:val="1600" w:id="1231831253"/>
          <w14:textFill>
            <w14:solidFill>
              <w14:schemeClr w14:val="tx1"/>
            </w14:solidFill>
          </w14:textFill>
        </w:rPr>
        <w:t>号</w:t>
      </w:r>
      <w:r>
        <w:rPr>
          <w:rFonts w:hint="eastAsia" w:ascii="宋体" w:hAnsi="宋体" w:cs="宋体"/>
          <w:b/>
          <w:bCs/>
          <w:color w:val="000000" w:themeColor="text1"/>
          <w:sz w:val="32"/>
          <w:szCs w:val="32"/>
          <w:highlight w:val="none"/>
          <w14:textFill>
            <w14:solidFill>
              <w14:schemeClr w14:val="tx1"/>
            </w14:solidFill>
          </w14:textFill>
        </w:rPr>
        <w:t>：</w:t>
      </w:r>
    </w:p>
    <w:p w14:paraId="01C09B57">
      <w:pPr>
        <w:pStyle w:val="11"/>
        <w:ind w:left="0"/>
        <w:rPr>
          <w:b/>
          <w:color w:val="000000" w:themeColor="text1"/>
          <w:spacing w:val="1280"/>
          <w:sz w:val="32"/>
          <w:szCs w:val="32"/>
          <w:highlight w:val="none"/>
          <w14:textFill>
            <w14:solidFill>
              <w14:schemeClr w14:val="tx1"/>
            </w14:solidFill>
          </w14:textFill>
        </w:rPr>
      </w:pPr>
      <w:r>
        <w:rPr>
          <w:b/>
          <w:color w:val="000000" w:themeColor="text1"/>
          <w:spacing w:val="106"/>
          <w:sz w:val="32"/>
          <w:szCs w:val="32"/>
          <w:highlight w:val="none"/>
          <w:lang w:val="en-US" w:bidi="ar-SA"/>
          <w14:textFill>
            <w14:solidFill>
              <w14:schemeClr w14:val="tx1"/>
            </w14:solidFill>
          </w14:textFill>
        </w:rPr>
        <w:t>包组号（如有）：</w:t>
      </w:r>
    </w:p>
    <w:p w14:paraId="2FE7EC81">
      <w:pP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pacing w:val="0"/>
          <w:kern w:val="0"/>
          <w:sz w:val="32"/>
          <w:szCs w:val="32"/>
          <w:highlight w:val="none"/>
          <w:fitText w:val="1600" w:id="1764384445"/>
          <w14:textFill>
            <w14:solidFill>
              <w14:schemeClr w14:val="tx1"/>
            </w14:solidFill>
          </w14:textFill>
        </w:rPr>
        <w:t>投标人名称</w:t>
      </w:r>
      <w:r>
        <w:rPr>
          <w:rFonts w:hint="eastAsia" w:ascii="宋体" w:hAnsi="宋体" w:cs="宋体"/>
          <w:b/>
          <w:color w:val="000000" w:themeColor="text1"/>
          <w:sz w:val="32"/>
          <w:szCs w:val="32"/>
          <w:highlight w:val="none"/>
          <w14:textFill>
            <w14:solidFill>
              <w14:schemeClr w14:val="tx1"/>
            </w14:solidFill>
          </w14:textFill>
        </w:rPr>
        <w:t>：</w:t>
      </w:r>
    </w:p>
    <w:p w14:paraId="46982CC7">
      <w:pP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pacing w:val="32"/>
          <w:kern w:val="0"/>
          <w:sz w:val="32"/>
          <w:szCs w:val="32"/>
          <w:highlight w:val="none"/>
          <w:fitText w:val="1600" w:id="2061173831"/>
          <w14:textFill>
            <w14:solidFill>
              <w14:schemeClr w14:val="tx1"/>
            </w14:solidFill>
          </w14:textFill>
        </w:rPr>
        <w:t xml:space="preserve">日    </w:t>
      </w:r>
      <w:r>
        <w:rPr>
          <w:rFonts w:hint="eastAsia" w:ascii="宋体" w:hAnsi="宋体" w:cs="宋体"/>
          <w:b/>
          <w:color w:val="000000" w:themeColor="text1"/>
          <w:spacing w:val="0"/>
          <w:kern w:val="0"/>
          <w:sz w:val="32"/>
          <w:szCs w:val="32"/>
          <w:highlight w:val="none"/>
          <w:fitText w:val="1600" w:id="2061173831"/>
          <w14:textFill>
            <w14:solidFill>
              <w14:schemeClr w14:val="tx1"/>
            </w14:solidFill>
          </w14:textFill>
        </w:rPr>
        <w:t>期</w:t>
      </w:r>
      <w:r>
        <w:rPr>
          <w:rFonts w:hint="eastAsia" w:ascii="宋体" w:hAnsi="宋体" w:cs="宋体"/>
          <w:b/>
          <w:color w:val="000000" w:themeColor="text1"/>
          <w:sz w:val="32"/>
          <w:szCs w:val="32"/>
          <w:highlight w:val="none"/>
          <w14:textFill>
            <w14:solidFill>
              <w14:schemeClr w14:val="tx1"/>
            </w14:solidFill>
          </w14:textFill>
        </w:rPr>
        <w:t>：</w:t>
      </w:r>
    </w:p>
    <w:p w14:paraId="2D83D015">
      <w:pPr>
        <w:pStyle w:val="11"/>
        <w:rPr>
          <w:b/>
          <w:color w:val="000000" w:themeColor="text1"/>
          <w:sz w:val="32"/>
          <w:szCs w:val="32"/>
          <w:highlight w:val="none"/>
          <w14:textFill>
            <w14:solidFill>
              <w14:schemeClr w14:val="tx1"/>
            </w14:solidFill>
          </w14:textFill>
        </w:rPr>
      </w:pPr>
    </w:p>
    <w:p w14:paraId="499BC537">
      <w:pPr>
        <w:pStyle w:val="29"/>
        <w:ind w:firstLine="321"/>
        <w:rPr>
          <w:b/>
          <w:color w:val="000000" w:themeColor="text1"/>
          <w:sz w:val="32"/>
          <w:szCs w:val="32"/>
          <w14:textFill>
            <w14:solidFill>
              <w14:schemeClr w14:val="tx1"/>
            </w14:solidFill>
          </w14:textFill>
        </w:rPr>
      </w:pPr>
    </w:p>
    <w:p w14:paraId="1C0E0567">
      <w:pPr>
        <w:pStyle w:val="24"/>
        <w:rPr>
          <w:rFonts w:ascii="宋体" w:hAnsi="宋体" w:cs="宋体"/>
          <w:b/>
          <w:color w:val="000000" w:themeColor="text1"/>
          <w:sz w:val="32"/>
          <w:szCs w:val="32"/>
          <w14:textFill>
            <w14:solidFill>
              <w14:schemeClr w14:val="tx1"/>
            </w14:solidFill>
          </w14:textFill>
        </w:rPr>
      </w:pPr>
    </w:p>
    <w:p w14:paraId="626C7990">
      <w:pPr>
        <w:rPr>
          <w:rFonts w:ascii="宋体" w:hAnsi="宋体" w:cs="宋体"/>
          <w:b/>
          <w:color w:val="000000" w:themeColor="text1"/>
          <w:sz w:val="32"/>
          <w:szCs w:val="32"/>
          <w14:textFill>
            <w14:solidFill>
              <w14:schemeClr w14:val="tx1"/>
            </w14:solidFill>
          </w14:textFill>
        </w:rPr>
      </w:pPr>
    </w:p>
    <w:p w14:paraId="0D040665">
      <w:pPr>
        <w:pStyle w:val="11"/>
        <w:rPr>
          <w:b/>
          <w:color w:val="000000" w:themeColor="text1"/>
          <w:sz w:val="32"/>
          <w:szCs w:val="32"/>
          <w14:textFill>
            <w14:solidFill>
              <w14:schemeClr w14:val="tx1"/>
            </w14:solidFill>
          </w14:textFill>
        </w:rPr>
      </w:pPr>
    </w:p>
    <w:p w14:paraId="50A815A1">
      <w:pPr>
        <w:rPr>
          <w:color w:val="000000" w:themeColor="text1"/>
          <w14:textFill>
            <w14:solidFill>
              <w14:schemeClr w14:val="tx1"/>
            </w14:solidFill>
          </w14:textFill>
        </w:rPr>
      </w:pPr>
    </w:p>
    <w:p w14:paraId="13A3B874">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010C11F1">
      <w:pPr>
        <w:pStyle w:val="5"/>
        <w:widowControl w:val="0"/>
        <w:overflowPunct w:val="0"/>
        <w:spacing w:line="240" w:lineRule="auto"/>
        <w:rPr>
          <w:color w:val="000000" w:themeColor="text1"/>
          <w14:textFill>
            <w14:solidFill>
              <w14:schemeClr w14:val="tx1"/>
            </w14:solidFill>
          </w14:textFill>
        </w:rPr>
      </w:pPr>
      <w:bookmarkStart w:id="249" w:name="_Toc1363"/>
      <w:r>
        <w:rPr>
          <w:rFonts w:hint="eastAsia" w:ascii="宋体" w:hAnsi="宋体"/>
          <w:color w:val="000000" w:themeColor="text1"/>
          <w:sz w:val="21"/>
          <w:szCs w:val="21"/>
          <w14:textFill>
            <w14:solidFill>
              <w14:schemeClr w14:val="tx1"/>
            </w14:solidFill>
          </w14:textFill>
        </w:rPr>
        <w:t>附件</w:t>
      </w:r>
      <w:r>
        <w:rPr>
          <w:rFonts w:hint="eastAsia" w:ascii="宋体" w:hAnsi="宋体"/>
          <w:color w:val="000000" w:themeColor="text1"/>
          <w:sz w:val="21"/>
          <w:szCs w:val="21"/>
          <w:lang w:val="en-US" w:eastAsia="zh-CN"/>
          <w14:textFill>
            <w14:solidFill>
              <w14:schemeClr w14:val="tx1"/>
            </w14:solidFill>
          </w14:textFill>
        </w:rPr>
        <w:t>4</w:t>
      </w:r>
      <w:r>
        <w:rPr>
          <w:rFonts w:hint="eastAsia" w:ascii="宋体" w:hAnsi="宋体"/>
          <w:color w:val="000000" w:themeColor="text1"/>
          <w:sz w:val="21"/>
          <w:szCs w:val="21"/>
          <w14:textFill>
            <w14:solidFill>
              <w14:schemeClr w14:val="tx1"/>
            </w14:solidFill>
          </w14:textFill>
        </w:rPr>
        <w:t>.投标书格式</w:t>
      </w:r>
      <w:bookmarkEnd w:id="249"/>
    </w:p>
    <w:p w14:paraId="644FDE7D">
      <w:pPr>
        <w:jc w:val="center"/>
        <w:rPr>
          <w:rFonts w:ascii="宋体" w:hAnsi="宋体"/>
          <w:color w:val="000000" w:themeColor="text1"/>
          <w:szCs w:val="21"/>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投标书</w:t>
      </w:r>
    </w:p>
    <w:p w14:paraId="53924FB0">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致：</w:t>
      </w:r>
      <w:r>
        <w:rPr>
          <w:rFonts w:hint="eastAsia" w:ascii="宋体" w:hAnsi="宋体" w:cs="宋体"/>
          <w:color w:val="000000" w:themeColor="text1"/>
          <w:szCs w:val="21"/>
          <w:highlight w:val="none"/>
          <w:lang w:eastAsia="zh-CN"/>
          <w14:textFill>
            <w14:solidFill>
              <w14:schemeClr w14:val="tx1"/>
            </w14:solidFill>
          </w14:textFill>
        </w:rPr>
        <w:t>广州宏达工程顾问集团有限公司</w:t>
      </w:r>
      <w:r>
        <w:rPr>
          <w:rFonts w:hint="eastAsia" w:ascii="宋体" w:hAnsi="宋体"/>
          <w:color w:val="000000" w:themeColor="text1"/>
          <w:szCs w:val="21"/>
          <w14:textFill>
            <w14:solidFill>
              <w14:schemeClr w14:val="tx1"/>
            </w14:solidFill>
          </w14:textFill>
        </w:rPr>
        <w:t>：</w:t>
      </w:r>
    </w:p>
    <w:p w14:paraId="40533B8F">
      <w:pPr>
        <w:rPr>
          <w:rFonts w:ascii="宋体" w:hAnsi="宋体"/>
          <w:color w:val="000000" w:themeColor="text1"/>
          <w:szCs w:val="21"/>
          <w14:textFill>
            <w14:solidFill>
              <w14:schemeClr w14:val="tx1"/>
            </w14:solidFill>
          </w14:textFill>
        </w:rPr>
      </w:pPr>
    </w:p>
    <w:p w14:paraId="1191E0CE">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根据贵方为</w:t>
      </w:r>
      <w:r>
        <w:rPr>
          <w:rFonts w:hint="eastAsia" w:ascii="宋体" w:hAnsi="宋体"/>
          <w:color w:val="000000" w:themeColor="text1"/>
          <w:szCs w:val="21"/>
          <w:u w:val="single"/>
          <w14:textFill>
            <w14:solidFill>
              <w14:schemeClr w14:val="tx1"/>
            </w14:solidFill>
          </w14:textFill>
        </w:rPr>
        <w:t>（项目名称）（采购项目编号）</w:t>
      </w:r>
      <w:r>
        <w:rPr>
          <w:rFonts w:hint="eastAsia" w:ascii="宋体" w:hAnsi="宋体"/>
          <w:color w:val="000000" w:themeColor="text1"/>
          <w:szCs w:val="21"/>
          <w14:textFill>
            <w14:solidFill>
              <w14:schemeClr w14:val="tx1"/>
            </w14:solidFill>
          </w14:textFill>
        </w:rPr>
        <w:t>项目采购公告，签字代表</w:t>
      </w:r>
      <w:r>
        <w:rPr>
          <w:rFonts w:hint="eastAsia" w:ascii="宋体" w:hAnsi="宋体"/>
          <w:color w:val="000000" w:themeColor="text1"/>
          <w:szCs w:val="21"/>
          <w:u w:val="single"/>
          <w14:textFill>
            <w14:solidFill>
              <w14:schemeClr w14:val="tx1"/>
            </w14:solidFill>
          </w14:textFill>
        </w:rPr>
        <w:t>（姓名、职务）</w:t>
      </w:r>
      <w:r>
        <w:rPr>
          <w:rFonts w:hint="eastAsia" w:ascii="宋体" w:hAnsi="宋体"/>
          <w:color w:val="000000" w:themeColor="text1"/>
          <w:szCs w:val="21"/>
          <w14:textFill>
            <w14:solidFill>
              <w14:schemeClr w14:val="tx1"/>
            </w14:solidFill>
          </w14:textFill>
        </w:rPr>
        <w:t>经正式授权并代表投标人</w:t>
      </w:r>
      <w:r>
        <w:rPr>
          <w:rFonts w:hint="eastAsia" w:ascii="宋体" w:hAnsi="宋体"/>
          <w:color w:val="000000" w:themeColor="text1"/>
          <w:szCs w:val="21"/>
          <w:u w:val="single"/>
          <w14:textFill>
            <w14:solidFill>
              <w14:schemeClr w14:val="tx1"/>
            </w14:solidFill>
          </w14:textFill>
        </w:rPr>
        <w:t>（投标人名称、地址）</w:t>
      </w:r>
      <w:r>
        <w:rPr>
          <w:rFonts w:hint="eastAsia" w:ascii="宋体" w:hAnsi="宋体"/>
          <w:color w:val="000000" w:themeColor="text1"/>
          <w:szCs w:val="21"/>
          <w14:textFill>
            <w14:solidFill>
              <w14:schemeClr w14:val="tx1"/>
            </w14:solidFill>
          </w14:textFill>
        </w:rPr>
        <w:t>提交投标文件及“唱标信封”：</w:t>
      </w:r>
    </w:p>
    <w:p w14:paraId="4FA100FE">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在此，签字代表宣布同意如下： </w:t>
      </w:r>
    </w:p>
    <w:p w14:paraId="3759D4F4">
      <w:pPr>
        <w:widowControl w:val="0"/>
        <w:numPr>
          <w:ilvl w:val="0"/>
          <w:numId w:val="9"/>
        </w:numPr>
        <w:adjustRightInd/>
        <w:snapToGrid/>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我方将按采购文件的规定履行合同责任和义务。 </w:t>
      </w:r>
    </w:p>
    <w:p w14:paraId="2B2FABEA">
      <w:pPr>
        <w:widowControl w:val="0"/>
        <w:numPr>
          <w:ilvl w:val="0"/>
          <w:numId w:val="9"/>
        </w:numPr>
        <w:adjustRightInd/>
        <w:snapToGrid/>
        <w:jc w:val="both"/>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我方已完整阅读了本项目采购文件的所有内容（包括澄清，以及所有已提供的参考资料和有关附件），并完全理解上述文件所表达的意思，该项目递交投标文件时间截止后，我方承诺不再对上述文件内容进行异议。</w:t>
      </w:r>
    </w:p>
    <w:p w14:paraId="768AEDC5">
      <w:pPr>
        <w:widowControl w:val="0"/>
        <w:numPr>
          <w:ilvl w:val="0"/>
          <w:numId w:val="9"/>
        </w:numPr>
        <w:adjustRightInd/>
        <w:snapToGrid/>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本投标有效期为自开标日起</w:t>
      </w:r>
      <w:r>
        <w:rPr>
          <w:rFonts w:hint="eastAsia" w:ascii="宋体" w:hAnsi="宋体"/>
          <w:color w:val="000000" w:themeColor="text1"/>
          <w:szCs w:val="21"/>
          <w:u w:val="single"/>
          <w14:textFill>
            <w14:solidFill>
              <w14:schemeClr w14:val="tx1"/>
            </w14:solidFill>
          </w14:textFill>
        </w:rPr>
        <w:t>90</w:t>
      </w:r>
      <w:r>
        <w:rPr>
          <w:rFonts w:hint="eastAsia" w:ascii="宋体" w:hAnsi="宋体"/>
          <w:color w:val="000000" w:themeColor="text1"/>
          <w:szCs w:val="21"/>
          <w14:textFill>
            <w14:solidFill>
              <w14:schemeClr w14:val="tx1"/>
            </w14:solidFill>
          </w14:textFill>
        </w:rPr>
        <w:t xml:space="preserve">个日历日。 </w:t>
      </w:r>
    </w:p>
    <w:p w14:paraId="220873A6">
      <w:pPr>
        <w:widowControl w:val="0"/>
        <w:numPr>
          <w:ilvl w:val="0"/>
          <w:numId w:val="9"/>
        </w:numPr>
        <w:adjustRightInd/>
        <w:snapToGrid/>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我方保证遵守投标人须知中关于没收投标保证金的规定。</w:t>
      </w:r>
    </w:p>
    <w:p w14:paraId="506CF3B8">
      <w:pPr>
        <w:widowControl w:val="0"/>
        <w:numPr>
          <w:ilvl w:val="0"/>
          <w:numId w:val="9"/>
        </w:numPr>
        <w:adjustRightInd/>
        <w:snapToGrid/>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我方承诺，与买方聘请的为此项目提供咨询服务的公司及任何附属机构均无关联，我方不是买方的附属机构。 </w:t>
      </w:r>
    </w:p>
    <w:p w14:paraId="4243EC58">
      <w:pPr>
        <w:widowControl w:val="0"/>
        <w:numPr>
          <w:ilvl w:val="0"/>
          <w:numId w:val="9"/>
        </w:numPr>
        <w:adjustRightInd/>
        <w:snapToGrid/>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我方承诺，我方具备投标人邀请中所要求的资格条件，已清楚采购文件所有要求及有关规定；并承诺参加本次采购活动中，如有违法、违规、弄虚作假行为，所造成的损失、不良后果及法律责任，一律由我方承担；</w:t>
      </w:r>
    </w:p>
    <w:p w14:paraId="27EA1CEF">
      <w:pPr>
        <w:widowControl w:val="0"/>
        <w:numPr>
          <w:ilvl w:val="0"/>
          <w:numId w:val="9"/>
        </w:numPr>
        <w:adjustRightInd/>
        <w:snapToGrid/>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我方同意提供按照贵方可能要求的与其投标有关的一切数据或资料。</w:t>
      </w:r>
    </w:p>
    <w:p w14:paraId="7CDA7346">
      <w:pPr>
        <w:widowControl w:val="0"/>
        <w:numPr>
          <w:ilvl w:val="0"/>
          <w:numId w:val="9"/>
        </w:numPr>
        <w:adjustRightInd/>
        <w:snapToGrid/>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与本投标有关的一切正式信函请寄：</w:t>
      </w:r>
    </w:p>
    <w:p w14:paraId="24CA8765">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地址：　　　　　　　　　　　　　　　　　　　 电子邮箱：</w:t>
      </w:r>
    </w:p>
    <w:p w14:paraId="6CA42844">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电话/移动电话：　　　　　　　　　　　　　　　</w:t>
      </w:r>
    </w:p>
    <w:p w14:paraId="2C9A4046">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投标人法定代表人（或其授权代表）签字： </w:t>
      </w:r>
    </w:p>
    <w:p w14:paraId="7B5EB56E">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投标人名称（全称）： </w:t>
      </w:r>
    </w:p>
    <w:p w14:paraId="06E310DC">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投标人盖章： </w:t>
      </w:r>
    </w:p>
    <w:p w14:paraId="5E98D387">
      <w:pPr>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color w:val="000000" w:themeColor="text1"/>
          <w14:textFill>
            <w14:solidFill>
              <w14:schemeClr w14:val="tx1"/>
            </w14:solidFill>
          </w14:textFill>
        </w:rPr>
        <w:br w:type="page"/>
      </w:r>
    </w:p>
    <w:p w14:paraId="264800BD">
      <w:pPr>
        <w:pStyle w:val="5"/>
        <w:widowControl w:val="0"/>
        <w:overflowPunct w:val="0"/>
        <w:spacing w:line="240" w:lineRule="auto"/>
        <w:rPr>
          <w:rFonts w:ascii="宋体" w:hAnsi="宋体"/>
          <w:color w:val="000000" w:themeColor="text1"/>
          <w:sz w:val="21"/>
          <w:szCs w:val="21"/>
          <w14:textFill>
            <w14:solidFill>
              <w14:schemeClr w14:val="tx1"/>
            </w14:solidFill>
          </w14:textFill>
        </w:rPr>
      </w:pPr>
      <w:bookmarkStart w:id="250" w:name="_Toc2769"/>
      <w:r>
        <w:rPr>
          <w:rFonts w:hint="eastAsia" w:ascii="宋体" w:hAnsi="宋体"/>
          <w:color w:val="000000" w:themeColor="text1"/>
          <w:sz w:val="21"/>
          <w:szCs w:val="21"/>
          <w14:textFill>
            <w14:solidFill>
              <w14:schemeClr w14:val="tx1"/>
            </w14:solidFill>
          </w14:textFill>
        </w:rPr>
        <w:t>附件</w:t>
      </w:r>
      <w:r>
        <w:rPr>
          <w:rFonts w:hint="eastAsia" w:ascii="宋体" w:hAnsi="宋体"/>
          <w:color w:val="000000" w:themeColor="text1"/>
          <w:sz w:val="21"/>
          <w:szCs w:val="21"/>
          <w:lang w:val="en-US" w:eastAsia="zh-CN"/>
          <w14:textFill>
            <w14:solidFill>
              <w14:schemeClr w14:val="tx1"/>
            </w14:solidFill>
          </w14:textFill>
        </w:rPr>
        <w:t>5</w:t>
      </w:r>
      <w:r>
        <w:rPr>
          <w:rFonts w:hint="eastAsia" w:ascii="宋体" w:hAnsi="宋体"/>
          <w:color w:val="000000" w:themeColor="text1"/>
          <w:sz w:val="21"/>
          <w:szCs w:val="21"/>
          <w14:textFill>
            <w14:solidFill>
              <w14:schemeClr w14:val="tx1"/>
            </w14:solidFill>
          </w14:textFill>
        </w:rPr>
        <w:t>. 法定代表人证明书格式</w:t>
      </w:r>
      <w:bookmarkEnd w:id="250"/>
    </w:p>
    <w:p w14:paraId="59DEC191">
      <w:pPr>
        <w:rPr>
          <w:color w:val="000000" w:themeColor="text1"/>
          <w14:textFill>
            <w14:solidFill>
              <w14:schemeClr w14:val="tx1"/>
            </w14:solidFill>
          </w14:textFill>
        </w:rPr>
      </w:pPr>
    </w:p>
    <w:p w14:paraId="4613FFDE">
      <w:pPr>
        <w:jc w:val="center"/>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法定代表人证明书</w:t>
      </w:r>
    </w:p>
    <w:p w14:paraId="36C434A8">
      <w:pPr>
        <w:pStyle w:val="46"/>
        <w:spacing w:line="420" w:lineRule="atLeast"/>
        <w:ind w:firstLine="0" w:firstLineChars="0"/>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致：广州宏达工程顾问集团有限公司</w:t>
      </w:r>
    </w:p>
    <w:p w14:paraId="03013561">
      <w:pPr>
        <w:pStyle w:val="46"/>
        <w:spacing w:line="420" w:lineRule="atLeast"/>
        <w:ind w:firstLine="433"/>
        <w:rPr>
          <w:rFonts w:ascii="宋体" w:eastAsia="宋体"/>
          <w:color w:val="000000" w:themeColor="text1"/>
          <w:sz w:val="21"/>
          <w:szCs w:val="21"/>
          <w14:textFill>
            <w14:solidFill>
              <w14:schemeClr w14:val="tx1"/>
            </w14:solidFill>
          </w14:textFill>
        </w:rPr>
      </w:pPr>
    </w:p>
    <w:p w14:paraId="570F2526">
      <w:pPr>
        <w:pStyle w:val="46"/>
        <w:spacing w:line="420" w:lineRule="atLeast"/>
        <w:ind w:firstLine="433"/>
        <w:rPr>
          <w:rFonts w:ascii="宋体" w:eastAsia="宋体"/>
          <w:color w:val="000000" w:themeColor="text1"/>
          <w:sz w:val="21"/>
          <w:szCs w:val="21"/>
          <w:u w:val="single"/>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投标人名称:</w:t>
      </w:r>
    </w:p>
    <w:p w14:paraId="6B40CC55">
      <w:pPr>
        <w:pStyle w:val="46"/>
        <w:spacing w:line="420" w:lineRule="atLeast"/>
        <w:ind w:firstLine="433"/>
        <w:rPr>
          <w:rFonts w:ascii="宋体" w:eastAsia="宋体"/>
          <w:color w:val="000000" w:themeColor="text1"/>
          <w:sz w:val="21"/>
          <w:szCs w:val="21"/>
          <w:u w:val="single"/>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单 位 性质：</w:t>
      </w:r>
    </w:p>
    <w:p w14:paraId="2B05C81E">
      <w:pPr>
        <w:pStyle w:val="46"/>
        <w:spacing w:line="420" w:lineRule="atLeast"/>
        <w:ind w:firstLine="433"/>
        <w:rPr>
          <w:rFonts w:ascii="宋体" w:eastAsia="宋体"/>
          <w:color w:val="000000" w:themeColor="text1"/>
          <w:sz w:val="21"/>
          <w:szCs w:val="21"/>
          <w:u w:val="single"/>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地      址：</w:t>
      </w:r>
    </w:p>
    <w:p w14:paraId="7C962AA5">
      <w:pPr>
        <w:pStyle w:val="46"/>
        <w:spacing w:line="420" w:lineRule="atLeast"/>
        <w:ind w:firstLine="433"/>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成 立 时间：年月日</w:t>
      </w:r>
    </w:p>
    <w:p w14:paraId="29EC24CD">
      <w:pPr>
        <w:pStyle w:val="46"/>
        <w:spacing w:line="420" w:lineRule="atLeast"/>
        <w:ind w:firstLine="433"/>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经 营 期限：</w:t>
      </w:r>
    </w:p>
    <w:p w14:paraId="754576FA">
      <w:pPr>
        <w:pStyle w:val="46"/>
        <w:spacing w:line="420" w:lineRule="atLeast"/>
        <w:ind w:firstLine="433"/>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姓名：性别：年龄：职务：</w:t>
      </w:r>
    </w:p>
    <w:p w14:paraId="695F400D">
      <w:pPr>
        <w:pStyle w:val="46"/>
        <w:spacing w:line="420" w:lineRule="atLeast"/>
        <w:ind w:firstLine="433"/>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系（投标人名称）的法定代表人。</w:t>
      </w:r>
    </w:p>
    <w:p w14:paraId="14DDDC90">
      <w:pPr>
        <w:spacing w:line="420" w:lineRule="atLeas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特此证明。</w:t>
      </w:r>
    </w:p>
    <w:p w14:paraId="638AD305">
      <w:pPr>
        <w:pStyle w:val="46"/>
        <w:spacing w:line="500" w:lineRule="atLeast"/>
        <w:ind w:firstLine="3517" w:firstLineChars="1675"/>
        <w:rPr>
          <w:rFonts w:ascii="宋体" w:eastAsia="宋体"/>
          <w:color w:val="000000" w:themeColor="text1"/>
          <w:sz w:val="21"/>
          <w:szCs w:val="21"/>
          <w14:textFill>
            <w14:solidFill>
              <w14:schemeClr w14:val="tx1"/>
            </w14:solidFill>
          </w14:textFill>
        </w:rPr>
      </w:pPr>
    </w:p>
    <w:p w14:paraId="143358F2">
      <w:pPr>
        <w:pStyle w:val="46"/>
        <w:spacing w:line="500" w:lineRule="atLeast"/>
        <w:ind w:firstLine="3517" w:firstLineChars="1675"/>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投标人名称（加盖公章）：</w:t>
      </w:r>
    </w:p>
    <w:p w14:paraId="3119097C">
      <w:pPr>
        <w:pStyle w:val="46"/>
        <w:spacing w:line="500" w:lineRule="atLeast"/>
        <w:ind w:firstLine="3517" w:firstLineChars="1675"/>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法定代表人（签名或盖私章）：</w:t>
      </w:r>
    </w:p>
    <w:p w14:paraId="1893C094">
      <w:pPr>
        <w:pStyle w:val="46"/>
        <w:spacing w:line="500" w:lineRule="atLeast"/>
        <w:ind w:firstLine="3517" w:firstLineChars="1675"/>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法定代表人联系方式：</w:t>
      </w:r>
    </w:p>
    <w:p w14:paraId="0E186362">
      <w:pPr>
        <w:pStyle w:val="46"/>
        <w:spacing w:line="500" w:lineRule="atLeast"/>
        <w:ind w:firstLine="3517" w:firstLineChars="1675"/>
        <w:rPr>
          <w:rFonts w:ascii="宋体" w:eastAsia="宋体"/>
          <w:color w:val="000000" w:themeColor="text1"/>
          <w:sz w:val="21"/>
          <w:szCs w:val="21"/>
          <w:u w:val="single"/>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身份证号码：</w:t>
      </w:r>
    </w:p>
    <w:p w14:paraId="7130C34D">
      <w:pPr>
        <w:pStyle w:val="46"/>
        <w:spacing w:line="500" w:lineRule="atLeast"/>
        <w:ind w:firstLine="3507" w:firstLineChars="1670"/>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日     期：  年  月  日</w:t>
      </w:r>
    </w:p>
    <w:p w14:paraId="31D836C5">
      <w:pPr>
        <w:ind w:firstLine="420" w:firstLineChars="200"/>
        <w:rPr>
          <w:rFonts w:ascii="宋体" w:hAnsi="宋体"/>
          <w:color w:val="000000" w:themeColor="text1"/>
          <w:szCs w:val="21"/>
          <w14:textFill>
            <w14:solidFill>
              <w14:schemeClr w14:val="tx1"/>
            </w14:solidFill>
          </w14:textFill>
        </w:rPr>
      </w:pPr>
    </w:p>
    <w:p w14:paraId="3712B9DA">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注：法定代表人身份证明书需附法人代表身份证复印件。</w:t>
      </w:r>
    </w:p>
    <w:tbl>
      <w:tblPr>
        <w:tblStyle w:val="31"/>
        <w:tblW w:w="83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182"/>
        <w:gridCol w:w="4182"/>
      </w:tblGrid>
      <w:tr w14:paraId="7EBBEAE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517" w:hRule="atLeast"/>
          <w:jc w:val="center"/>
        </w:trPr>
        <w:tc>
          <w:tcPr>
            <w:tcW w:w="4182" w:type="dxa"/>
            <w:vAlign w:val="center"/>
          </w:tcPr>
          <w:p w14:paraId="34171E7C">
            <w:pPr>
              <w:pStyle w:val="46"/>
              <w:spacing w:line="460" w:lineRule="exact"/>
              <w:ind w:firstLine="0" w:firstLineChars="0"/>
              <w:jc w:val="center"/>
              <w:rPr>
                <w:rFonts w:ascii="宋体" w:eastAsia="宋体"/>
                <w:color w:val="000000" w:themeColor="text1"/>
                <w:sz w:val="22"/>
                <w14:textFill>
                  <w14:solidFill>
                    <w14:schemeClr w14:val="tx1"/>
                  </w14:solidFill>
                </w14:textFill>
              </w:rPr>
            </w:pPr>
            <w:r>
              <w:rPr>
                <w:rFonts w:hint="eastAsia" w:ascii="宋体" w:eastAsia="宋体"/>
                <w:color w:val="000000" w:themeColor="text1"/>
                <w:sz w:val="22"/>
                <w14:textFill>
                  <w14:solidFill>
                    <w14:schemeClr w14:val="tx1"/>
                  </w14:solidFill>
                </w14:textFill>
              </w:rPr>
              <w:t>正面</w:t>
            </w:r>
          </w:p>
        </w:tc>
        <w:tc>
          <w:tcPr>
            <w:tcW w:w="4182" w:type="dxa"/>
            <w:vAlign w:val="center"/>
          </w:tcPr>
          <w:p w14:paraId="2B6A3017">
            <w:pPr>
              <w:pStyle w:val="46"/>
              <w:spacing w:line="460" w:lineRule="exact"/>
              <w:ind w:firstLine="0" w:firstLineChars="0"/>
              <w:jc w:val="center"/>
              <w:rPr>
                <w:rFonts w:ascii="宋体" w:eastAsia="宋体"/>
                <w:color w:val="000000" w:themeColor="text1"/>
                <w:sz w:val="22"/>
                <w14:textFill>
                  <w14:solidFill>
                    <w14:schemeClr w14:val="tx1"/>
                  </w14:solidFill>
                </w14:textFill>
              </w:rPr>
            </w:pPr>
            <w:r>
              <w:rPr>
                <w:rFonts w:hint="eastAsia" w:ascii="宋体" w:eastAsia="宋体"/>
                <w:color w:val="000000" w:themeColor="text1"/>
                <w:sz w:val="22"/>
                <w14:textFill>
                  <w14:solidFill>
                    <w14:schemeClr w14:val="tx1"/>
                  </w14:solidFill>
                </w14:textFill>
              </w:rPr>
              <w:t>背面</w:t>
            </w:r>
          </w:p>
        </w:tc>
      </w:tr>
    </w:tbl>
    <w:p w14:paraId="25A35AF0">
      <w:pPr>
        <w:rPr>
          <w:color w:val="000000" w:themeColor="text1"/>
          <w14:textFill>
            <w14:solidFill>
              <w14:schemeClr w14:val="tx1"/>
            </w14:solidFill>
          </w14:textFill>
        </w:rPr>
      </w:pPr>
    </w:p>
    <w:p w14:paraId="05AE71E7">
      <w:pPr>
        <w:adjustRightInd/>
        <w:snapToGrid/>
        <w:spacing w:line="276" w:lineRule="auto"/>
        <w:rPr>
          <w:rFonts w:ascii="楷体_GB2312" w:eastAsia="楷体_GB2312" w:hAnsiTheme="majorHAnsi" w:cstheme="majorBidi"/>
          <w:b/>
          <w:bCs/>
          <w:color w:val="000000" w:themeColor="text1"/>
          <w:sz w:val="24"/>
          <w:szCs w:val="28"/>
          <w14:textFill>
            <w14:solidFill>
              <w14:schemeClr w14:val="tx1"/>
            </w14:solidFill>
          </w14:textFill>
        </w:rPr>
      </w:pPr>
      <w:r>
        <w:rPr>
          <w:rFonts w:ascii="楷体_GB2312" w:eastAsia="楷体_GB2312"/>
          <w:color w:val="000000" w:themeColor="text1"/>
          <w:sz w:val="24"/>
          <w14:textFill>
            <w14:solidFill>
              <w14:schemeClr w14:val="tx1"/>
            </w14:solidFill>
          </w14:textFill>
        </w:rPr>
        <w:br w:type="page"/>
      </w:r>
    </w:p>
    <w:p w14:paraId="0ADD9E47">
      <w:pPr>
        <w:pStyle w:val="5"/>
        <w:widowControl w:val="0"/>
        <w:overflowPunct w:val="0"/>
        <w:spacing w:line="240" w:lineRule="auto"/>
        <w:rPr>
          <w:color w:val="000000" w:themeColor="text1"/>
          <w14:textFill>
            <w14:solidFill>
              <w14:schemeClr w14:val="tx1"/>
            </w14:solidFill>
          </w14:textFill>
        </w:rPr>
      </w:pPr>
      <w:bookmarkStart w:id="251" w:name="_Toc3280"/>
      <w:r>
        <w:rPr>
          <w:rFonts w:hint="eastAsia" w:ascii="宋体" w:hAnsi="宋体"/>
          <w:color w:val="000000" w:themeColor="text1"/>
          <w:sz w:val="21"/>
          <w:szCs w:val="21"/>
          <w14:textFill>
            <w14:solidFill>
              <w14:schemeClr w14:val="tx1"/>
            </w14:solidFill>
          </w14:textFill>
        </w:rPr>
        <w:t>附件</w:t>
      </w:r>
      <w:r>
        <w:rPr>
          <w:rFonts w:hint="eastAsia" w:ascii="宋体" w:hAnsi="宋体"/>
          <w:color w:val="000000" w:themeColor="text1"/>
          <w:sz w:val="21"/>
          <w:szCs w:val="21"/>
          <w:lang w:val="en-US" w:eastAsia="zh-CN"/>
          <w14:textFill>
            <w14:solidFill>
              <w14:schemeClr w14:val="tx1"/>
            </w14:solidFill>
          </w14:textFill>
        </w:rPr>
        <w:t>6</w:t>
      </w:r>
      <w:r>
        <w:rPr>
          <w:rFonts w:hint="eastAsia" w:ascii="宋体" w:hAnsi="宋体"/>
          <w:color w:val="000000" w:themeColor="text1"/>
          <w:sz w:val="21"/>
          <w:szCs w:val="21"/>
          <w14:textFill>
            <w14:solidFill>
              <w14:schemeClr w14:val="tx1"/>
            </w14:solidFill>
          </w14:textFill>
        </w:rPr>
        <w:t>.法定代表人授权书格式</w:t>
      </w:r>
      <w:bookmarkEnd w:id="251"/>
    </w:p>
    <w:p w14:paraId="7BA6C1D4">
      <w:pPr>
        <w:rPr>
          <w:color w:val="000000" w:themeColor="text1"/>
          <w14:textFill>
            <w14:solidFill>
              <w14:schemeClr w14:val="tx1"/>
            </w14:solidFill>
          </w14:textFill>
        </w:rPr>
      </w:pPr>
    </w:p>
    <w:p w14:paraId="2C234331">
      <w:pPr>
        <w:jc w:val="center"/>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法定代表人授权书</w:t>
      </w:r>
    </w:p>
    <w:p w14:paraId="62D48B31">
      <w:pPr>
        <w:pStyle w:val="46"/>
        <w:spacing w:line="420" w:lineRule="atLeast"/>
        <w:ind w:firstLine="0" w:firstLineChars="0"/>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致：广州宏达工程顾问集团有限公司</w:t>
      </w:r>
    </w:p>
    <w:p w14:paraId="301B7272">
      <w:pPr>
        <w:pStyle w:val="46"/>
        <w:spacing w:line="420" w:lineRule="atLeast"/>
        <w:ind w:firstLine="433"/>
        <w:rPr>
          <w:rFonts w:ascii="宋体" w:eastAsia="宋体"/>
          <w:color w:val="000000" w:themeColor="text1"/>
          <w:sz w:val="21"/>
          <w:szCs w:val="21"/>
          <w14:textFill>
            <w14:solidFill>
              <w14:schemeClr w14:val="tx1"/>
            </w14:solidFill>
          </w14:textFill>
        </w:rPr>
      </w:pPr>
    </w:p>
    <w:p w14:paraId="4EE57813">
      <w:pPr>
        <w:ind w:firstLine="420" w:firstLineChars="20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本授权书声明：注册于</w:t>
      </w:r>
      <w:r>
        <w:rPr>
          <w:rFonts w:hint="eastAsia" w:ascii="宋体" w:hAnsi="宋体" w:cs="Times New Roman"/>
          <w:color w:val="000000" w:themeColor="text1"/>
          <w:szCs w:val="21"/>
          <w:u w:val="single"/>
          <w14:textFill>
            <w14:solidFill>
              <w14:schemeClr w14:val="tx1"/>
            </w14:solidFill>
          </w14:textFill>
        </w:rPr>
        <w:t>（国家或地区的名称）</w:t>
      </w:r>
      <w:r>
        <w:rPr>
          <w:rFonts w:hint="eastAsia" w:ascii="宋体" w:hAnsi="宋体" w:cs="Times New Roman"/>
          <w:color w:val="000000" w:themeColor="text1"/>
          <w:szCs w:val="21"/>
          <w14:textFill>
            <w14:solidFill>
              <w14:schemeClr w14:val="tx1"/>
            </w14:solidFill>
          </w14:textFill>
        </w:rPr>
        <w:t>的</w:t>
      </w:r>
      <w:r>
        <w:rPr>
          <w:rFonts w:hint="eastAsia" w:ascii="宋体" w:hAnsi="宋体" w:cs="Times New Roman"/>
          <w:color w:val="000000" w:themeColor="text1"/>
          <w:szCs w:val="21"/>
          <w:u w:val="single"/>
          <w14:textFill>
            <w14:solidFill>
              <w14:schemeClr w14:val="tx1"/>
            </w14:solidFill>
          </w14:textFill>
        </w:rPr>
        <w:t>（单位名称）</w:t>
      </w:r>
      <w:r>
        <w:rPr>
          <w:rFonts w:hint="eastAsia" w:ascii="宋体" w:hAnsi="宋体" w:cs="Times New Roman"/>
          <w:color w:val="000000" w:themeColor="text1"/>
          <w:szCs w:val="21"/>
          <w14:textFill>
            <w14:solidFill>
              <w14:schemeClr w14:val="tx1"/>
            </w14:solidFill>
          </w14:textFill>
        </w:rPr>
        <w:t>的在下面签字的</w:t>
      </w:r>
      <w:r>
        <w:rPr>
          <w:rFonts w:hint="eastAsia" w:ascii="宋体" w:hAnsi="宋体" w:cs="Times New Roman"/>
          <w:color w:val="000000" w:themeColor="text1"/>
          <w:szCs w:val="21"/>
          <w:u w:val="single"/>
          <w14:textFill>
            <w14:solidFill>
              <w14:schemeClr w14:val="tx1"/>
            </w14:solidFill>
          </w14:textFill>
        </w:rPr>
        <w:t>（法定代表人姓名、职务）</w:t>
      </w:r>
      <w:r>
        <w:rPr>
          <w:rFonts w:hint="eastAsia" w:ascii="宋体" w:hAnsi="宋体" w:cs="Times New Roman"/>
          <w:color w:val="000000" w:themeColor="text1"/>
          <w:szCs w:val="21"/>
          <w14:textFill>
            <w14:solidFill>
              <w14:schemeClr w14:val="tx1"/>
            </w14:solidFill>
          </w14:textFill>
        </w:rPr>
        <w:t>代表本单位授权</w:t>
      </w:r>
      <w:r>
        <w:rPr>
          <w:rFonts w:hint="eastAsia" w:ascii="宋体" w:hAnsi="宋体" w:cs="Times New Roman"/>
          <w:color w:val="000000" w:themeColor="text1"/>
          <w:szCs w:val="21"/>
          <w:u w:val="single"/>
          <w14:textFill>
            <w14:solidFill>
              <w14:schemeClr w14:val="tx1"/>
            </w14:solidFill>
          </w14:textFill>
        </w:rPr>
        <w:t>（单位名称）</w:t>
      </w:r>
      <w:r>
        <w:rPr>
          <w:rFonts w:hint="eastAsia" w:ascii="宋体" w:hAnsi="宋体" w:cs="Times New Roman"/>
          <w:color w:val="000000" w:themeColor="text1"/>
          <w:szCs w:val="21"/>
          <w14:textFill>
            <w14:solidFill>
              <w14:schemeClr w14:val="tx1"/>
            </w14:solidFill>
          </w14:textFill>
        </w:rPr>
        <w:t>的在下面签字的</w:t>
      </w:r>
      <w:r>
        <w:rPr>
          <w:rFonts w:hint="eastAsia" w:ascii="宋体" w:hAnsi="宋体" w:cs="Times New Roman"/>
          <w:color w:val="000000" w:themeColor="text1"/>
          <w:szCs w:val="21"/>
          <w:u w:val="single"/>
          <w14:textFill>
            <w14:solidFill>
              <w14:schemeClr w14:val="tx1"/>
            </w14:solidFill>
          </w14:textFill>
        </w:rPr>
        <w:t>（被授权人的姓名、职务）</w:t>
      </w:r>
      <w:r>
        <w:rPr>
          <w:rFonts w:hint="eastAsia" w:ascii="宋体" w:hAnsi="宋体" w:cs="Times New Roman"/>
          <w:color w:val="000000" w:themeColor="text1"/>
          <w:szCs w:val="21"/>
          <w14:textFill>
            <w14:solidFill>
              <w14:schemeClr w14:val="tx1"/>
            </w14:solidFill>
          </w14:textFill>
        </w:rPr>
        <w:t>为本单位的合法代理人，就</w:t>
      </w:r>
      <w:r>
        <w:rPr>
          <w:rFonts w:hint="eastAsia" w:ascii="宋体" w:hAnsi="宋体" w:cs="Times New Roman"/>
          <w:color w:val="000000" w:themeColor="text1"/>
          <w:szCs w:val="21"/>
          <w:u w:val="single"/>
          <w14:textFill>
            <w14:solidFill>
              <w14:schemeClr w14:val="tx1"/>
            </w14:solidFill>
          </w14:textFill>
        </w:rPr>
        <w:t>（项目名称）</w:t>
      </w:r>
      <w:r>
        <w:rPr>
          <w:rFonts w:hint="eastAsia" w:ascii="宋体" w:hAnsi="宋体" w:cs="Times New Roman"/>
          <w:color w:val="000000" w:themeColor="text1"/>
          <w:szCs w:val="21"/>
          <w14:textFill>
            <w14:solidFill>
              <w14:schemeClr w14:val="tx1"/>
            </w14:solidFill>
          </w14:textFill>
        </w:rPr>
        <w:t>投标及参加项目谈判，以本单位名义处理一切与之有关的事务。</w:t>
      </w:r>
    </w:p>
    <w:p w14:paraId="46A37D65">
      <w:pPr>
        <w:ind w:firstLine="315" w:firstLineChars="150"/>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本授权书于</w:t>
      </w:r>
      <w:r>
        <w:rPr>
          <w:rFonts w:hint="eastAsia" w:ascii="宋体" w:hAnsi="宋体" w:cs="Times New Roman"/>
          <w:color w:val="000000" w:themeColor="text1"/>
          <w:szCs w:val="21"/>
          <w:u w:val="single"/>
          <w14:textFill>
            <w14:solidFill>
              <w14:schemeClr w14:val="tx1"/>
            </w14:solidFill>
          </w14:textFill>
        </w:rPr>
        <w:t>　　</w:t>
      </w:r>
      <w:r>
        <w:rPr>
          <w:rFonts w:hint="eastAsia" w:ascii="宋体" w:hAnsi="宋体" w:cs="Times New Roman"/>
          <w:color w:val="000000" w:themeColor="text1"/>
          <w:szCs w:val="21"/>
          <w14:textFill>
            <w14:solidFill>
              <w14:schemeClr w14:val="tx1"/>
            </w14:solidFill>
          </w14:textFill>
        </w:rPr>
        <w:t>年</w:t>
      </w:r>
      <w:r>
        <w:rPr>
          <w:rFonts w:hint="eastAsia" w:ascii="宋体" w:hAnsi="宋体" w:cs="Times New Roman"/>
          <w:color w:val="000000" w:themeColor="text1"/>
          <w:szCs w:val="21"/>
          <w:u w:val="single"/>
          <w14:textFill>
            <w14:solidFill>
              <w14:schemeClr w14:val="tx1"/>
            </w14:solidFill>
          </w14:textFill>
        </w:rPr>
        <w:t>　　</w:t>
      </w:r>
      <w:r>
        <w:rPr>
          <w:rFonts w:hint="eastAsia" w:ascii="宋体" w:hAnsi="宋体" w:cs="Times New Roman"/>
          <w:color w:val="000000" w:themeColor="text1"/>
          <w:szCs w:val="21"/>
          <w14:textFill>
            <w14:solidFill>
              <w14:schemeClr w14:val="tx1"/>
            </w14:solidFill>
          </w14:textFill>
        </w:rPr>
        <w:t>月</w:t>
      </w:r>
      <w:r>
        <w:rPr>
          <w:rFonts w:hint="eastAsia" w:ascii="宋体" w:hAnsi="宋体" w:cs="Times New Roman"/>
          <w:color w:val="000000" w:themeColor="text1"/>
          <w:szCs w:val="21"/>
          <w:u w:val="single"/>
          <w14:textFill>
            <w14:solidFill>
              <w14:schemeClr w14:val="tx1"/>
            </w14:solidFill>
          </w14:textFill>
        </w:rPr>
        <w:t>　　</w:t>
      </w:r>
      <w:r>
        <w:rPr>
          <w:rFonts w:hint="eastAsia" w:ascii="宋体" w:hAnsi="宋体" w:cs="Times New Roman"/>
          <w:color w:val="000000" w:themeColor="text1"/>
          <w:szCs w:val="21"/>
          <w14:textFill>
            <w14:solidFill>
              <w14:schemeClr w14:val="tx1"/>
            </w14:solidFill>
          </w14:textFill>
        </w:rPr>
        <w:t>日签字生效，特此声明。</w:t>
      </w:r>
    </w:p>
    <w:p w14:paraId="6DC2341F">
      <w:pPr>
        <w:pStyle w:val="46"/>
        <w:spacing w:line="500" w:lineRule="atLeast"/>
        <w:ind w:firstLine="3517" w:firstLineChars="1675"/>
        <w:rPr>
          <w:rFonts w:ascii="宋体" w:eastAsia="宋体"/>
          <w:color w:val="000000" w:themeColor="text1"/>
          <w:sz w:val="21"/>
          <w:szCs w:val="21"/>
          <w14:textFill>
            <w14:solidFill>
              <w14:schemeClr w14:val="tx1"/>
            </w14:solidFill>
          </w14:textFill>
        </w:rPr>
      </w:pPr>
    </w:p>
    <w:p w14:paraId="0FA49F5B">
      <w:pPr>
        <w:pStyle w:val="46"/>
        <w:spacing w:line="500" w:lineRule="atLeast"/>
        <w:ind w:firstLine="3517" w:firstLineChars="1675"/>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投标人名称（加盖公章）：</w:t>
      </w:r>
    </w:p>
    <w:p w14:paraId="56859636">
      <w:pPr>
        <w:pStyle w:val="46"/>
        <w:spacing w:line="500" w:lineRule="atLeast"/>
        <w:ind w:firstLine="3517" w:firstLineChars="1675"/>
        <w:rPr>
          <w:rFonts w:ascii="宋体" w:eastAsia="宋体"/>
          <w:color w:val="000000" w:themeColor="text1"/>
          <w:sz w:val="21"/>
          <w:szCs w:val="21"/>
          <w:u w:val="single"/>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法定代表人签字（签名或盖私章）：</w:t>
      </w:r>
    </w:p>
    <w:p w14:paraId="2A9617E3">
      <w:pPr>
        <w:pStyle w:val="46"/>
        <w:spacing w:line="500" w:lineRule="atLeast"/>
        <w:ind w:firstLine="3517" w:firstLineChars="1675"/>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被授权人签字：</w:t>
      </w:r>
    </w:p>
    <w:p w14:paraId="4F109943">
      <w:pPr>
        <w:pStyle w:val="46"/>
        <w:spacing w:line="500" w:lineRule="atLeast"/>
        <w:ind w:firstLine="3517" w:firstLineChars="1675"/>
        <w:rPr>
          <w:rFonts w:ascii="宋体" w:eastAsia="宋体"/>
          <w:color w:val="000000" w:themeColor="text1"/>
          <w:sz w:val="21"/>
          <w:szCs w:val="21"/>
          <w:u w:val="single"/>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职务：</w:t>
      </w:r>
    </w:p>
    <w:p w14:paraId="73B07FFB">
      <w:pPr>
        <w:pStyle w:val="46"/>
        <w:spacing w:line="500" w:lineRule="atLeast"/>
        <w:ind w:firstLine="3517" w:firstLineChars="1675"/>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 xml:space="preserve">移动电话： </w:t>
      </w:r>
    </w:p>
    <w:p w14:paraId="063573A1">
      <w:pPr>
        <w:pStyle w:val="46"/>
        <w:spacing w:line="500" w:lineRule="atLeast"/>
        <w:ind w:firstLine="3517" w:firstLineChars="1675"/>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详细通讯地址：</w:t>
      </w:r>
    </w:p>
    <w:p w14:paraId="1405C070">
      <w:pPr>
        <w:pStyle w:val="46"/>
        <w:spacing w:line="500" w:lineRule="atLeast"/>
        <w:ind w:firstLine="3517" w:firstLineChars="1675"/>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 xml:space="preserve">邮箱：                          </w:t>
      </w:r>
    </w:p>
    <w:p w14:paraId="06B6ABFE">
      <w:pPr>
        <w:pStyle w:val="46"/>
        <w:spacing w:line="500" w:lineRule="atLeast"/>
        <w:ind w:firstLine="3507" w:firstLineChars="1670"/>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日     期：  年  月  日</w:t>
      </w:r>
    </w:p>
    <w:p w14:paraId="02EC83D2">
      <w:pPr>
        <w:pStyle w:val="46"/>
        <w:spacing w:line="460" w:lineRule="exact"/>
        <w:ind w:firstLine="433"/>
        <w:rPr>
          <w:rFonts w:ascii="宋体" w:eastAsia="宋体"/>
          <w:color w:val="000000" w:themeColor="text1"/>
          <w:sz w:val="21"/>
          <w:szCs w:val="21"/>
          <w14:textFill>
            <w14:solidFill>
              <w14:schemeClr w14:val="tx1"/>
            </w14:solidFill>
          </w14:textFill>
        </w:rPr>
      </w:pPr>
    </w:p>
    <w:p w14:paraId="57317668">
      <w:pPr>
        <w:ind w:firstLine="420" w:firstLineChars="200"/>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须附：被授权人身份证复印件。</w:t>
      </w:r>
    </w:p>
    <w:tbl>
      <w:tblPr>
        <w:tblStyle w:val="31"/>
        <w:tblW w:w="84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232"/>
        <w:gridCol w:w="4232"/>
      </w:tblGrid>
      <w:tr w14:paraId="5FE5BD6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661" w:hRule="atLeast"/>
          <w:jc w:val="center"/>
        </w:trPr>
        <w:tc>
          <w:tcPr>
            <w:tcW w:w="4232" w:type="dxa"/>
            <w:vAlign w:val="center"/>
          </w:tcPr>
          <w:p w14:paraId="33C4F2E7">
            <w:pPr>
              <w:pStyle w:val="46"/>
              <w:spacing w:line="460" w:lineRule="exact"/>
              <w:ind w:firstLine="0" w:firstLineChars="0"/>
              <w:jc w:val="center"/>
              <w:rPr>
                <w:rFonts w:ascii="宋体" w:eastAsia="宋体"/>
                <w:color w:val="000000" w:themeColor="text1"/>
                <w:sz w:val="22"/>
                <w14:textFill>
                  <w14:solidFill>
                    <w14:schemeClr w14:val="tx1"/>
                  </w14:solidFill>
                </w14:textFill>
              </w:rPr>
            </w:pPr>
            <w:r>
              <w:rPr>
                <w:rFonts w:hint="eastAsia" w:ascii="宋体" w:eastAsia="宋体"/>
                <w:color w:val="000000" w:themeColor="text1"/>
                <w:sz w:val="22"/>
                <w14:textFill>
                  <w14:solidFill>
                    <w14:schemeClr w14:val="tx1"/>
                  </w14:solidFill>
                </w14:textFill>
              </w:rPr>
              <w:t>正面</w:t>
            </w:r>
          </w:p>
        </w:tc>
        <w:tc>
          <w:tcPr>
            <w:tcW w:w="4232" w:type="dxa"/>
            <w:vAlign w:val="center"/>
          </w:tcPr>
          <w:p w14:paraId="0EEDDAD6">
            <w:pPr>
              <w:pStyle w:val="46"/>
              <w:spacing w:line="460" w:lineRule="exact"/>
              <w:ind w:firstLine="0" w:firstLineChars="0"/>
              <w:jc w:val="center"/>
              <w:rPr>
                <w:rFonts w:ascii="宋体" w:eastAsia="宋体"/>
                <w:color w:val="000000" w:themeColor="text1"/>
                <w:sz w:val="22"/>
                <w14:textFill>
                  <w14:solidFill>
                    <w14:schemeClr w14:val="tx1"/>
                  </w14:solidFill>
                </w14:textFill>
              </w:rPr>
            </w:pPr>
            <w:r>
              <w:rPr>
                <w:rFonts w:hint="eastAsia" w:ascii="宋体" w:eastAsia="宋体"/>
                <w:color w:val="000000" w:themeColor="text1"/>
                <w:sz w:val="22"/>
                <w14:textFill>
                  <w14:solidFill>
                    <w14:schemeClr w14:val="tx1"/>
                  </w14:solidFill>
                </w14:textFill>
              </w:rPr>
              <w:t>背面</w:t>
            </w:r>
          </w:p>
        </w:tc>
      </w:tr>
    </w:tbl>
    <w:p w14:paraId="5BDB3933">
      <w:pPr>
        <w:adjustRightInd/>
        <w:snapToGrid/>
        <w:spacing w:line="276" w:lineRule="auto"/>
        <w:rPr>
          <w:color w:val="000000" w:themeColor="text1"/>
          <w14:textFill>
            <w14:solidFill>
              <w14:schemeClr w14:val="tx1"/>
            </w14:solidFill>
          </w14:textFill>
        </w:rPr>
      </w:pPr>
      <w:bookmarkStart w:id="252" w:name="_Toc22486"/>
      <w:r>
        <w:rPr>
          <w:rFonts w:hint="eastAsia" w:ascii="宋体" w:hAnsi="宋体"/>
          <w:color w:val="000000" w:themeColor="text1"/>
          <w:szCs w:val="21"/>
          <w14:textFill>
            <w14:solidFill>
              <w14:schemeClr w14:val="tx1"/>
            </w14:solidFill>
          </w14:textFill>
        </w:rPr>
        <w:br w:type="page"/>
      </w:r>
    </w:p>
    <w:p w14:paraId="273E3C31">
      <w:pPr>
        <w:pStyle w:val="5"/>
        <w:widowControl w:val="0"/>
        <w:overflowPunct w:val="0"/>
        <w:spacing w:line="240" w:lineRule="auto"/>
        <w:rPr>
          <w:rFonts w:ascii="宋体" w:hAnsi="宋体"/>
          <w:color w:val="000000" w:themeColor="text1"/>
          <w:sz w:val="21"/>
          <w:szCs w:val="21"/>
          <w14:textFill>
            <w14:solidFill>
              <w14:schemeClr w14:val="tx1"/>
            </w14:solidFill>
          </w14:textFill>
        </w:rPr>
      </w:pPr>
      <w:bookmarkStart w:id="253" w:name="_Toc16157"/>
      <w:r>
        <w:rPr>
          <w:rFonts w:hint="eastAsia" w:ascii="宋体" w:hAnsi="宋体"/>
          <w:color w:val="000000" w:themeColor="text1"/>
          <w:sz w:val="21"/>
          <w:szCs w:val="21"/>
          <w14:textFill>
            <w14:solidFill>
              <w14:schemeClr w14:val="tx1"/>
            </w14:solidFill>
          </w14:textFill>
        </w:rPr>
        <w:t>附件</w:t>
      </w:r>
      <w:r>
        <w:rPr>
          <w:rFonts w:hint="eastAsia" w:ascii="宋体" w:hAnsi="宋体"/>
          <w:color w:val="000000" w:themeColor="text1"/>
          <w:sz w:val="21"/>
          <w:szCs w:val="21"/>
          <w:lang w:val="en-US" w:eastAsia="zh-CN"/>
          <w14:textFill>
            <w14:solidFill>
              <w14:schemeClr w14:val="tx1"/>
            </w14:solidFill>
          </w14:textFill>
        </w:rPr>
        <w:t>7</w:t>
      </w:r>
      <w:r>
        <w:rPr>
          <w:rFonts w:hint="eastAsia" w:ascii="宋体" w:hAnsi="宋体"/>
          <w:color w:val="000000" w:themeColor="text1"/>
          <w:sz w:val="21"/>
          <w:szCs w:val="21"/>
          <w14:textFill>
            <w14:solidFill>
              <w14:schemeClr w14:val="tx1"/>
            </w14:solidFill>
          </w14:textFill>
        </w:rPr>
        <w:t>.资格申明</w:t>
      </w:r>
      <w:bookmarkEnd w:id="253"/>
    </w:p>
    <w:p w14:paraId="2E0B78EB">
      <w:pPr>
        <w:jc w:val="center"/>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资格申明</w:t>
      </w:r>
    </w:p>
    <w:p w14:paraId="39D3448E">
      <w:pPr>
        <w:pStyle w:val="46"/>
        <w:spacing w:line="420" w:lineRule="atLeast"/>
        <w:ind w:firstLine="0" w:firstLineChars="0"/>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广州宏达工程顾问集团有限公司</w:t>
      </w:r>
      <w:r>
        <w:rPr>
          <w:rFonts w:hint="eastAsia" w:ascii="宋体" w:eastAsia="宋体"/>
          <w:color w:val="000000" w:themeColor="text1"/>
          <w:sz w:val="21"/>
          <w:szCs w:val="21"/>
          <w:highlight w:val="none"/>
          <w14:textFill>
            <w14:solidFill>
              <w14:schemeClr w14:val="tx1"/>
            </w14:solidFill>
          </w14:textFill>
        </w:rPr>
        <w:t>：</w:t>
      </w:r>
    </w:p>
    <w:p w14:paraId="0769C882">
      <w:pPr>
        <w:ind w:firstLine="420" w:firstLineChars="200"/>
        <w:rPr>
          <w:rFonts w:ascii="宋体" w:hAnsi="宋体"/>
          <w:color w:val="000000" w:themeColor="text1"/>
          <w:szCs w:val="21"/>
          <w:highlight w:val="none"/>
          <w14:textFill>
            <w14:solidFill>
              <w14:schemeClr w14:val="tx1"/>
            </w14:solidFill>
          </w14:textFill>
        </w:rPr>
      </w:pPr>
    </w:p>
    <w:p w14:paraId="7EE17ACF">
      <w:pPr>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我方</w:t>
      </w:r>
      <w:r>
        <w:rPr>
          <w:rFonts w:ascii="宋体" w:hAnsi="宋体"/>
          <w:color w:val="000000" w:themeColor="text1"/>
          <w:szCs w:val="21"/>
          <w:highlight w:val="none"/>
          <w14:textFill>
            <w14:solidFill>
              <w14:schemeClr w14:val="tx1"/>
            </w14:solidFill>
          </w14:textFill>
        </w:rPr>
        <w:t>愿响应</w:t>
      </w:r>
      <w:r>
        <w:rPr>
          <w:rFonts w:hint="eastAsia" w:ascii="宋体" w:hAnsi="宋体"/>
          <w:color w:val="000000" w:themeColor="text1"/>
          <w:szCs w:val="21"/>
          <w:highlight w:val="none"/>
          <w14:textFill>
            <w14:solidFill>
              <w14:schemeClr w14:val="tx1"/>
            </w14:solidFill>
          </w14:textFill>
        </w:rPr>
        <w:t>贵</w:t>
      </w:r>
      <w:r>
        <w:rPr>
          <w:rFonts w:ascii="宋体" w:hAnsi="宋体"/>
          <w:color w:val="000000" w:themeColor="text1"/>
          <w:szCs w:val="21"/>
          <w:highlight w:val="none"/>
          <w14:textFill>
            <w14:solidFill>
              <w14:schemeClr w14:val="tx1"/>
            </w14:solidFill>
          </w14:textFill>
        </w:rPr>
        <w:t>方</w:t>
      </w:r>
      <w:r>
        <w:rPr>
          <w:rFonts w:hint="eastAsia" w:ascii="宋体" w:hAnsi="宋体"/>
          <w:color w:val="000000" w:themeColor="text1"/>
          <w:szCs w:val="21"/>
          <w:highlight w:val="none"/>
          <w14:textFill>
            <w14:solidFill>
              <w14:schemeClr w14:val="tx1"/>
            </w14:solidFill>
          </w14:textFill>
        </w:rPr>
        <w:t>关于（项目名称：</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采购项目编号：</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的</w:t>
      </w:r>
      <w:r>
        <w:rPr>
          <w:rFonts w:ascii="宋体" w:hAnsi="宋体"/>
          <w:color w:val="000000" w:themeColor="text1"/>
          <w:szCs w:val="21"/>
          <w:highlight w:val="none"/>
          <w14:textFill>
            <w14:solidFill>
              <w14:schemeClr w14:val="tx1"/>
            </w14:solidFill>
          </w14:textFill>
        </w:rPr>
        <w:t>投标邀请，参与投标，提供用户需求书中规定的</w:t>
      </w:r>
      <w:r>
        <w:rPr>
          <w:rFonts w:hint="eastAsia" w:ascii="宋体" w:hAnsi="宋体"/>
          <w:color w:val="000000" w:themeColor="text1"/>
          <w:szCs w:val="21"/>
          <w:highlight w:val="none"/>
          <w14:textFill>
            <w14:solidFill>
              <w14:schemeClr w14:val="tx1"/>
            </w14:solidFill>
          </w14:textFill>
        </w:rPr>
        <w:t>货物及相关服务</w:t>
      </w:r>
      <w:r>
        <w:rPr>
          <w:rFonts w:ascii="宋体" w:hAnsi="宋体"/>
          <w:color w:val="000000" w:themeColor="text1"/>
          <w:szCs w:val="21"/>
          <w:highlight w:val="none"/>
          <w14:textFill>
            <w14:solidFill>
              <w14:schemeClr w14:val="tx1"/>
            </w14:solidFill>
          </w14:textFill>
        </w:rPr>
        <w:t>，并按</w:t>
      </w:r>
      <w:r>
        <w:rPr>
          <w:rFonts w:hint="eastAsia" w:ascii="宋体" w:hAnsi="宋体"/>
          <w:color w:val="000000" w:themeColor="text1"/>
          <w:szCs w:val="21"/>
          <w:highlight w:val="none"/>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文件要求提交所附资格文件且声明和保证如下：</w:t>
      </w:r>
    </w:p>
    <w:p w14:paraId="2E45CA94">
      <w:pPr>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一、我方具备投标人邀请中所要求得资格条件，已清楚采购文件所有要求及有关规定；并承诺参加本次采购活动中，如有违法、违规、弄虚作假行为，所造成的损失、不良后果及法律责任，一律由我方承担；</w:t>
      </w:r>
    </w:p>
    <w:p w14:paraId="6F3B4FE7">
      <w:pPr>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二、</w:t>
      </w:r>
      <w:r>
        <w:rPr>
          <w:rFonts w:ascii="宋体" w:hAnsi="宋体"/>
          <w:color w:val="000000" w:themeColor="text1"/>
          <w:szCs w:val="21"/>
          <w:highlight w:val="none"/>
          <w14:textFill>
            <w14:solidFill>
              <w14:schemeClr w14:val="tx1"/>
            </w14:solidFill>
          </w14:textFill>
        </w:rPr>
        <w:t>我方依法注册，在法律上、财务上和运作上完全独立于</w:t>
      </w:r>
      <w:r>
        <w:rPr>
          <w:rFonts w:hint="eastAsia" w:ascii="宋体" w:hAnsi="宋体"/>
          <w:color w:val="000000" w:themeColor="text1"/>
          <w:szCs w:val="21"/>
          <w:highlight w:val="none"/>
          <w:u w:val="single"/>
          <w14:textFill>
            <w14:solidFill>
              <w14:schemeClr w14:val="tx1"/>
            </w14:solidFill>
          </w14:textFill>
        </w:rPr>
        <w:t xml:space="preserve">  xxxx   </w:t>
      </w:r>
      <w:r>
        <w:rPr>
          <w:rFonts w:hint="eastAsia" w:ascii="宋体" w:hAnsi="宋体"/>
          <w:color w:val="000000" w:themeColor="text1"/>
          <w:szCs w:val="21"/>
          <w:highlight w:val="none"/>
          <w14:textFill>
            <w14:solidFill>
              <w14:schemeClr w14:val="tx1"/>
            </w14:solidFill>
          </w14:textFill>
        </w:rPr>
        <w:t>公司</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采购人</w:t>
      </w:r>
      <w:r>
        <w:rPr>
          <w:rFonts w:ascii="宋体" w:hAnsi="宋体"/>
          <w:color w:val="000000" w:themeColor="text1"/>
          <w:szCs w:val="21"/>
          <w:highlight w:val="none"/>
          <w14:textFill>
            <w14:solidFill>
              <w14:schemeClr w14:val="tx1"/>
            </w14:solidFill>
          </w14:textFill>
        </w:rPr>
        <w:t>）及</w:t>
      </w:r>
      <w:r>
        <w:rPr>
          <w:rFonts w:hint="eastAsia" w:ascii="宋体" w:hAnsi="宋体"/>
          <w:color w:val="000000" w:themeColor="text1"/>
          <w:szCs w:val="21"/>
          <w:highlight w:val="none"/>
          <w:u w:val="single"/>
          <w14:textFill>
            <w14:solidFill>
              <w14:schemeClr w14:val="tx1"/>
            </w14:solidFill>
          </w14:textFill>
        </w:rPr>
        <w:t xml:space="preserve">    xxx   </w:t>
      </w:r>
      <w:r>
        <w:rPr>
          <w:rFonts w:hint="eastAsia" w:ascii="宋体" w:hAnsi="宋体"/>
          <w:color w:val="000000" w:themeColor="text1"/>
          <w:szCs w:val="21"/>
          <w:highlight w:val="none"/>
          <w14:textFill>
            <w14:solidFill>
              <w14:schemeClr w14:val="tx1"/>
            </w14:solidFill>
          </w14:textFill>
        </w:rPr>
        <w:t>公司</w:t>
      </w:r>
      <w:r>
        <w:rPr>
          <w:rFonts w:ascii="宋体" w:hAnsi="宋体"/>
          <w:color w:val="000000" w:themeColor="text1"/>
          <w:szCs w:val="21"/>
          <w:highlight w:val="none"/>
          <w14:textFill>
            <w14:solidFill>
              <w14:schemeClr w14:val="tx1"/>
            </w14:solidFill>
          </w14:textFill>
        </w:rPr>
        <w:t>（采购代理机构）</w:t>
      </w:r>
      <w:r>
        <w:rPr>
          <w:rFonts w:hint="eastAsia" w:ascii="宋体" w:hAnsi="宋体"/>
          <w:color w:val="000000" w:themeColor="text1"/>
          <w:szCs w:val="21"/>
          <w:highlight w:val="none"/>
          <w14:textFill>
            <w14:solidFill>
              <w14:schemeClr w14:val="tx1"/>
            </w14:solidFill>
          </w14:textFill>
        </w:rPr>
        <w:t>。</w:t>
      </w:r>
    </w:p>
    <w:p w14:paraId="11D92798">
      <w:pPr>
        <w:pStyle w:val="46"/>
        <w:spacing w:line="500" w:lineRule="atLeast"/>
        <w:ind w:firstLine="3517" w:firstLineChars="1675"/>
        <w:rPr>
          <w:rFonts w:ascii="宋体" w:eastAsia="宋体"/>
          <w:color w:val="000000" w:themeColor="text1"/>
          <w:sz w:val="21"/>
          <w:szCs w:val="21"/>
          <w:highlight w:val="none"/>
          <w14:textFill>
            <w14:solidFill>
              <w14:schemeClr w14:val="tx1"/>
            </w14:solidFill>
          </w14:textFill>
        </w:rPr>
      </w:pPr>
    </w:p>
    <w:p w14:paraId="13DDE356">
      <w:pPr>
        <w:pStyle w:val="46"/>
        <w:spacing w:line="500" w:lineRule="atLeast"/>
        <w:ind w:firstLine="3517" w:firstLineChars="1675"/>
        <w:rPr>
          <w:rFonts w:ascii="宋体" w:eastAsia="宋体"/>
          <w:color w:val="000000" w:themeColor="text1"/>
          <w:sz w:val="21"/>
          <w:szCs w:val="21"/>
          <w:highlight w:val="none"/>
          <w14:textFill>
            <w14:solidFill>
              <w14:schemeClr w14:val="tx1"/>
            </w14:solidFill>
          </w14:textFill>
        </w:rPr>
      </w:pPr>
    </w:p>
    <w:p w14:paraId="2058A870">
      <w:pPr>
        <w:pStyle w:val="46"/>
        <w:spacing w:line="500" w:lineRule="atLeast"/>
        <w:ind w:firstLine="433"/>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14:textFill>
            <w14:solidFill>
              <w14:schemeClr w14:val="tx1"/>
            </w14:solidFill>
          </w14:textFill>
        </w:rPr>
        <w:t>投标人名称（加盖公章）：</w:t>
      </w:r>
    </w:p>
    <w:p w14:paraId="1D770222">
      <w:pPr>
        <w:pStyle w:val="46"/>
        <w:spacing w:line="500" w:lineRule="atLeast"/>
        <w:ind w:firstLine="433"/>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14:textFill>
            <w14:solidFill>
              <w14:schemeClr w14:val="tx1"/>
            </w14:solidFill>
          </w14:textFill>
        </w:rPr>
        <w:t>法定代表人签字（签名或盖私章）：</w:t>
      </w:r>
    </w:p>
    <w:p w14:paraId="0CE5C186">
      <w:pPr>
        <w:pStyle w:val="46"/>
        <w:spacing w:line="500" w:lineRule="atLeast"/>
        <w:ind w:firstLine="433"/>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日     期：年月日</w:t>
      </w:r>
    </w:p>
    <w:p w14:paraId="32833027">
      <w:pPr>
        <w:pStyle w:val="46"/>
        <w:spacing w:line="500" w:lineRule="atLeast"/>
        <w:ind w:firstLine="433"/>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br w:type="page"/>
      </w:r>
    </w:p>
    <w:p w14:paraId="4F3D17D5">
      <w:pPr>
        <w:pStyle w:val="5"/>
        <w:widowControl w:val="0"/>
        <w:overflowPunct w:val="0"/>
        <w:spacing w:line="240" w:lineRule="auto"/>
        <w:rPr>
          <w:rFonts w:ascii="宋体" w:hAnsi="宋体"/>
          <w:color w:val="000000" w:themeColor="text1"/>
          <w:sz w:val="21"/>
          <w:szCs w:val="21"/>
          <w14:textFill>
            <w14:solidFill>
              <w14:schemeClr w14:val="tx1"/>
            </w14:solidFill>
          </w14:textFill>
        </w:rPr>
      </w:pPr>
      <w:bookmarkStart w:id="254" w:name="_Toc28751"/>
      <w:r>
        <w:rPr>
          <w:rFonts w:hint="eastAsia" w:ascii="宋体" w:hAnsi="宋体"/>
          <w:color w:val="000000" w:themeColor="text1"/>
          <w:sz w:val="21"/>
          <w:szCs w:val="21"/>
          <w14:textFill>
            <w14:solidFill>
              <w14:schemeClr w14:val="tx1"/>
            </w14:solidFill>
          </w14:textFill>
        </w:rPr>
        <w:t>附件</w:t>
      </w:r>
      <w:r>
        <w:rPr>
          <w:rFonts w:hint="eastAsia" w:ascii="宋体" w:hAnsi="宋体"/>
          <w:color w:val="000000" w:themeColor="text1"/>
          <w:sz w:val="21"/>
          <w:szCs w:val="21"/>
          <w:lang w:val="en-US" w:eastAsia="zh-CN"/>
          <w14:textFill>
            <w14:solidFill>
              <w14:schemeClr w14:val="tx1"/>
            </w14:solidFill>
          </w14:textFill>
        </w:rPr>
        <w:t>8</w:t>
      </w:r>
      <w:r>
        <w:rPr>
          <w:rFonts w:hint="eastAsia" w:ascii="宋体" w:hAnsi="宋体"/>
          <w:color w:val="000000" w:themeColor="text1"/>
          <w:sz w:val="21"/>
          <w:szCs w:val="21"/>
          <w14:textFill>
            <w14:solidFill>
              <w14:schemeClr w14:val="tx1"/>
            </w14:solidFill>
          </w14:textFill>
        </w:rPr>
        <w:t>.营业执照</w:t>
      </w:r>
      <w:bookmarkEnd w:id="254"/>
    </w:p>
    <w:p w14:paraId="63011555">
      <w:pPr>
        <w:jc w:val="center"/>
        <w:rPr>
          <w:rFonts w:ascii="黑体" w:eastAsia="黑体"/>
          <w:color w:val="000000" w:themeColor="text1"/>
          <w:sz w:val="28"/>
          <w:szCs w:val="28"/>
          <w14:textFill>
            <w14:solidFill>
              <w14:schemeClr w14:val="tx1"/>
            </w14:solidFill>
          </w14:textFill>
        </w:rPr>
      </w:pPr>
      <w:bookmarkStart w:id="255" w:name="_Toc5919"/>
      <w:bookmarkStart w:id="256" w:name="_Toc24210"/>
      <w:bookmarkStart w:id="257" w:name="_Toc1511"/>
      <w:bookmarkStart w:id="258" w:name="_Toc4926"/>
      <w:bookmarkStart w:id="259" w:name="_Toc17470"/>
      <w:r>
        <w:rPr>
          <w:rFonts w:hint="eastAsia" w:ascii="黑体" w:eastAsia="黑体"/>
          <w:color w:val="000000" w:themeColor="text1"/>
          <w:sz w:val="28"/>
          <w:szCs w:val="28"/>
          <w14:textFill>
            <w14:solidFill>
              <w14:schemeClr w14:val="tx1"/>
            </w14:solidFill>
          </w14:textFill>
        </w:rPr>
        <w:t>营业执照</w:t>
      </w:r>
      <w:bookmarkEnd w:id="255"/>
      <w:bookmarkEnd w:id="256"/>
      <w:bookmarkEnd w:id="257"/>
      <w:bookmarkEnd w:id="258"/>
      <w:bookmarkEnd w:id="259"/>
    </w:p>
    <w:p w14:paraId="43903FA9">
      <w:pPr>
        <w:jc w:val="center"/>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br w:type="page"/>
      </w:r>
    </w:p>
    <w:p w14:paraId="4A34B7B1">
      <w:pPr>
        <w:pStyle w:val="5"/>
        <w:widowControl w:val="0"/>
        <w:overflowPunct w:val="0"/>
        <w:spacing w:line="240" w:lineRule="auto"/>
        <w:rPr>
          <w:rFonts w:ascii="宋体" w:hAnsi="宋体"/>
          <w:color w:val="000000" w:themeColor="text1"/>
          <w:sz w:val="21"/>
          <w:szCs w:val="21"/>
          <w14:textFill>
            <w14:solidFill>
              <w14:schemeClr w14:val="tx1"/>
            </w14:solidFill>
          </w14:textFill>
        </w:rPr>
      </w:pPr>
      <w:bookmarkStart w:id="260" w:name="_Toc29085"/>
      <w:r>
        <w:rPr>
          <w:rFonts w:hint="eastAsia" w:ascii="宋体" w:hAnsi="宋体"/>
          <w:color w:val="000000" w:themeColor="text1"/>
          <w:sz w:val="21"/>
          <w:szCs w:val="21"/>
          <w14:textFill>
            <w14:solidFill>
              <w14:schemeClr w14:val="tx1"/>
            </w14:solidFill>
          </w14:textFill>
        </w:rPr>
        <w:t>附件</w:t>
      </w:r>
      <w:r>
        <w:rPr>
          <w:rFonts w:hint="eastAsia" w:ascii="宋体" w:hAnsi="宋体"/>
          <w:color w:val="000000" w:themeColor="text1"/>
          <w:sz w:val="21"/>
          <w:szCs w:val="21"/>
          <w:lang w:val="en-US" w:eastAsia="zh-CN"/>
          <w14:textFill>
            <w14:solidFill>
              <w14:schemeClr w14:val="tx1"/>
            </w14:solidFill>
          </w14:textFill>
        </w:rPr>
        <w:t>9</w:t>
      </w:r>
      <w:r>
        <w:rPr>
          <w:rFonts w:hint="eastAsia" w:ascii="宋体" w:hAnsi="宋体"/>
          <w:color w:val="000000" w:themeColor="text1"/>
          <w:sz w:val="21"/>
          <w:szCs w:val="21"/>
          <w14:textFill>
            <w14:solidFill>
              <w14:schemeClr w14:val="tx1"/>
            </w14:solidFill>
          </w14:textFill>
        </w:rPr>
        <w:t>.相关资质证明文件</w:t>
      </w:r>
      <w:bookmarkEnd w:id="260"/>
    </w:p>
    <w:p w14:paraId="47F550BD">
      <w:pPr>
        <w:rPr>
          <w:color w:val="000000" w:themeColor="text1"/>
          <w:highlight w:val="none"/>
          <w14:textFill>
            <w14:solidFill>
              <w14:schemeClr w14:val="tx1"/>
            </w14:solidFill>
          </w14:textFill>
        </w:rPr>
      </w:pPr>
    </w:p>
    <w:p w14:paraId="780728EE">
      <w:pPr>
        <w:jc w:val="center"/>
        <w:rPr>
          <w:rFonts w:ascii="黑体" w:eastAsia="黑体"/>
          <w:color w:val="000000" w:themeColor="text1"/>
          <w:sz w:val="28"/>
          <w:szCs w:val="28"/>
          <w:highlight w:val="none"/>
          <w14:textFill>
            <w14:solidFill>
              <w14:schemeClr w14:val="tx1"/>
            </w14:solidFill>
          </w14:textFill>
        </w:rPr>
      </w:pPr>
      <w:bookmarkStart w:id="261" w:name="_Toc13458"/>
      <w:bookmarkStart w:id="262" w:name="_Toc30307"/>
      <w:bookmarkStart w:id="263" w:name="_Toc16698"/>
      <w:bookmarkStart w:id="264" w:name="_Toc16233"/>
      <w:bookmarkStart w:id="265" w:name="_Toc9592"/>
      <w:r>
        <w:rPr>
          <w:rFonts w:hint="eastAsia" w:ascii="黑体" w:eastAsia="黑体"/>
          <w:color w:val="000000" w:themeColor="text1"/>
          <w:sz w:val="28"/>
          <w:szCs w:val="28"/>
          <w:highlight w:val="none"/>
          <w14:textFill>
            <w14:solidFill>
              <w14:schemeClr w14:val="tx1"/>
            </w14:solidFill>
          </w14:textFill>
        </w:rPr>
        <w:t>相关资质证明文件</w:t>
      </w:r>
      <w:bookmarkEnd w:id="252"/>
      <w:bookmarkEnd w:id="261"/>
      <w:bookmarkEnd w:id="262"/>
      <w:bookmarkEnd w:id="263"/>
      <w:bookmarkEnd w:id="264"/>
      <w:bookmarkEnd w:id="265"/>
    </w:p>
    <w:p w14:paraId="58451D11">
      <w:pPr>
        <w:numPr>
          <w:ilvl w:val="0"/>
          <w:numId w:val="10"/>
        </w:numPr>
        <w:tabs>
          <w:tab w:val="left" w:pos="1680"/>
        </w:tabs>
        <w:jc w:val="both"/>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符合投标邀请书“投标人资格要求”其他要求对应的证明文件；</w:t>
      </w:r>
    </w:p>
    <w:p w14:paraId="18AE5ABB">
      <w:pPr>
        <w:numPr>
          <w:ilvl w:val="0"/>
          <w:numId w:val="10"/>
        </w:numPr>
        <w:tabs>
          <w:tab w:val="left" w:pos="1680"/>
        </w:tabs>
        <w:jc w:val="both"/>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投标人认为必要的文件。</w:t>
      </w:r>
      <w:r>
        <w:rPr>
          <w:rFonts w:hint="eastAsia" w:ascii="宋体" w:hAnsi="宋体" w:cs="宋体"/>
          <w:b/>
          <w:bCs/>
          <w:color w:val="000000" w:themeColor="text1"/>
          <w:szCs w:val="21"/>
          <w:highlight w:val="none"/>
          <w14:textFill>
            <w14:solidFill>
              <w14:schemeClr w14:val="tx1"/>
            </w14:solidFill>
          </w14:textFill>
        </w:rPr>
        <w:br w:type="page"/>
      </w:r>
    </w:p>
    <w:p w14:paraId="438A9D14">
      <w:pPr>
        <w:pStyle w:val="5"/>
        <w:widowControl w:val="0"/>
        <w:overflowPunct w:val="0"/>
        <w:spacing w:line="240" w:lineRule="auto"/>
        <w:rPr>
          <w:rFonts w:ascii="楷体_GB2312" w:eastAsia="楷体_GB2312"/>
          <w:color w:val="000000" w:themeColor="text1"/>
          <w14:textFill>
            <w14:solidFill>
              <w14:schemeClr w14:val="tx1"/>
            </w14:solidFill>
          </w14:textFill>
        </w:rPr>
      </w:pPr>
      <w:bookmarkStart w:id="266" w:name="_Toc10105"/>
      <w:r>
        <w:rPr>
          <w:rFonts w:hint="eastAsia" w:ascii="宋体" w:hAnsi="宋体"/>
          <w:color w:val="000000" w:themeColor="text1"/>
          <w:sz w:val="21"/>
          <w:szCs w:val="21"/>
          <w14:textFill>
            <w14:solidFill>
              <w14:schemeClr w14:val="tx1"/>
            </w14:solidFill>
          </w14:textFill>
        </w:rPr>
        <w:t>附件</w:t>
      </w:r>
      <w:r>
        <w:rPr>
          <w:rFonts w:hint="eastAsia" w:ascii="宋体" w:hAnsi="宋体"/>
          <w:color w:val="000000" w:themeColor="text1"/>
          <w:sz w:val="21"/>
          <w:szCs w:val="21"/>
          <w:lang w:val="en-US" w:eastAsia="zh-CN"/>
          <w14:textFill>
            <w14:solidFill>
              <w14:schemeClr w14:val="tx1"/>
            </w14:solidFill>
          </w14:textFill>
        </w:rPr>
        <w:t>10</w:t>
      </w:r>
      <w:r>
        <w:rPr>
          <w:rFonts w:hint="eastAsia" w:ascii="宋体" w:hAnsi="宋体"/>
          <w:color w:val="000000" w:themeColor="text1"/>
          <w:sz w:val="21"/>
          <w:szCs w:val="21"/>
          <w14:textFill>
            <w14:solidFill>
              <w14:schemeClr w14:val="tx1"/>
            </w14:solidFill>
          </w14:textFill>
        </w:rPr>
        <w:t>.在经营活动中没有重大违法记录的书面声明格式</w:t>
      </w:r>
      <w:bookmarkEnd w:id="266"/>
    </w:p>
    <w:p w14:paraId="7D2C6356">
      <w:pPr>
        <w:rPr>
          <w:color w:val="000000" w:themeColor="text1"/>
          <w14:textFill>
            <w14:solidFill>
              <w14:schemeClr w14:val="tx1"/>
            </w14:solidFill>
          </w14:textFill>
        </w:rPr>
      </w:pPr>
    </w:p>
    <w:p w14:paraId="5B69E888">
      <w:pPr>
        <w:jc w:val="center"/>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投标人在经营活动中前三年内未有重大违法记录、没有不良信用记录的声明函</w:t>
      </w:r>
    </w:p>
    <w:p w14:paraId="21D096A5">
      <w:pPr>
        <w:ind w:firstLine="420" w:firstLineChars="200"/>
        <w:rPr>
          <w:rFonts w:ascii="宋体" w:hAnsi="宋体" w:cs="宋体"/>
          <w:color w:val="000000" w:themeColor="text1"/>
          <w:szCs w:val="21"/>
          <w14:textFill>
            <w14:solidFill>
              <w14:schemeClr w14:val="tx1"/>
            </w14:solidFill>
          </w14:textFill>
        </w:rPr>
      </w:pPr>
    </w:p>
    <w:p w14:paraId="50A1DB0A">
      <w:pPr>
        <w:spacing w:line="480" w:lineRule="auto"/>
        <w:ind w:firstLine="420" w:firstLineChars="200"/>
        <w:rPr>
          <w:rFonts w:ascii="宋体" w:hAnsi="宋体" w:cs="宋体"/>
          <w:color w:val="000000" w:themeColor="text1"/>
          <w:szCs w:val="21"/>
          <w14:textFill>
            <w14:solidFill>
              <w14:schemeClr w14:val="tx1"/>
            </w14:solidFill>
          </w14:textFill>
        </w:rPr>
      </w:pPr>
      <w:r>
        <w:rPr>
          <w:rFonts w:hint="eastAsia" w:ascii="宋体" w:eastAsia="宋体"/>
          <w:color w:val="000000" w:themeColor="text1"/>
          <w:sz w:val="21"/>
          <w:szCs w:val="21"/>
          <w14:textFill>
            <w14:solidFill>
              <w14:schemeClr w14:val="tx1"/>
            </w14:solidFill>
          </w14:textFill>
        </w:rPr>
        <w:t>广州宏达工程顾问集团有限公司</w:t>
      </w:r>
      <w:r>
        <w:rPr>
          <w:rFonts w:hint="eastAsia" w:ascii="宋体" w:hAnsi="宋体" w:cs="宋体"/>
          <w:color w:val="000000" w:themeColor="text1"/>
          <w:szCs w:val="21"/>
          <w14:textFill>
            <w14:solidFill>
              <w14:schemeClr w14:val="tx1"/>
            </w14:solidFill>
          </w14:textFill>
        </w:rPr>
        <w:t>：</w:t>
      </w:r>
    </w:p>
    <w:p w14:paraId="56DFD4F3">
      <w:pPr>
        <w:spacing w:line="48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我公司郑重承诺：在参加“</w:t>
      </w:r>
      <w:r>
        <w:rPr>
          <w:rFonts w:hint="eastAsia" w:ascii="宋体" w:hAnsi="宋体" w:cs="宋体"/>
          <w:color w:val="000000" w:themeColor="text1"/>
          <w:szCs w:val="21"/>
          <w:u w:val="single"/>
          <w14:textFill>
            <w14:solidFill>
              <w14:schemeClr w14:val="tx1"/>
            </w14:solidFill>
          </w14:textFill>
        </w:rPr>
        <w:t xml:space="preserve">       （采购项目名称）</w:t>
      </w:r>
      <w:r>
        <w:rPr>
          <w:rFonts w:hint="eastAsia" w:ascii="宋体" w:hAnsi="宋体" w:cs="宋体"/>
          <w:color w:val="000000" w:themeColor="text1"/>
          <w:szCs w:val="21"/>
          <w14:textFill>
            <w14:solidFill>
              <w14:schemeClr w14:val="tx1"/>
            </w14:solidFill>
          </w14:textFill>
        </w:rPr>
        <w:t>” （项目编号:</w:t>
      </w:r>
      <w:r>
        <w:rPr>
          <w:rFonts w:hint="eastAsia" w:ascii="宋体" w:hAnsi="宋体" w:cs="宋体"/>
          <w:color w:val="000000" w:themeColor="text1"/>
          <w:szCs w:val="21"/>
          <w:lang w:val="en-US" w:eastAsia="zh-CN"/>
          <w14:textFill>
            <w14:solidFill>
              <w14:schemeClr w14:val="tx1"/>
            </w14:solidFill>
          </w14:textFill>
        </w:rPr>
        <w:t>XX</w:t>
      </w:r>
      <w:r>
        <w:rPr>
          <w:rFonts w:hint="eastAsia" w:ascii="宋体" w:hAnsi="宋体" w:cs="宋体"/>
          <w:color w:val="000000" w:themeColor="text1"/>
          <w:szCs w:val="21"/>
          <w14:textFill>
            <w14:solidFill>
              <w14:schemeClr w14:val="tx1"/>
            </w14:solidFill>
          </w14:textFill>
        </w:rPr>
        <w:t>）采购活动前三年内（设立不满三年的从设立之日计算），在经营活动中没有重大违法记录；至本项目提交投标文件截止时间止未被列入“信用中国”网站失信被执行人、重大税收违法失信主体、政府采购严重违法失信行为记录名单。</w:t>
      </w:r>
    </w:p>
    <w:p w14:paraId="7BE11AD3">
      <w:pPr>
        <w:spacing w:line="48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我公司以上承诺均为真实有效，绝无任何虚假、伪造的成份，否则，愿承担相应的后果和法律责任。</w:t>
      </w:r>
    </w:p>
    <w:p w14:paraId="1098C2F5">
      <w:pPr>
        <w:ind w:firstLine="420" w:firstLineChars="200"/>
        <w:rPr>
          <w:rFonts w:ascii="宋体" w:hAnsi="宋体" w:cs="宋体"/>
          <w:color w:val="000000" w:themeColor="text1"/>
          <w:szCs w:val="21"/>
          <w14:textFill>
            <w14:solidFill>
              <w14:schemeClr w14:val="tx1"/>
            </w14:solidFill>
          </w14:textFill>
        </w:rPr>
      </w:pPr>
    </w:p>
    <w:p w14:paraId="322F91C5">
      <w:pPr>
        <w:rPr>
          <w:rFonts w:ascii="宋体" w:hAnsi="宋体" w:cs="宋体"/>
          <w:color w:val="000000" w:themeColor="text1"/>
          <w:szCs w:val="21"/>
          <w14:textFill>
            <w14:solidFill>
              <w14:schemeClr w14:val="tx1"/>
            </w14:solidFill>
          </w14:textFill>
        </w:rPr>
      </w:pPr>
    </w:p>
    <w:p w14:paraId="5046BF3E">
      <w:pPr>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投标人名称（盖章）：</w:t>
      </w:r>
    </w:p>
    <w:p w14:paraId="6CA12882">
      <w:pPr>
        <w:rPr>
          <w:rFonts w:ascii="宋体" w:hAnsi="宋体" w:cs="宋体"/>
          <w:color w:val="000000" w:themeColor="text1"/>
          <w:szCs w:val="21"/>
          <w14:textFill>
            <w14:solidFill>
              <w14:schemeClr w14:val="tx1"/>
            </w14:solidFill>
          </w14:textFill>
        </w:rPr>
      </w:pPr>
    </w:p>
    <w:p w14:paraId="2C924155">
      <w:pPr>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3ACBB68D">
      <w:pPr>
        <w:rPr>
          <w:color w:val="000000" w:themeColor="text1"/>
          <w14:textFill>
            <w14:solidFill>
              <w14:schemeClr w14:val="tx1"/>
            </w14:solidFill>
          </w14:textFill>
        </w:rPr>
      </w:pPr>
    </w:p>
    <w:p w14:paraId="49043732">
      <w:pPr>
        <w:rPr>
          <w:rFonts w:ascii="宋体" w:hAnsi="宋体"/>
          <w:color w:val="000000" w:themeColor="text1"/>
          <w:szCs w:val="21"/>
          <w14:textFill>
            <w14:solidFill>
              <w14:schemeClr w14:val="tx1"/>
            </w14:solidFill>
          </w14:textFill>
        </w:rPr>
      </w:pPr>
    </w:p>
    <w:p w14:paraId="00E4A630">
      <w:pPr>
        <w:pStyle w:val="11"/>
        <w:rPr>
          <w:color w:val="000000" w:themeColor="text1"/>
          <w:sz w:val="21"/>
          <w:szCs w:val="21"/>
          <w14:textFill>
            <w14:solidFill>
              <w14:schemeClr w14:val="tx1"/>
            </w14:solidFill>
          </w14:textFill>
        </w:rPr>
      </w:pPr>
    </w:p>
    <w:p w14:paraId="416D34E1">
      <w:pPr>
        <w:rPr>
          <w:rFonts w:ascii="宋体" w:hAnsi="宋体"/>
          <w:color w:val="000000" w:themeColor="text1"/>
          <w:szCs w:val="21"/>
          <w14:textFill>
            <w14:solidFill>
              <w14:schemeClr w14:val="tx1"/>
            </w14:solidFill>
          </w14:textFill>
        </w:rPr>
      </w:pPr>
    </w:p>
    <w:p w14:paraId="55AC9BD8">
      <w:pPr>
        <w:pStyle w:val="11"/>
        <w:rPr>
          <w:color w:val="000000" w:themeColor="text1"/>
          <w:sz w:val="21"/>
          <w:szCs w:val="21"/>
          <w14:textFill>
            <w14:solidFill>
              <w14:schemeClr w14:val="tx1"/>
            </w14:solidFill>
          </w14:textFill>
        </w:rPr>
      </w:pPr>
    </w:p>
    <w:p w14:paraId="0D602933">
      <w:pPr>
        <w:rPr>
          <w:rFonts w:ascii="宋体" w:hAnsi="宋体"/>
          <w:color w:val="000000" w:themeColor="text1"/>
          <w:szCs w:val="21"/>
          <w14:textFill>
            <w14:solidFill>
              <w14:schemeClr w14:val="tx1"/>
            </w14:solidFill>
          </w14:textFill>
        </w:rPr>
      </w:pPr>
    </w:p>
    <w:p w14:paraId="0184ECBD">
      <w:pPr>
        <w:pStyle w:val="11"/>
        <w:rPr>
          <w:color w:val="000000" w:themeColor="text1"/>
          <w:sz w:val="21"/>
          <w:szCs w:val="21"/>
          <w14:textFill>
            <w14:solidFill>
              <w14:schemeClr w14:val="tx1"/>
            </w14:solidFill>
          </w14:textFill>
        </w:rPr>
      </w:pPr>
    </w:p>
    <w:p w14:paraId="17810503">
      <w:pPr>
        <w:rPr>
          <w:rFonts w:ascii="宋体" w:hAnsi="宋体"/>
          <w:color w:val="000000" w:themeColor="text1"/>
          <w:szCs w:val="21"/>
          <w14:textFill>
            <w14:solidFill>
              <w14:schemeClr w14:val="tx1"/>
            </w14:solidFill>
          </w14:textFill>
        </w:rPr>
      </w:pPr>
    </w:p>
    <w:p w14:paraId="136D8F3F">
      <w:pPr>
        <w:pStyle w:val="11"/>
        <w:rPr>
          <w:color w:val="000000" w:themeColor="text1"/>
          <w:sz w:val="21"/>
          <w:szCs w:val="21"/>
          <w14:textFill>
            <w14:solidFill>
              <w14:schemeClr w14:val="tx1"/>
            </w14:solidFill>
          </w14:textFill>
        </w:rPr>
      </w:pPr>
    </w:p>
    <w:p w14:paraId="1C160135">
      <w:pPr>
        <w:rPr>
          <w:rFonts w:ascii="宋体" w:hAnsi="宋体"/>
          <w:color w:val="000000" w:themeColor="text1"/>
          <w:szCs w:val="21"/>
          <w14:textFill>
            <w14:solidFill>
              <w14:schemeClr w14:val="tx1"/>
            </w14:solidFill>
          </w14:textFill>
        </w:rPr>
      </w:pPr>
    </w:p>
    <w:p w14:paraId="3BD4D72D">
      <w:pPr>
        <w:pStyle w:val="11"/>
        <w:rPr>
          <w:color w:val="000000" w:themeColor="text1"/>
          <w:sz w:val="21"/>
          <w:szCs w:val="21"/>
          <w14:textFill>
            <w14:solidFill>
              <w14:schemeClr w14:val="tx1"/>
            </w14:solidFill>
          </w14:textFill>
        </w:rPr>
      </w:pPr>
    </w:p>
    <w:p w14:paraId="16F4496F">
      <w:pPr>
        <w:rPr>
          <w:color w:val="000000" w:themeColor="text1"/>
          <w14:textFill>
            <w14:solidFill>
              <w14:schemeClr w14:val="tx1"/>
            </w14:solidFill>
          </w14:textFill>
        </w:rPr>
      </w:pPr>
    </w:p>
    <w:p w14:paraId="1AEE0769">
      <w:pPr>
        <w:pStyle w:val="5"/>
        <w:widowControl w:val="0"/>
        <w:overflowPunct w:val="0"/>
        <w:spacing w:line="240" w:lineRule="auto"/>
        <w:rPr>
          <w:rFonts w:ascii="楷体_GB2312" w:eastAsia="楷体_GB2312"/>
          <w:color w:val="000000" w:themeColor="text1"/>
          <w14:textFill>
            <w14:solidFill>
              <w14:schemeClr w14:val="tx1"/>
            </w14:solidFill>
          </w14:textFill>
        </w:rPr>
      </w:pPr>
      <w:bookmarkStart w:id="267" w:name="_Toc12099"/>
      <w:r>
        <w:rPr>
          <w:rFonts w:hint="eastAsia" w:ascii="宋体" w:hAnsi="宋体"/>
          <w:color w:val="000000" w:themeColor="text1"/>
          <w:sz w:val="21"/>
          <w:szCs w:val="21"/>
          <w14:textFill>
            <w14:solidFill>
              <w14:schemeClr w14:val="tx1"/>
            </w14:solidFill>
          </w14:textFill>
        </w:rPr>
        <w:t>附件</w:t>
      </w:r>
      <w:r>
        <w:rPr>
          <w:rFonts w:hint="eastAsia" w:ascii="宋体" w:hAnsi="宋体"/>
          <w:color w:val="000000" w:themeColor="text1"/>
          <w:sz w:val="21"/>
          <w:szCs w:val="21"/>
          <w:lang w:val="en-US" w:eastAsia="zh-CN"/>
          <w14:textFill>
            <w14:solidFill>
              <w14:schemeClr w14:val="tx1"/>
            </w14:solidFill>
          </w14:textFill>
        </w:rPr>
        <w:t>11</w:t>
      </w:r>
      <w:r>
        <w:rPr>
          <w:rFonts w:hint="eastAsia" w:ascii="宋体" w:hAnsi="宋体"/>
          <w:color w:val="000000" w:themeColor="text1"/>
          <w:sz w:val="21"/>
          <w:szCs w:val="21"/>
          <w14:textFill>
            <w14:solidFill>
              <w14:schemeClr w14:val="tx1"/>
            </w14:solidFill>
          </w14:textFill>
        </w:rPr>
        <w:t>.承诺书格式</w:t>
      </w:r>
      <w:bookmarkEnd w:id="267"/>
    </w:p>
    <w:p w14:paraId="0D5BE669">
      <w:pPr>
        <w:jc w:val="center"/>
        <w:rPr>
          <w:rFonts w:hint="eastAsia" w:ascii="黑体" w:eastAsia="黑体"/>
          <w:color w:val="000000" w:themeColor="text1"/>
          <w:sz w:val="28"/>
          <w:szCs w:val="28"/>
          <w:lang w:eastAsia="zh-CN"/>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承诺书</w:t>
      </w:r>
      <w:r>
        <w:rPr>
          <w:rFonts w:hint="eastAsia" w:ascii="黑体" w:eastAsia="黑体"/>
          <w:color w:val="000000" w:themeColor="text1"/>
          <w:sz w:val="28"/>
          <w:szCs w:val="28"/>
          <w:lang w:eastAsia="zh-CN"/>
          <w14:textFill>
            <w14:solidFill>
              <w14:schemeClr w14:val="tx1"/>
            </w14:solidFill>
          </w14:textFill>
        </w:rPr>
        <w:t>（一）</w:t>
      </w:r>
    </w:p>
    <w:p w14:paraId="3694F0A7">
      <w:pPr>
        <w:pStyle w:val="46"/>
        <w:spacing w:line="420" w:lineRule="atLeast"/>
        <w:ind w:firstLine="0" w:firstLineChars="0"/>
        <w:rPr>
          <w:rFonts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致</w:t>
      </w:r>
      <w:r>
        <w:rPr>
          <w:rFonts w:hint="eastAsia" w:ascii="宋体" w:eastAsia="宋体"/>
          <w:color w:val="000000" w:themeColor="text1"/>
          <w:sz w:val="21"/>
          <w:szCs w:val="21"/>
          <w14:textFill>
            <w14:solidFill>
              <w14:schemeClr w14:val="tx1"/>
            </w14:solidFill>
          </w14:textFill>
        </w:rPr>
        <w:t>广州宏达工程顾问集团有限公司</w:t>
      </w:r>
      <w:r>
        <w:rPr>
          <w:rFonts w:hint="eastAsia" w:ascii="宋体" w:eastAsia="宋体" w:cs="宋体"/>
          <w:color w:val="000000" w:themeColor="text1"/>
          <w:sz w:val="21"/>
          <w:szCs w:val="21"/>
          <w14:textFill>
            <w14:solidFill>
              <w14:schemeClr w14:val="tx1"/>
            </w14:solidFill>
          </w14:textFill>
        </w:rPr>
        <w:t>：</w:t>
      </w:r>
    </w:p>
    <w:p w14:paraId="27382FF7">
      <w:pPr>
        <w:jc w:val="center"/>
        <w:rPr>
          <w:rFonts w:ascii="宋体" w:hAnsi="宋体" w:cs="宋体"/>
          <w:color w:val="000000" w:themeColor="text1"/>
          <w:szCs w:val="21"/>
          <w14:textFill>
            <w14:solidFill>
              <w14:schemeClr w14:val="tx1"/>
            </w14:solidFill>
          </w14:textFill>
        </w:rPr>
      </w:pPr>
    </w:p>
    <w:p w14:paraId="0D748458">
      <w:pPr>
        <w:pStyle w:val="46"/>
        <w:spacing w:line="420" w:lineRule="exact"/>
        <w:ind w:firstLine="433"/>
        <w:rPr>
          <w:rFonts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我方已完整阅读了</w:t>
      </w:r>
      <w:r>
        <w:rPr>
          <w:rFonts w:hint="eastAsia" w:ascii="宋体" w:eastAsia="宋体" w:cs="宋体"/>
          <w:color w:val="000000" w:themeColor="text1"/>
          <w:sz w:val="21"/>
          <w:szCs w:val="21"/>
          <w:u w:val="single"/>
          <w14:textFill>
            <w14:solidFill>
              <w14:schemeClr w14:val="tx1"/>
            </w14:solidFill>
          </w14:textFill>
        </w:rPr>
        <w:t xml:space="preserve">  （项目名称）     </w:t>
      </w:r>
      <w:r>
        <w:rPr>
          <w:rFonts w:hint="eastAsia" w:ascii="宋体" w:eastAsia="宋体" w:cs="宋体"/>
          <w:color w:val="000000" w:themeColor="text1"/>
          <w:sz w:val="21"/>
          <w:szCs w:val="21"/>
          <w14:textFill>
            <w14:solidFill>
              <w14:schemeClr w14:val="tx1"/>
            </w14:solidFill>
          </w14:textFill>
        </w:rPr>
        <w:t>项目（项目编号：</w:t>
      </w:r>
      <w:r>
        <w:rPr>
          <w:rFonts w:hint="eastAsia" w:ascii="宋体" w:eastAsia="宋体" w:cs="宋体"/>
          <w:color w:val="000000" w:themeColor="text1"/>
          <w:sz w:val="21"/>
          <w:szCs w:val="21"/>
          <w:u w:val="single"/>
          <w14:textFill>
            <w14:solidFill>
              <w14:schemeClr w14:val="tx1"/>
            </w14:solidFill>
          </w14:textFill>
        </w:rPr>
        <w:t xml:space="preserve">            </w:t>
      </w:r>
      <w:r>
        <w:rPr>
          <w:rFonts w:hint="eastAsia" w:ascii="宋体" w:eastAsia="宋体" w:cs="宋体"/>
          <w:color w:val="000000" w:themeColor="text1"/>
          <w:sz w:val="21"/>
          <w:szCs w:val="21"/>
          <w14:textFill>
            <w14:solidFill>
              <w14:schemeClr w14:val="tx1"/>
            </w14:solidFill>
          </w14:textFill>
        </w:rPr>
        <w:t>）采购文件的所有内容（包括澄清，以及所有已提供的参考资料和有关附件），并完全理解上述文件所表达的意思，该项目递交投标文件时间截止后，我方承诺不再对上述文件内容有异议。</w:t>
      </w:r>
      <w:r>
        <w:rPr>
          <w:rFonts w:hint="eastAsia" w:ascii="宋体" w:eastAsia="宋体" w:cs="宋体"/>
          <w:color w:val="000000" w:themeColor="text1"/>
          <w:sz w:val="21"/>
          <w:szCs w:val="21"/>
          <w14:textFill>
            <w14:solidFill>
              <w14:schemeClr w14:val="tx1"/>
            </w14:solidFill>
          </w14:textFill>
        </w:rPr>
        <w:cr/>
      </w:r>
    </w:p>
    <w:p w14:paraId="42D58497">
      <w:pPr>
        <w:pStyle w:val="46"/>
        <w:spacing w:line="420" w:lineRule="exact"/>
        <w:ind w:firstLine="433"/>
        <w:rPr>
          <w:rFonts w:ascii="宋体" w:eastAsia="宋体" w:cs="宋体"/>
          <w:color w:val="000000" w:themeColor="text1"/>
          <w:sz w:val="21"/>
          <w:szCs w:val="21"/>
          <w14:textFill>
            <w14:solidFill>
              <w14:schemeClr w14:val="tx1"/>
            </w14:solidFill>
          </w14:textFill>
        </w:rPr>
      </w:pPr>
    </w:p>
    <w:p w14:paraId="6B773673">
      <w:pPr>
        <w:ind w:right="561"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投标人名称（加盖公章）：</w:t>
      </w:r>
    </w:p>
    <w:p w14:paraId="63351B82">
      <w:pPr>
        <w:ind w:right="561"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法定代表人或被授权人（签名或盖私章）：</w:t>
      </w:r>
    </w:p>
    <w:p w14:paraId="1973B560">
      <w:pPr>
        <w:ind w:right="561"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w:t>
      </w:r>
    </w:p>
    <w:p w14:paraId="0525AA2E">
      <w:pPr>
        <w:rPr>
          <w:color w:val="000000" w:themeColor="text1"/>
          <w14:textFill>
            <w14:solidFill>
              <w14:schemeClr w14:val="tx1"/>
            </w14:solidFill>
          </w14:textFill>
        </w:rPr>
      </w:pPr>
    </w:p>
    <w:p w14:paraId="5A0BCAB4">
      <w:pP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br w:type="page"/>
      </w:r>
    </w:p>
    <w:p w14:paraId="4C5AA78C">
      <w:pPr>
        <w:jc w:val="center"/>
        <w:rPr>
          <w:rFonts w:hint="eastAsia" w:ascii="黑体" w:eastAsia="黑体"/>
          <w:color w:val="000000" w:themeColor="text1"/>
          <w:sz w:val="28"/>
          <w:szCs w:val="28"/>
          <w:lang w:eastAsia="zh-CN"/>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承诺书</w:t>
      </w:r>
      <w:r>
        <w:rPr>
          <w:rFonts w:hint="eastAsia" w:ascii="黑体" w:eastAsia="黑体"/>
          <w:color w:val="000000" w:themeColor="text1"/>
          <w:sz w:val="28"/>
          <w:szCs w:val="28"/>
          <w:lang w:eastAsia="zh-CN"/>
          <w14:textFill>
            <w14:solidFill>
              <w14:schemeClr w14:val="tx1"/>
            </w14:solidFill>
          </w14:textFill>
        </w:rPr>
        <w:t>（二）</w:t>
      </w:r>
    </w:p>
    <w:p w14:paraId="203149F6">
      <w:pPr>
        <w:pStyle w:val="46"/>
        <w:spacing w:line="420" w:lineRule="atLeast"/>
        <w:ind w:firstLine="0" w:firstLineChars="0"/>
        <w:rPr>
          <w:rFonts w:ascii="宋体" w:hAnsi="宋体" w:cs="宋体"/>
          <w:color w:val="000000" w:themeColor="text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致</w:t>
      </w:r>
      <w:r>
        <w:rPr>
          <w:rFonts w:hint="eastAsia" w:ascii="宋体" w:eastAsia="宋体"/>
          <w:color w:val="000000" w:themeColor="text1"/>
          <w:sz w:val="21"/>
          <w:szCs w:val="21"/>
          <w14:textFill>
            <w14:solidFill>
              <w14:schemeClr w14:val="tx1"/>
            </w14:solidFill>
          </w14:textFill>
        </w:rPr>
        <w:t>广州宏达工程顾问集团有限公司</w:t>
      </w:r>
      <w:r>
        <w:rPr>
          <w:rFonts w:hint="eastAsia" w:ascii="宋体" w:eastAsia="宋体" w:cs="宋体"/>
          <w:color w:val="000000" w:themeColor="text1"/>
          <w:sz w:val="21"/>
          <w:szCs w:val="21"/>
          <w14:textFill>
            <w14:solidFill>
              <w14:schemeClr w14:val="tx1"/>
            </w14:solidFill>
          </w14:textFill>
        </w:rPr>
        <w:t>：</w:t>
      </w:r>
    </w:p>
    <w:p w14:paraId="558EAC14">
      <w:pPr>
        <w:pStyle w:val="46"/>
        <w:spacing w:line="420" w:lineRule="exact"/>
        <w:ind w:firstLine="433"/>
        <w:rPr>
          <w:rFonts w:hint="eastAsia"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我方已完整阅读了</w:t>
      </w:r>
      <w:r>
        <w:rPr>
          <w:rFonts w:hint="eastAsia" w:ascii="宋体" w:eastAsia="宋体" w:cs="宋体"/>
          <w:color w:val="000000" w:themeColor="text1"/>
          <w:sz w:val="21"/>
          <w:szCs w:val="21"/>
          <w:u w:val="single"/>
          <w14:textFill>
            <w14:solidFill>
              <w14:schemeClr w14:val="tx1"/>
            </w14:solidFill>
          </w14:textFill>
        </w:rPr>
        <w:t xml:space="preserve">  （项目名称）     </w:t>
      </w:r>
      <w:r>
        <w:rPr>
          <w:rFonts w:hint="eastAsia" w:ascii="宋体" w:eastAsia="宋体" w:cs="宋体"/>
          <w:color w:val="000000" w:themeColor="text1"/>
          <w:sz w:val="21"/>
          <w:szCs w:val="21"/>
          <w14:textFill>
            <w14:solidFill>
              <w14:schemeClr w14:val="tx1"/>
            </w14:solidFill>
          </w14:textFill>
        </w:rPr>
        <w:t>项目（项目编号：</w:t>
      </w:r>
      <w:r>
        <w:rPr>
          <w:rFonts w:hint="eastAsia" w:ascii="宋体" w:eastAsia="宋体" w:cs="宋体"/>
          <w:color w:val="000000" w:themeColor="text1"/>
          <w:sz w:val="21"/>
          <w:szCs w:val="21"/>
          <w:u w:val="single"/>
          <w14:textFill>
            <w14:solidFill>
              <w14:schemeClr w14:val="tx1"/>
            </w14:solidFill>
          </w14:textFill>
        </w:rPr>
        <w:t xml:space="preserve">            </w:t>
      </w:r>
      <w:r>
        <w:rPr>
          <w:rFonts w:hint="eastAsia" w:ascii="宋体" w:eastAsia="宋体" w:cs="宋体"/>
          <w:color w:val="000000" w:themeColor="text1"/>
          <w:sz w:val="21"/>
          <w:szCs w:val="21"/>
          <w14:textFill>
            <w14:solidFill>
              <w14:schemeClr w14:val="tx1"/>
            </w14:solidFill>
          </w14:textFill>
        </w:rPr>
        <w:t>）采购文件的所有内容（包括澄清，以及所有已提供的参考资料和有关附件），我方承诺</w:t>
      </w:r>
      <w:r>
        <w:rPr>
          <w:rFonts w:hint="eastAsia" w:ascii="宋体" w:eastAsia="宋体" w:cs="宋体"/>
          <w:color w:val="000000" w:themeColor="text1"/>
          <w:sz w:val="21"/>
          <w:szCs w:val="21"/>
          <w:lang w:eastAsia="zh-CN"/>
          <w14:textFill>
            <w14:solidFill>
              <w14:schemeClr w14:val="tx1"/>
            </w14:solidFill>
          </w14:textFill>
        </w:rPr>
        <w:t>：</w:t>
      </w:r>
      <w:r>
        <w:rPr>
          <w:rFonts w:hint="eastAsia" w:ascii="宋体" w:eastAsia="宋体" w:cs="宋体"/>
          <w:color w:val="000000" w:themeColor="text1"/>
          <w:sz w:val="21"/>
          <w:szCs w:val="21"/>
          <w14:textFill>
            <w14:solidFill>
              <w14:schemeClr w14:val="tx1"/>
            </w14:solidFill>
          </w14:textFill>
        </w:rPr>
        <w:t>严格按照项目进度计划交付，确保一期在2026年12月底前完成全集团上线试运行。</w:t>
      </w:r>
    </w:p>
    <w:p w14:paraId="5D7E212D">
      <w:pPr>
        <w:pStyle w:val="46"/>
        <w:spacing w:line="420" w:lineRule="exact"/>
        <w:ind w:firstLine="433"/>
        <w:rPr>
          <w:rFonts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cr/>
      </w:r>
    </w:p>
    <w:p w14:paraId="5054A4D7">
      <w:pPr>
        <w:pStyle w:val="46"/>
        <w:spacing w:line="420" w:lineRule="exact"/>
        <w:ind w:firstLine="433"/>
        <w:rPr>
          <w:rFonts w:ascii="宋体" w:eastAsia="宋体" w:cs="宋体"/>
          <w:color w:val="000000" w:themeColor="text1"/>
          <w:sz w:val="21"/>
          <w:szCs w:val="21"/>
          <w14:textFill>
            <w14:solidFill>
              <w14:schemeClr w14:val="tx1"/>
            </w14:solidFill>
          </w14:textFill>
        </w:rPr>
      </w:pPr>
    </w:p>
    <w:p w14:paraId="349B2B0E">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投标人名称（加盖公章）：</w:t>
      </w:r>
    </w:p>
    <w:p w14:paraId="24595537">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法定代表人或被授权人（签名或盖私章）：</w:t>
      </w:r>
    </w:p>
    <w:p w14:paraId="69CB573F">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w:t>
      </w:r>
    </w:p>
    <w:p w14:paraId="077E2ED1">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br w:type="page"/>
      </w:r>
    </w:p>
    <w:p w14:paraId="2A6DD251">
      <w:pPr>
        <w:jc w:val="center"/>
        <w:rPr>
          <w:rFonts w:hint="eastAsia" w:ascii="黑体" w:eastAsia="黑体"/>
          <w:color w:val="000000" w:themeColor="text1"/>
          <w:sz w:val="28"/>
          <w:szCs w:val="28"/>
          <w:lang w:eastAsia="zh-CN"/>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承诺书</w:t>
      </w:r>
      <w:r>
        <w:rPr>
          <w:rFonts w:hint="eastAsia" w:ascii="黑体" w:eastAsia="黑体"/>
          <w:color w:val="000000" w:themeColor="text1"/>
          <w:sz w:val="28"/>
          <w:szCs w:val="28"/>
          <w:lang w:eastAsia="zh-CN"/>
          <w14:textFill>
            <w14:solidFill>
              <w14:schemeClr w14:val="tx1"/>
            </w14:solidFill>
          </w14:textFill>
        </w:rPr>
        <w:t>（三）</w:t>
      </w:r>
    </w:p>
    <w:p w14:paraId="534756BE">
      <w:pPr>
        <w:pStyle w:val="46"/>
        <w:spacing w:line="420" w:lineRule="atLeast"/>
        <w:ind w:firstLine="0" w:firstLineChars="0"/>
        <w:rPr>
          <w:rFonts w:ascii="宋体" w:hAnsi="宋体" w:cs="宋体"/>
          <w:color w:val="000000" w:themeColor="text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致</w:t>
      </w:r>
      <w:r>
        <w:rPr>
          <w:rFonts w:hint="eastAsia" w:ascii="宋体" w:eastAsia="宋体"/>
          <w:color w:val="000000" w:themeColor="text1"/>
          <w:sz w:val="21"/>
          <w:szCs w:val="21"/>
          <w14:textFill>
            <w14:solidFill>
              <w14:schemeClr w14:val="tx1"/>
            </w14:solidFill>
          </w14:textFill>
        </w:rPr>
        <w:t>广州宏达工程顾问集团有限公司</w:t>
      </w:r>
      <w:r>
        <w:rPr>
          <w:rFonts w:hint="eastAsia" w:ascii="宋体" w:eastAsia="宋体" w:cs="宋体"/>
          <w:color w:val="000000" w:themeColor="text1"/>
          <w:sz w:val="21"/>
          <w:szCs w:val="21"/>
          <w14:textFill>
            <w14:solidFill>
              <w14:schemeClr w14:val="tx1"/>
            </w14:solidFill>
          </w14:textFill>
        </w:rPr>
        <w:t>：</w:t>
      </w:r>
    </w:p>
    <w:p w14:paraId="33AFA7AE">
      <w:pPr>
        <w:pStyle w:val="46"/>
        <w:spacing w:line="420" w:lineRule="exact"/>
        <w:ind w:firstLine="433"/>
        <w:rPr>
          <w:rFonts w:hint="eastAsia"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我方已完整阅读了</w:t>
      </w:r>
      <w:r>
        <w:rPr>
          <w:rFonts w:hint="eastAsia" w:ascii="宋体" w:eastAsia="宋体" w:cs="宋体"/>
          <w:color w:val="000000" w:themeColor="text1"/>
          <w:sz w:val="21"/>
          <w:szCs w:val="21"/>
          <w:u w:val="single"/>
          <w14:textFill>
            <w14:solidFill>
              <w14:schemeClr w14:val="tx1"/>
            </w14:solidFill>
          </w14:textFill>
        </w:rPr>
        <w:t xml:space="preserve">  （项目名称）     </w:t>
      </w:r>
      <w:r>
        <w:rPr>
          <w:rFonts w:hint="eastAsia" w:ascii="宋体" w:eastAsia="宋体" w:cs="宋体"/>
          <w:color w:val="000000" w:themeColor="text1"/>
          <w:sz w:val="21"/>
          <w:szCs w:val="21"/>
          <w14:textFill>
            <w14:solidFill>
              <w14:schemeClr w14:val="tx1"/>
            </w14:solidFill>
          </w14:textFill>
        </w:rPr>
        <w:t>项目（项目编号：</w:t>
      </w:r>
      <w:r>
        <w:rPr>
          <w:rFonts w:hint="eastAsia" w:ascii="宋体" w:eastAsia="宋体" w:cs="宋体"/>
          <w:color w:val="000000" w:themeColor="text1"/>
          <w:sz w:val="21"/>
          <w:szCs w:val="21"/>
          <w:u w:val="single"/>
          <w14:textFill>
            <w14:solidFill>
              <w14:schemeClr w14:val="tx1"/>
            </w14:solidFill>
          </w14:textFill>
        </w:rPr>
        <w:t xml:space="preserve">            </w:t>
      </w:r>
      <w:r>
        <w:rPr>
          <w:rFonts w:hint="eastAsia" w:ascii="宋体" w:eastAsia="宋体" w:cs="宋体"/>
          <w:color w:val="000000" w:themeColor="text1"/>
          <w:sz w:val="21"/>
          <w:szCs w:val="21"/>
          <w14:textFill>
            <w14:solidFill>
              <w14:schemeClr w14:val="tx1"/>
            </w14:solidFill>
          </w14:textFill>
        </w:rPr>
        <w:t>）采购文件的所有内容（包括澄清，以及所有已提供的参考资料和有关附件），我方承诺</w:t>
      </w:r>
      <w:r>
        <w:rPr>
          <w:rFonts w:hint="eastAsia" w:ascii="宋体" w:eastAsia="宋体" w:cs="宋体"/>
          <w:color w:val="000000" w:themeColor="text1"/>
          <w:sz w:val="21"/>
          <w:szCs w:val="21"/>
          <w:lang w:eastAsia="zh-CN"/>
          <w14:textFill>
            <w14:solidFill>
              <w14:schemeClr w14:val="tx1"/>
            </w14:solidFill>
          </w14:textFill>
        </w:rPr>
        <w:t>：</w:t>
      </w:r>
      <w:r>
        <w:rPr>
          <w:rFonts w:hint="eastAsia" w:ascii="宋体" w:eastAsia="宋体" w:cs="宋体"/>
          <w:color w:val="000000" w:themeColor="text1"/>
          <w:sz w:val="21"/>
          <w:szCs w:val="21"/>
          <w14:textFill>
            <w14:solidFill>
              <w14:schemeClr w14:val="tx1"/>
            </w14:solidFill>
          </w14:textFill>
        </w:rPr>
        <w:t>提供需求对接、现场实施、系统测试、问题整改、操作培训全流程服务。</w:t>
      </w:r>
    </w:p>
    <w:p w14:paraId="18237546">
      <w:pPr>
        <w:pStyle w:val="46"/>
        <w:spacing w:line="420" w:lineRule="exact"/>
        <w:ind w:firstLine="433"/>
        <w:rPr>
          <w:rFonts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cr/>
      </w:r>
    </w:p>
    <w:p w14:paraId="0AF93B84">
      <w:pPr>
        <w:pStyle w:val="46"/>
        <w:spacing w:line="420" w:lineRule="exact"/>
        <w:ind w:firstLine="433"/>
        <w:rPr>
          <w:rFonts w:ascii="宋体" w:eastAsia="宋体" w:cs="宋体"/>
          <w:color w:val="000000" w:themeColor="text1"/>
          <w:sz w:val="21"/>
          <w:szCs w:val="21"/>
          <w14:textFill>
            <w14:solidFill>
              <w14:schemeClr w14:val="tx1"/>
            </w14:solidFill>
          </w14:textFill>
        </w:rPr>
      </w:pPr>
    </w:p>
    <w:p w14:paraId="315AC7E0">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投标人名称（加盖公章）：</w:t>
      </w:r>
    </w:p>
    <w:p w14:paraId="47571966">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法定代表人或被授权人（签名或盖私章）：</w:t>
      </w:r>
    </w:p>
    <w:p w14:paraId="4E844C33">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w:t>
      </w:r>
    </w:p>
    <w:p w14:paraId="7C06D616">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br w:type="page"/>
      </w:r>
    </w:p>
    <w:p w14:paraId="666ECF8D">
      <w:pPr>
        <w:jc w:val="center"/>
        <w:rPr>
          <w:rFonts w:hint="eastAsia" w:ascii="黑体" w:eastAsia="黑体"/>
          <w:color w:val="000000" w:themeColor="text1"/>
          <w:sz w:val="28"/>
          <w:szCs w:val="28"/>
          <w:lang w:eastAsia="zh-CN"/>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承诺书</w:t>
      </w:r>
      <w:r>
        <w:rPr>
          <w:rFonts w:hint="eastAsia" w:ascii="黑体" w:eastAsia="黑体"/>
          <w:color w:val="000000" w:themeColor="text1"/>
          <w:sz w:val="28"/>
          <w:szCs w:val="28"/>
          <w:lang w:eastAsia="zh-CN"/>
          <w14:textFill>
            <w14:solidFill>
              <w14:schemeClr w14:val="tx1"/>
            </w14:solidFill>
          </w14:textFill>
        </w:rPr>
        <w:t>（四）</w:t>
      </w:r>
    </w:p>
    <w:p w14:paraId="58D08B3C">
      <w:pPr>
        <w:pStyle w:val="46"/>
        <w:spacing w:line="420" w:lineRule="atLeast"/>
        <w:ind w:firstLine="0" w:firstLineChars="0"/>
        <w:rPr>
          <w:rFonts w:ascii="宋体" w:hAnsi="宋体" w:cs="宋体"/>
          <w:color w:val="000000" w:themeColor="text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致</w:t>
      </w:r>
      <w:r>
        <w:rPr>
          <w:rFonts w:hint="eastAsia" w:ascii="宋体" w:eastAsia="宋体"/>
          <w:color w:val="000000" w:themeColor="text1"/>
          <w:sz w:val="21"/>
          <w:szCs w:val="21"/>
          <w14:textFill>
            <w14:solidFill>
              <w14:schemeClr w14:val="tx1"/>
            </w14:solidFill>
          </w14:textFill>
        </w:rPr>
        <w:t>广州宏达工程顾问集团有限公司</w:t>
      </w:r>
      <w:r>
        <w:rPr>
          <w:rFonts w:hint="eastAsia" w:ascii="宋体" w:eastAsia="宋体" w:cs="宋体"/>
          <w:color w:val="000000" w:themeColor="text1"/>
          <w:sz w:val="21"/>
          <w:szCs w:val="21"/>
          <w14:textFill>
            <w14:solidFill>
              <w14:schemeClr w14:val="tx1"/>
            </w14:solidFill>
          </w14:textFill>
        </w:rPr>
        <w:t>：</w:t>
      </w:r>
    </w:p>
    <w:p w14:paraId="3D4DBE65">
      <w:pPr>
        <w:pStyle w:val="46"/>
        <w:spacing w:line="420" w:lineRule="exact"/>
        <w:ind w:firstLine="433"/>
        <w:rPr>
          <w:rFonts w:hint="eastAsia"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我方已完整阅读了</w:t>
      </w:r>
      <w:r>
        <w:rPr>
          <w:rFonts w:hint="eastAsia" w:ascii="宋体" w:eastAsia="宋体" w:cs="宋体"/>
          <w:color w:val="000000" w:themeColor="text1"/>
          <w:sz w:val="21"/>
          <w:szCs w:val="21"/>
          <w:u w:val="single"/>
          <w14:textFill>
            <w14:solidFill>
              <w14:schemeClr w14:val="tx1"/>
            </w14:solidFill>
          </w14:textFill>
        </w:rPr>
        <w:t xml:space="preserve">  （项目名称）     </w:t>
      </w:r>
      <w:r>
        <w:rPr>
          <w:rFonts w:hint="eastAsia" w:ascii="宋体" w:eastAsia="宋体" w:cs="宋体"/>
          <w:color w:val="000000" w:themeColor="text1"/>
          <w:sz w:val="21"/>
          <w:szCs w:val="21"/>
          <w14:textFill>
            <w14:solidFill>
              <w14:schemeClr w14:val="tx1"/>
            </w14:solidFill>
          </w14:textFill>
        </w:rPr>
        <w:t>项目（项目编号：</w:t>
      </w:r>
      <w:r>
        <w:rPr>
          <w:rFonts w:hint="eastAsia" w:ascii="宋体" w:eastAsia="宋体" w:cs="宋体"/>
          <w:color w:val="000000" w:themeColor="text1"/>
          <w:sz w:val="21"/>
          <w:szCs w:val="21"/>
          <w:u w:val="single"/>
          <w14:textFill>
            <w14:solidFill>
              <w14:schemeClr w14:val="tx1"/>
            </w14:solidFill>
          </w14:textFill>
        </w:rPr>
        <w:t xml:space="preserve">            </w:t>
      </w:r>
      <w:r>
        <w:rPr>
          <w:rFonts w:hint="eastAsia" w:ascii="宋体" w:eastAsia="宋体" w:cs="宋体"/>
          <w:color w:val="000000" w:themeColor="text1"/>
          <w:sz w:val="21"/>
          <w:szCs w:val="21"/>
          <w14:textFill>
            <w14:solidFill>
              <w14:schemeClr w14:val="tx1"/>
            </w14:solidFill>
          </w14:textFill>
        </w:rPr>
        <w:t>）采购文件的所有内容（包括澄清，以及所有已提供的参考资料和有关附件），我方承诺</w:t>
      </w:r>
      <w:r>
        <w:rPr>
          <w:rFonts w:hint="eastAsia" w:ascii="宋体" w:eastAsia="宋体" w:cs="宋体"/>
          <w:color w:val="000000" w:themeColor="text1"/>
          <w:sz w:val="21"/>
          <w:szCs w:val="21"/>
          <w:lang w:eastAsia="zh-CN"/>
          <w14:textFill>
            <w14:solidFill>
              <w14:schemeClr w14:val="tx1"/>
            </w14:solidFill>
          </w14:textFill>
        </w:rPr>
        <w:t>：</w:t>
      </w:r>
      <w:r>
        <w:rPr>
          <w:rFonts w:hint="eastAsia" w:ascii="宋体" w:eastAsia="宋体" w:cs="宋体"/>
          <w:color w:val="000000" w:themeColor="text1"/>
          <w:sz w:val="21"/>
          <w:szCs w:val="21"/>
          <w14:textFill>
            <w14:solidFill>
              <w14:schemeClr w14:val="tx1"/>
            </w14:solidFill>
          </w14:textFill>
        </w:rPr>
        <w:t>项目维护期：提供不少于1年免费运维服务，7×24小时技术响应。</w:t>
      </w:r>
    </w:p>
    <w:p w14:paraId="4F0F2EA0">
      <w:pPr>
        <w:pStyle w:val="46"/>
        <w:spacing w:line="420" w:lineRule="exact"/>
        <w:ind w:firstLine="433"/>
        <w:rPr>
          <w:rFonts w:ascii="宋体" w:eastAsia="宋体" w:cs="宋体"/>
          <w:color w:val="000000" w:themeColor="text1"/>
          <w:sz w:val="21"/>
          <w:szCs w:val="21"/>
          <w14:textFill>
            <w14:solidFill>
              <w14:schemeClr w14:val="tx1"/>
            </w14:solidFill>
          </w14:textFill>
        </w:rPr>
      </w:pPr>
    </w:p>
    <w:p w14:paraId="41E8C19D">
      <w:pPr>
        <w:pStyle w:val="46"/>
        <w:spacing w:line="420" w:lineRule="exact"/>
        <w:ind w:firstLine="433"/>
        <w:rPr>
          <w:rFonts w:ascii="宋体" w:eastAsia="宋体" w:cs="宋体"/>
          <w:color w:val="000000" w:themeColor="text1"/>
          <w:sz w:val="21"/>
          <w:szCs w:val="21"/>
          <w14:textFill>
            <w14:solidFill>
              <w14:schemeClr w14:val="tx1"/>
            </w14:solidFill>
          </w14:textFill>
        </w:rPr>
      </w:pPr>
    </w:p>
    <w:p w14:paraId="5C0C16AF">
      <w:pPr>
        <w:pStyle w:val="46"/>
        <w:spacing w:line="420" w:lineRule="exact"/>
        <w:ind w:firstLine="433"/>
        <w:rPr>
          <w:rFonts w:ascii="宋体" w:eastAsia="宋体" w:cs="宋体"/>
          <w:color w:val="000000" w:themeColor="text1"/>
          <w:sz w:val="21"/>
          <w:szCs w:val="21"/>
          <w14:textFill>
            <w14:solidFill>
              <w14:schemeClr w14:val="tx1"/>
            </w14:solidFill>
          </w14:textFill>
        </w:rPr>
      </w:pPr>
    </w:p>
    <w:p w14:paraId="7D4209DD">
      <w:pPr>
        <w:pStyle w:val="46"/>
        <w:spacing w:line="420" w:lineRule="exact"/>
        <w:ind w:firstLine="433"/>
        <w:rPr>
          <w:rFonts w:ascii="宋体" w:eastAsia="宋体" w:cs="宋体"/>
          <w:color w:val="000000" w:themeColor="text1"/>
          <w:sz w:val="21"/>
          <w:szCs w:val="21"/>
          <w14:textFill>
            <w14:solidFill>
              <w14:schemeClr w14:val="tx1"/>
            </w14:solidFill>
          </w14:textFill>
        </w:rPr>
      </w:pPr>
    </w:p>
    <w:p w14:paraId="062989E2">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投标人名称（加盖公章）：</w:t>
      </w:r>
    </w:p>
    <w:p w14:paraId="629B9AB3">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法定代表人或被授权人（签名或盖私章）：</w:t>
      </w:r>
    </w:p>
    <w:p w14:paraId="26F28620">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w:t>
      </w:r>
      <w:r>
        <w:rPr>
          <w:rFonts w:hint="eastAsia" w:ascii="宋体" w:hAnsi="宋体" w:cs="宋体"/>
          <w:color w:val="000000" w:themeColor="text1"/>
          <w:szCs w:val="21"/>
          <w14:textFill>
            <w14:solidFill>
              <w14:schemeClr w14:val="tx1"/>
            </w14:solidFill>
          </w14:textFill>
        </w:rPr>
        <w:br w:type="page"/>
      </w:r>
    </w:p>
    <w:p w14:paraId="5483311D">
      <w:pPr>
        <w:jc w:val="center"/>
        <w:rPr>
          <w:rFonts w:hint="eastAsia" w:ascii="黑体" w:eastAsia="黑体"/>
          <w:color w:val="000000" w:themeColor="text1"/>
          <w:sz w:val="28"/>
          <w:szCs w:val="28"/>
          <w:lang w:eastAsia="zh-CN"/>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承诺书</w:t>
      </w:r>
      <w:r>
        <w:rPr>
          <w:rFonts w:hint="eastAsia" w:ascii="黑体" w:eastAsia="黑体"/>
          <w:color w:val="000000" w:themeColor="text1"/>
          <w:sz w:val="28"/>
          <w:szCs w:val="28"/>
          <w:lang w:eastAsia="zh-CN"/>
          <w14:textFill>
            <w14:solidFill>
              <w14:schemeClr w14:val="tx1"/>
            </w14:solidFill>
          </w14:textFill>
        </w:rPr>
        <w:t>（五）</w:t>
      </w:r>
    </w:p>
    <w:p w14:paraId="5F63A309">
      <w:pPr>
        <w:pStyle w:val="46"/>
        <w:spacing w:line="420" w:lineRule="atLeast"/>
        <w:ind w:firstLine="0" w:firstLineChars="0"/>
        <w:rPr>
          <w:rFonts w:ascii="宋体" w:hAnsi="宋体" w:cs="宋体"/>
          <w:color w:val="000000" w:themeColor="text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致</w:t>
      </w:r>
      <w:r>
        <w:rPr>
          <w:rFonts w:hint="eastAsia" w:ascii="宋体" w:eastAsia="宋体"/>
          <w:color w:val="000000" w:themeColor="text1"/>
          <w:sz w:val="21"/>
          <w:szCs w:val="21"/>
          <w14:textFill>
            <w14:solidFill>
              <w14:schemeClr w14:val="tx1"/>
            </w14:solidFill>
          </w14:textFill>
        </w:rPr>
        <w:t>广州宏达工程顾问集团有限公司</w:t>
      </w:r>
      <w:r>
        <w:rPr>
          <w:rFonts w:hint="eastAsia" w:ascii="宋体" w:eastAsia="宋体" w:cs="宋体"/>
          <w:color w:val="000000" w:themeColor="text1"/>
          <w:sz w:val="21"/>
          <w:szCs w:val="21"/>
          <w14:textFill>
            <w14:solidFill>
              <w14:schemeClr w14:val="tx1"/>
            </w14:solidFill>
          </w14:textFill>
        </w:rPr>
        <w:t>：</w:t>
      </w:r>
    </w:p>
    <w:p w14:paraId="5B126DC7">
      <w:pPr>
        <w:pStyle w:val="46"/>
        <w:spacing w:line="420" w:lineRule="exact"/>
        <w:ind w:firstLine="433"/>
        <w:rPr>
          <w:rFonts w:hint="eastAsia"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我方已完整阅读了</w:t>
      </w:r>
      <w:r>
        <w:rPr>
          <w:rFonts w:hint="eastAsia" w:ascii="宋体" w:eastAsia="宋体" w:cs="宋体"/>
          <w:color w:val="000000" w:themeColor="text1"/>
          <w:sz w:val="21"/>
          <w:szCs w:val="21"/>
          <w:u w:val="single"/>
          <w14:textFill>
            <w14:solidFill>
              <w14:schemeClr w14:val="tx1"/>
            </w14:solidFill>
          </w14:textFill>
        </w:rPr>
        <w:t xml:space="preserve">  （项目名称）     </w:t>
      </w:r>
      <w:r>
        <w:rPr>
          <w:rFonts w:hint="eastAsia" w:ascii="宋体" w:eastAsia="宋体" w:cs="宋体"/>
          <w:color w:val="000000" w:themeColor="text1"/>
          <w:sz w:val="21"/>
          <w:szCs w:val="21"/>
          <w14:textFill>
            <w14:solidFill>
              <w14:schemeClr w14:val="tx1"/>
            </w14:solidFill>
          </w14:textFill>
        </w:rPr>
        <w:t>项目（项目编号：</w:t>
      </w:r>
      <w:r>
        <w:rPr>
          <w:rFonts w:hint="eastAsia" w:ascii="宋体" w:eastAsia="宋体" w:cs="宋体"/>
          <w:color w:val="000000" w:themeColor="text1"/>
          <w:sz w:val="21"/>
          <w:szCs w:val="21"/>
          <w:u w:val="single"/>
          <w14:textFill>
            <w14:solidFill>
              <w14:schemeClr w14:val="tx1"/>
            </w14:solidFill>
          </w14:textFill>
        </w:rPr>
        <w:t xml:space="preserve">            </w:t>
      </w:r>
      <w:r>
        <w:rPr>
          <w:rFonts w:hint="eastAsia" w:ascii="宋体" w:eastAsia="宋体" w:cs="宋体"/>
          <w:color w:val="000000" w:themeColor="text1"/>
          <w:sz w:val="21"/>
          <w:szCs w:val="21"/>
          <w14:textFill>
            <w14:solidFill>
              <w14:schemeClr w14:val="tx1"/>
            </w14:solidFill>
          </w14:textFill>
        </w:rPr>
        <w:t>）采购文件的所有内容（包括澄清，以及所有已提供的参考资料和有关附件），我方承诺</w:t>
      </w:r>
      <w:r>
        <w:rPr>
          <w:rFonts w:hint="eastAsia" w:ascii="宋体" w:eastAsia="宋体" w:cs="宋体"/>
          <w:color w:val="000000" w:themeColor="text1"/>
          <w:sz w:val="21"/>
          <w:szCs w:val="21"/>
          <w:lang w:eastAsia="zh-CN"/>
          <w14:textFill>
            <w14:solidFill>
              <w14:schemeClr w14:val="tx1"/>
            </w14:solidFill>
          </w14:textFill>
        </w:rPr>
        <w:t>：</w:t>
      </w:r>
      <w:r>
        <w:rPr>
          <w:rFonts w:hint="eastAsia" w:ascii="宋体" w:eastAsia="宋体" w:cs="宋体"/>
          <w:color w:val="000000" w:themeColor="text1"/>
          <w:sz w:val="21"/>
          <w:szCs w:val="21"/>
          <w14:textFill>
            <w14:solidFill>
              <w14:schemeClr w14:val="tx1"/>
            </w14:solidFill>
          </w14:textFill>
        </w:rPr>
        <w:t>配合完成二期迭代升级规划与建设。</w:t>
      </w:r>
    </w:p>
    <w:p w14:paraId="6FAE0404">
      <w:pPr>
        <w:pStyle w:val="46"/>
        <w:spacing w:line="420" w:lineRule="exact"/>
        <w:ind w:firstLine="433"/>
        <w:rPr>
          <w:rFonts w:ascii="宋体" w:eastAsia="宋体" w:cs="宋体"/>
          <w:color w:val="000000" w:themeColor="text1"/>
          <w:sz w:val="21"/>
          <w:szCs w:val="21"/>
          <w14:textFill>
            <w14:solidFill>
              <w14:schemeClr w14:val="tx1"/>
            </w14:solidFill>
          </w14:textFill>
        </w:rPr>
      </w:pPr>
    </w:p>
    <w:p w14:paraId="0EAACFB4">
      <w:pPr>
        <w:pStyle w:val="46"/>
        <w:spacing w:line="420" w:lineRule="exact"/>
        <w:ind w:firstLine="433"/>
        <w:rPr>
          <w:rFonts w:ascii="宋体" w:eastAsia="宋体" w:cs="宋体"/>
          <w:color w:val="000000" w:themeColor="text1"/>
          <w:sz w:val="21"/>
          <w:szCs w:val="21"/>
          <w14:textFill>
            <w14:solidFill>
              <w14:schemeClr w14:val="tx1"/>
            </w14:solidFill>
          </w14:textFill>
        </w:rPr>
      </w:pPr>
    </w:p>
    <w:p w14:paraId="62546D38">
      <w:pPr>
        <w:pStyle w:val="46"/>
        <w:spacing w:line="420" w:lineRule="exact"/>
        <w:ind w:firstLine="433"/>
        <w:rPr>
          <w:rFonts w:ascii="宋体" w:eastAsia="宋体" w:cs="宋体"/>
          <w:color w:val="000000" w:themeColor="text1"/>
          <w:sz w:val="21"/>
          <w:szCs w:val="21"/>
          <w14:textFill>
            <w14:solidFill>
              <w14:schemeClr w14:val="tx1"/>
            </w14:solidFill>
          </w14:textFill>
        </w:rPr>
      </w:pPr>
    </w:p>
    <w:p w14:paraId="6C8A90BC">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投标人名称（加盖公章）：</w:t>
      </w:r>
    </w:p>
    <w:p w14:paraId="0B454083">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法定代表人或被授权人（签名或盖私章）：</w:t>
      </w:r>
    </w:p>
    <w:p w14:paraId="131F68BA">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w:t>
      </w:r>
    </w:p>
    <w:p w14:paraId="322E6634">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51764C88">
      <w:pPr>
        <w:jc w:val="center"/>
        <w:rPr>
          <w:rFonts w:hint="eastAsia" w:ascii="黑体" w:eastAsia="黑体"/>
          <w:color w:val="000000" w:themeColor="text1"/>
          <w:sz w:val="28"/>
          <w:szCs w:val="28"/>
          <w:lang w:eastAsia="zh-CN"/>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承诺书</w:t>
      </w:r>
      <w:r>
        <w:rPr>
          <w:rFonts w:hint="eastAsia" w:ascii="黑体" w:eastAsia="黑体"/>
          <w:color w:val="000000" w:themeColor="text1"/>
          <w:sz w:val="28"/>
          <w:szCs w:val="28"/>
          <w:lang w:eastAsia="zh-CN"/>
          <w14:textFill>
            <w14:solidFill>
              <w14:schemeClr w14:val="tx1"/>
            </w14:solidFill>
          </w14:textFill>
        </w:rPr>
        <w:t>（六）</w:t>
      </w:r>
    </w:p>
    <w:p w14:paraId="7D6C6543">
      <w:pPr>
        <w:pStyle w:val="46"/>
        <w:spacing w:line="420" w:lineRule="atLeast"/>
        <w:ind w:firstLine="0" w:firstLineChars="0"/>
        <w:rPr>
          <w:rFonts w:ascii="宋体" w:hAnsi="宋体" w:cs="宋体"/>
          <w:color w:val="000000" w:themeColor="text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致</w:t>
      </w:r>
      <w:r>
        <w:rPr>
          <w:rFonts w:hint="eastAsia" w:ascii="宋体" w:eastAsia="宋体"/>
          <w:color w:val="000000" w:themeColor="text1"/>
          <w:sz w:val="21"/>
          <w:szCs w:val="21"/>
          <w14:textFill>
            <w14:solidFill>
              <w14:schemeClr w14:val="tx1"/>
            </w14:solidFill>
          </w14:textFill>
        </w:rPr>
        <w:t>广州宏达工程顾问集团有限公司</w:t>
      </w:r>
      <w:r>
        <w:rPr>
          <w:rFonts w:hint="eastAsia" w:ascii="宋体" w:eastAsia="宋体" w:cs="宋体"/>
          <w:color w:val="000000" w:themeColor="text1"/>
          <w:sz w:val="21"/>
          <w:szCs w:val="21"/>
          <w14:textFill>
            <w14:solidFill>
              <w14:schemeClr w14:val="tx1"/>
            </w14:solidFill>
          </w14:textFill>
        </w:rPr>
        <w:t>：</w:t>
      </w:r>
    </w:p>
    <w:p w14:paraId="582E9F07">
      <w:pPr>
        <w:pStyle w:val="46"/>
        <w:spacing w:line="420" w:lineRule="exact"/>
        <w:ind w:firstLine="433"/>
        <w:rPr>
          <w:rFonts w:ascii="宋体" w:eastAsia="宋体" w:cs="宋体"/>
          <w:color w:val="000000" w:themeColor="text1"/>
          <w:sz w:val="21"/>
          <w:szCs w:val="21"/>
          <w14:textFill>
            <w14:solidFill>
              <w14:schemeClr w14:val="tx1"/>
            </w14:solidFill>
          </w14:textFill>
        </w:rPr>
      </w:pPr>
      <w:r>
        <w:rPr>
          <w:rFonts w:hint="eastAsia" w:ascii="宋体" w:eastAsia="宋体" w:cs="宋体"/>
          <w:color w:val="000000" w:themeColor="text1"/>
          <w:sz w:val="21"/>
          <w:szCs w:val="21"/>
          <w14:textFill>
            <w14:solidFill>
              <w14:schemeClr w14:val="tx1"/>
            </w14:solidFill>
          </w14:textFill>
        </w:rPr>
        <w:t>我方已完整阅读了</w:t>
      </w:r>
      <w:r>
        <w:rPr>
          <w:rFonts w:hint="eastAsia" w:ascii="宋体" w:eastAsia="宋体" w:cs="宋体"/>
          <w:color w:val="000000" w:themeColor="text1"/>
          <w:sz w:val="21"/>
          <w:szCs w:val="21"/>
          <w:u w:val="single"/>
          <w14:textFill>
            <w14:solidFill>
              <w14:schemeClr w14:val="tx1"/>
            </w14:solidFill>
          </w14:textFill>
        </w:rPr>
        <w:t xml:space="preserve">  （项目名称）     </w:t>
      </w:r>
      <w:r>
        <w:rPr>
          <w:rFonts w:hint="eastAsia" w:ascii="宋体" w:eastAsia="宋体" w:cs="宋体"/>
          <w:color w:val="000000" w:themeColor="text1"/>
          <w:sz w:val="21"/>
          <w:szCs w:val="21"/>
          <w14:textFill>
            <w14:solidFill>
              <w14:schemeClr w14:val="tx1"/>
            </w14:solidFill>
          </w14:textFill>
        </w:rPr>
        <w:t>项目（项目编号：</w:t>
      </w:r>
      <w:r>
        <w:rPr>
          <w:rFonts w:hint="eastAsia" w:ascii="宋体" w:eastAsia="宋体" w:cs="宋体"/>
          <w:color w:val="000000" w:themeColor="text1"/>
          <w:sz w:val="21"/>
          <w:szCs w:val="21"/>
          <w:u w:val="single"/>
          <w14:textFill>
            <w14:solidFill>
              <w14:schemeClr w14:val="tx1"/>
            </w14:solidFill>
          </w14:textFill>
        </w:rPr>
        <w:t xml:space="preserve">            </w:t>
      </w:r>
      <w:r>
        <w:rPr>
          <w:rFonts w:hint="eastAsia" w:ascii="宋体" w:eastAsia="宋体" w:cs="宋体"/>
          <w:color w:val="000000" w:themeColor="text1"/>
          <w:sz w:val="21"/>
          <w:szCs w:val="21"/>
          <w14:textFill>
            <w14:solidFill>
              <w14:schemeClr w14:val="tx1"/>
            </w14:solidFill>
          </w14:textFill>
        </w:rPr>
        <w:t>）采购文件的所有内容（包括澄清，以及所有已提供的参考资料和有关附件），我方承诺</w:t>
      </w:r>
      <w:r>
        <w:rPr>
          <w:rFonts w:hint="eastAsia" w:ascii="宋体" w:eastAsia="宋体" w:cs="宋体"/>
          <w:color w:val="000000" w:themeColor="text1"/>
          <w:sz w:val="21"/>
          <w:szCs w:val="21"/>
          <w:lang w:eastAsia="zh-CN"/>
          <w14:textFill>
            <w14:solidFill>
              <w14:schemeClr w14:val="tx1"/>
            </w14:solidFill>
          </w14:textFill>
        </w:rPr>
        <w:t>：</w:t>
      </w:r>
      <w:r>
        <w:rPr>
          <w:rFonts w:hint="eastAsia" w:ascii="宋体" w:eastAsia="宋体" w:cs="宋体"/>
          <w:color w:val="000000" w:themeColor="text1"/>
          <w:sz w:val="21"/>
          <w:szCs w:val="21"/>
          <w14:textFill>
            <w14:solidFill>
              <w14:schemeClr w14:val="tx1"/>
            </w14:solidFill>
          </w14:textFill>
        </w:rPr>
        <w:t>交付全套技术文档、使用手册、培训材料。</w:t>
      </w:r>
      <w:r>
        <w:rPr>
          <w:rFonts w:hint="eastAsia" w:ascii="宋体" w:eastAsia="宋体" w:cs="宋体"/>
          <w:color w:val="000000" w:themeColor="text1"/>
          <w:sz w:val="21"/>
          <w:szCs w:val="21"/>
          <w14:textFill>
            <w14:solidFill>
              <w14:schemeClr w14:val="tx1"/>
            </w14:solidFill>
          </w14:textFill>
        </w:rPr>
        <w:cr/>
      </w:r>
    </w:p>
    <w:p w14:paraId="639DBCD8">
      <w:pPr>
        <w:pStyle w:val="46"/>
        <w:spacing w:line="420" w:lineRule="exact"/>
        <w:ind w:firstLine="433"/>
        <w:rPr>
          <w:rFonts w:ascii="宋体" w:eastAsia="宋体" w:cs="宋体"/>
          <w:color w:val="000000" w:themeColor="text1"/>
          <w:sz w:val="21"/>
          <w:szCs w:val="21"/>
          <w14:textFill>
            <w14:solidFill>
              <w14:schemeClr w14:val="tx1"/>
            </w14:solidFill>
          </w14:textFill>
        </w:rPr>
      </w:pPr>
    </w:p>
    <w:p w14:paraId="378707C4">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投标人名称（加盖公章）：</w:t>
      </w:r>
    </w:p>
    <w:p w14:paraId="0695C264">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法定代表人或被授权人（签名或盖私章）：</w:t>
      </w:r>
    </w:p>
    <w:p w14:paraId="671E42A4">
      <w:pPr>
        <w:ind w:right="561"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w:t>
      </w:r>
    </w:p>
    <w:p w14:paraId="6CD80A02">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002485A6">
      <w:pPr>
        <w:pStyle w:val="5"/>
        <w:widowControl w:val="0"/>
        <w:overflowPunct w:val="0"/>
        <w:spacing w:line="240" w:lineRule="auto"/>
        <w:rPr>
          <w:rFonts w:ascii="宋体" w:hAnsi="宋体"/>
          <w:color w:val="000000" w:themeColor="text1"/>
          <w:sz w:val="21"/>
          <w:szCs w:val="21"/>
          <w:highlight w:val="none"/>
          <w14:textFill>
            <w14:solidFill>
              <w14:schemeClr w14:val="tx1"/>
            </w14:solidFill>
          </w14:textFill>
        </w:rPr>
      </w:pPr>
      <w:bookmarkStart w:id="268" w:name="_Toc22457"/>
      <w:r>
        <w:rPr>
          <w:rFonts w:hint="eastAsia" w:ascii="宋体" w:hAnsi="宋体"/>
          <w:color w:val="000000" w:themeColor="text1"/>
          <w:sz w:val="21"/>
          <w:szCs w:val="21"/>
          <w14:textFill>
            <w14:solidFill>
              <w14:schemeClr w14:val="tx1"/>
            </w14:solidFill>
          </w14:textFill>
        </w:rPr>
        <w:t>附件1</w:t>
      </w:r>
      <w:r>
        <w:rPr>
          <w:rFonts w:hint="eastAsia" w:ascii="宋体" w:hAnsi="宋体"/>
          <w:color w:val="000000" w:themeColor="text1"/>
          <w:sz w:val="21"/>
          <w:szCs w:val="21"/>
          <w:lang w:val="en-US" w:eastAsia="zh-CN"/>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商务需求条款偏离表格式</w:t>
      </w:r>
      <w:bookmarkEnd w:id="268"/>
    </w:p>
    <w:p w14:paraId="47529FF3">
      <w:pPr>
        <w:jc w:val="center"/>
        <w:rPr>
          <w:rFonts w:ascii="黑体" w:eastAsia="黑体"/>
          <w:color w:val="000000" w:themeColor="text1"/>
          <w:sz w:val="28"/>
          <w:szCs w:val="28"/>
          <w:highlight w:val="none"/>
          <w14:textFill>
            <w14:solidFill>
              <w14:schemeClr w14:val="tx1"/>
            </w14:solidFill>
          </w14:textFill>
        </w:rPr>
      </w:pPr>
    </w:p>
    <w:p w14:paraId="0162E7CF">
      <w:pPr>
        <w:jc w:val="center"/>
        <w:rPr>
          <w:rFonts w:ascii="黑体" w:eastAsia="黑体"/>
          <w:color w:val="000000" w:themeColor="text1"/>
          <w:sz w:val="28"/>
          <w:szCs w:val="28"/>
          <w:highlight w:val="none"/>
          <w14:textFill>
            <w14:solidFill>
              <w14:schemeClr w14:val="tx1"/>
            </w14:solidFill>
          </w14:textFill>
        </w:rPr>
      </w:pPr>
      <w:r>
        <w:rPr>
          <w:rFonts w:hint="eastAsia" w:ascii="黑体" w:eastAsia="黑体"/>
          <w:color w:val="000000" w:themeColor="text1"/>
          <w:sz w:val="28"/>
          <w:szCs w:val="28"/>
          <w:highlight w:val="none"/>
          <w14:textFill>
            <w14:solidFill>
              <w14:schemeClr w14:val="tx1"/>
            </w14:solidFill>
          </w14:textFill>
        </w:rPr>
        <w:t>商务需求条款偏离表</w:t>
      </w:r>
    </w:p>
    <w:tbl>
      <w:tblPr>
        <w:tblStyle w:val="31"/>
        <w:tblW w:w="8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20"/>
        <w:gridCol w:w="1360"/>
        <w:gridCol w:w="1587"/>
        <w:gridCol w:w="1133"/>
        <w:gridCol w:w="1730"/>
      </w:tblGrid>
      <w:tr w14:paraId="43785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008" w:type="dxa"/>
            <w:vAlign w:val="center"/>
          </w:tcPr>
          <w:p w14:paraId="0E5A9077">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序号</w:t>
            </w:r>
          </w:p>
        </w:tc>
        <w:tc>
          <w:tcPr>
            <w:tcW w:w="1620" w:type="dxa"/>
            <w:vAlign w:val="center"/>
          </w:tcPr>
          <w:p w14:paraId="62C87B78">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服务项目名称</w:t>
            </w:r>
          </w:p>
        </w:tc>
        <w:tc>
          <w:tcPr>
            <w:tcW w:w="1360" w:type="dxa"/>
            <w:vAlign w:val="center"/>
          </w:tcPr>
          <w:p w14:paraId="325BA0F1">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采购要求</w:t>
            </w:r>
          </w:p>
        </w:tc>
        <w:tc>
          <w:tcPr>
            <w:tcW w:w="1587" w:type="dxa"/>
            <w:vAlign w:val="center"/>
          </w:tcPr>
          <w:p w14:paraId="22F959CC">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投标实际响应</w:t>
            </w:r>
          </w:p>
        </w:tc>
        <w:tc>
          <w:tcPr>
            <w:tcW w:w="1133" w:type="dxa"/>
            <w:vAlign w:val="center"/>
          </w:tcPr>
          <w:p w14:paraId="6E9E63E7">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是否偏离</w:t>
            </w:r>
          </w:p>
        </w:tc>
        <w:tc>
          <w:tcPr>
            <w:tcW w:w="1730" w:type="dxa"/>
            <w:vAlign w:val="center"/>
          </w:tcPr>
          <w:p w14:paraId="3CCC57BE">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w:t>
            </w:r>
          </w:p>
        </w:tc>
      </w:tr>
      <w:tr w14:paraId="4CFF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60AF2D">
            <w:pPr>
              <w:jc w:val="center"/>
              <w:rPr>
                <w:rFonts w:ascii="宋体" w:hAnsi="宋体"/>
                <w:color w:val="000000" w:themeColor="text1"/>
                <w:szCs w:val="21"/>
                <w:highlight w:val="none"/>
                <w14:textFill>
                  <w14:solidFill>
                    <w14:schemeClr w14:val="tx1"/>
                  </w14:solidFill>
                </w14:textFill>
              </w:rPr>
            </w:pPr>
          </w:p>
        </w:tc>
        <w:tc>
          <w:tcPr>
            <w:tcW w:w="1620" w:type="dxa"/>
            <w:vAlign w:val="center"/>
          </w:tcPr>
          <w:p w14:paraId="22BCB319">
            <w:pPr>
              <w:jc w:val="center"/>
              <w:rPr>
                <w:rFonts w:ascii="宋体" w:hAnsi="宋体"/>
                <w:color w:val="000000" w:themeColor="text1"/>
                <w:szCs w:val="21"/>
                <w:highlight w:val="none"/>
                <w14:textFill>
                  <w14:solidFill>
                    <w14:schemeClr w14:val="tx1"/>
                  </w14:solidFill>
                </w14:textFill>
              </w:rPr>
            </w:pPr>
          </w:p>
        </w:tc>
        <w:tc>
          <w:tcPr>
            <w:tcW w:w="1360" w:type="dxa"/>
            <w:vAlign w:val="center"/>
          </w:tcPr>
          <w:p w14:paraId="04BC479A">
            <w:pPr>
              <w:jc w:val="center"/>
              <w:rPr>
                <w:rFonts w:ascii="宋体" w:hAnsi="宋体"/>
                <w:color w:val="000000" w:themeColor="text1"/>
                <w:szCs w:val="21"/>
                <w:highlight w:val="none"/>
                <w14:textFill>
                  <w14:solidFill>
                    <w14:schemeClr w14:val="tx1"/>
                  </w14:solidFill>
                </w14:textFill>
              </w:rPr>
            </w:pPr>
          </w:p>
        </w:tc>
        <w:tc>
          <w:tcPr>
            <w:tcW w:w="1587" w:type="dxa"/>
            <w:vAlign w:val="center"/>
          </w:tcPr>
          <w:p w14:paraId="3915E586">
            <w:pPr>
              <w:jc w:val="center"/>
              <w:rPr>
                <w:rFonts w:ascii="宋体" w:hAnsi="宋体"/>
                <w:color w:val="000000" w:themeColor="text1"/>
                <w:szCs w:val="21"/>
                <w:highlight w:val="none"/>
                <w14:textFill>
                  <w14:solidFill>
                    <w14:schemeClr w14:val="tx1"/>
                  </w14:solidFill>
                </w14:textFill>
              </w:rPr>
            </w:pPr>
          </w:p>
        </w:tc>
        <w:tc>
          <w:tcPr>
            <w:tcW w:w="1133" w:type="dxa"/>
            <w:vAlign w:val="center"/>
          </w:tcPr>
          <w:p w14:paraId="42B6EF50">
            <w:pPr>
              <w:jc w:val="center"/>
              <w:rPr>
                <w:rFonts w:ascii="宋体" w:hAnsi="宋体"/>
                <w:color w:val="000000" w:themeColor="text1"/>
                <w:szCs w:val="21"/>
                <w:highlight w:val="none"/>
                <w14:textFill>
                  <w14:solidFill>
                    <w14:schemeClr w14:val="tx1"/>
                  </w14:solidFill>
                </w14:textFill>
              </w:rPr>
            </w:pPr>
          </w:p>
        </w:tc>
        <w:tc>
          <w:tcPr>
            <w:tcW w:w="1730" w:type="dxa"/>
            <w:vAlign w:val="center"/>
          </w:tcPr>
          <w:p w14:paraId="2D4E7707">
            <w:pPr>
              <w:jc w:val="center"/>
              <w:rPr>
                <w:rFonts w:ascii="宋体" w:hAnsi="宋体"/>
                <w:color w:val="000000" w:themeColor="text1"/>
                <w:szCs w:val="21"/>
                <w:highlight w:val="none"/>
                <w14:textFill>
                  <w14:solidFill>
                    <w14:schemeClr w14:val="tx1"/>
                  </w14:solidFill>
                </w14:textFill>
              </w:rPr>
            </w:pPr>
          </w:p>
        </w:tc>
      </w:tr>
      <w:tr w14:paraId="57F3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A33566">
            <w:pPr>
              <w:jc w:val="center"/>
              <w:rPr>
                <w:rFonts w:ascii="宋体" w:hAnsi="宋体"/>
                <w:color w:val="000000" w:themeColor="text1"/>
                <w:szCs w:val="21"/>
                <w:highlight w:val="none"/>
                <w14:textFill>
                  <w14:solidFill>
                    <w14:schemeClr w14:val="tx1"/>
                  </w14:solidFill>
                </w14:textFill>
              </w:rPr>
            </w:pPr>
          </w:p>
        </w:tc>
        <w:tc>
          <w:tcPr>
            <w:tcW w:w="1620" w:type="dxa"/>
            <w:vAlign w:val="center"/>
          </w:tcPr>
          <w:p w14:paraId="3A3075CA">
            <w:pPr>
              <w:jc w:val="center"/>
              <w:rPr>
                <w:rFonts w:ascii="宋体" w:hAnsi="宋体"/>
                <w:color w:val="000000" w:themeColor="text1"/>
                <w:szCs w:val="21"/>
                <w:highlight w:val="none"/>
                <w14:textFill>
                  <w14:solidFill>
                    <w14:schemeClr w14:val="tx1"/>
                  </w14:solidFill>
                </w14:textFill>
              </w:rPr>
            </w:pPr>
          </w:p>
        </w:tc>
        <w:tc>
          <w:tcPr>
            <w:tcW w:w="1360" w:type="dxa"/>
            <w:vAlign w:val="center"/>
          </w:tcPr>
          <w:p w14:paraId="6DEFF635">
            <w:pPr>
              <w:jc w:val="center"/>
              <w:rPr>
                <w:rFonts w:ascii="宋体" w:hAnsi="宋体"/>
                <w:color w:val="000000" w:themeColor="text1"/>
                <w:szCs w:val="21"/>
                <w:highlight w:val="none"/>
                <w14:textFill>
                  <w14:solidFill>
                    <w14:schemeClr w14:val="tx1"/>
                  </w14:solidFill>
                </w14:textFill>
              </w:rPr>
            </w:pPr>
          </w:p>
        </w:tc>
        <w:tc>
          <w:tcPr>
            <w:tcW w:w="1587" w:type="dxa"/>
            <w:vAlign w:val="center"/>
          </w:tcPr>
          <w:p w14:paraId="3C67AE4D">
            <w:pPr>
              <w:jc w:val="center"/>
              <w:rPr>
                <w:rFonts w:ascii="宋体" w:hAnsi="宋体"/>
                <w:color w:val="000000" w:themeColor="text1"/>
                <w:szCs w:val="21"/>
                <w:highlight w:val="none"/>
                <w14:textFill>
                  <w14:solidFill>
                    <w14:schemeClr w14:val="tx1"/>
                  </w14:solidFill>
                </w14:textFill>
              </w:rPr>
            </w:pPr>
          </w:p>
        </w:tc>
        <w:tc>
          <w:tcPr>
            <w:tcW w:w="1133" w:type="dxa"/>
            <w:vAlign w:val="center"/>
          </w:tcPr>
          <w:p w14:paraId="1D80BA7D">
            <w:pPr>
              <w:jc w:val="center"/>
              <w:rPr>
                <w:rFonts w:ascii="宋体" w:hAnsi="宋体"/>
                <w:color w:val="000000" w:themeColor="text1"/>
                <w:szCs w:val="21"/>
                <w:highlight w:val="none"/>
                <w14:textFill>
                  <w14:solidFill>
                    <w14:schemeClr w14:val="tx1"/>
                  </w14:solidFill>
                </w14:textFill>
              </w:rPr>
            </w:pPr>
          </w:p>
        </w:tc>
        <w:tc>
          <w:tcPr>
            <w:tcW w:w="1730" w:type="dxa"/>
            <w:vAlign w:val="center"/>
          </w:tcPr>
          <w:p w14:paraId="0B7568FB">
            <w:pPr>
              <w:jc w:val="center"/>
              <w:rPr>
                <w:rFonts w:ascii="宋体" w:hAnsi="宋体"/>
                <w:color w:val="000000" w:themeColor="text1"/>
                <w:szCs w:val="21"/>
                <w:highlight w:val="none"/>
                <w14:textFill>
                  <w14:solidFill>
                    <w14:schemeClr w14:val="tx1"/>
                  </w14:solidFill>
                </w14:textFill>
              </w:rPr>
            </w:pPr>
          </w:p>
        </w:tc>
      </w:tr>
      <w:tr w14:paraId="22433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E33A58">
            <w:pPr>
              <w:jc w:val="center"/>
              <w:rPr>
                <w:rFonts w:ascii="宋体" w:hAnsi="宋体"/>
                <w:color w:val="000000" w:themeColor="text1"/>
                <w:szCs w:val="21"/>
                <w:highlight w:val="none"/>
                <w14:textFill>
                  <w14:solidFill>
                    <w14:schemeClr w14:val="tx1"/>
                  </w14:solidFill>
                </w14:textFill>
              </w:rPr>
            </w:pPr>
          </w:p>
        </w:tc>
        <w:tc>
          <w:tcPr>
            <w:tcW w:w="1620" w:type="dxa"/>
            <w:vAlign w:val="center"/>
          </w:tcPr>
          <w:p w14:paraId="510AD7D5">
            <w:pPr>
              <w:jc w:val="center"/>
              <w:rPr>
                <w:rFonts w:ascii="宋体" w:hAnsi="宋体"/>
                <w:color w:val="000000" w:themeColor="text1"/>
                <w:szCs w:val="21"/>
                <w:highlight w:val="none"/>
                <w14:textFill>
                  <w14:solidFill>
                    <w14:schemeClr w14:val="tx1"/>
                  </w14:solidFill>
                </w14:textFill>
              </w:rPr>
            </w:pPr>
          </w:p>
        </w:tc>
        <w:tc>
          <w:tcPr>
            <w:tcW w:w="1360" w:type="dxa"/>
            <w:vAlign w:val="center"/>
          </w:tcPr>
          <w:p w14:paraId="34783B6D">
            <w:pPr>
              <w:jc w:val="center"/>
              <w:rPr>
                <w:rFonts w:ascii="宋体" w:hAnsi="宋体"/>
                <w:color w:val="000000" w:themeColor="text1"/>
                <w:szCs w:val="21"/>
                <w:highlight w:val="none"/>
                <w14:textFill>
                  <w14:solidFill>
                    <w14:schemeClr w14:val="tx1"/>
                  </w14:solidFill>
                </w14:textFill>
              </w:rPr>
            </w:pPr>
          </w:p>
        </w:tc>
        <w:tc>
          <w:tcPr>
            <w:tcW w:w="1587" w:type="dxa"/>
            <w:vAlign w:val="center"/>
          </w:tcPr>
          <w:p w14:paraId="4E6C41E8">
            <w:pPr>
              <w:jc w:val="center"/>
              <w:rPr>
                <w:rFonts w:ascii="宋体" w:hAnsi="宋体"/>
                <w:color w:val="000000" w:themeColor="text1"/>
                <w:szCs w:val="21"/>
                <w:highlight w:val="none"/>
                <w14:textFill>
                  <w14:solidFill>
                    <w14:schemeClr w14:val="tx1"/>
                  </w14:solidFill>
                </w14:textFill>
              </w:rPr>
            </w:pPr>
          </w:p>
        </w:tc>
        <w:tc>
          <w:tcPr>
            <w:tcW w:w="1133" w:type="dxa"/>
            <w:vAlign w:val="center"/>
          </w:tcPr>
          <w:p w14:paraId="2FAFFF61">
            <w:pPr>
              <w:jc w:val="center"/>
              <w:rPr>
                <w:rFonts w:ascii="宋体" w:hAnsi="宋体"/>
                <w:color w:val="000000" w:themeColor="text1"/>
                <w:szCs w:val="21"/>
                <w:highlight w:val="none"/>
                <w14:textFill>
                  <w14:solidFill>
                    <w14:schemeClr w14:val="tx1"/>
                  </w14:solidFill>
                </w14:textFill>
              </w:rPr>
            </w:pPr>
          </w:p>
        </w:tc>
        <w:tc>
          <w:tcPr>
            <w:tcW w:w="1730" w:type="dxa"/>
            <w:vAlign w:val="center"/>
          </w:tcPr>
          <w:p w14:paraId="70A23CF6">
            <w:pPr>
              <w:jc w:val="center"/>
              <w:rPr>
                <w:rFonts w:ascii="宋体" w:hAnsi="宋体"/>
                <w:color w:val="000000" w:themeColor="text1"/>
                <w:szCs w:val="21"/>
                <w:highlight w:val="none"/>
                <w14:textFill>
                  <w14:solidFill>
                    <w14:schemeClr w14:val="tx1"/>
                  </w14:solidFill>
                </w14:textFill>
              </w:rPr>
            </w:pPr>
          </w:p>
        </w:tc>
      </w:tr>
      <w:tr w14:paraId="32BF9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C1DA09">
            <w:pPr>
              <w:jc w:val="center"/>
              <w:rPr>
                <w:rFonts w:ascii="宋体" w:hAnsi="宋体"/>
                <w:color w:val="000000" w:themeColor="text1"/>
                <w:szCs w:val="21"/>
                <w:highlight w:val="none"/>
                <w14:textFill>
                  <w14:solidFill>
                    <w14:schemeClr w14:val="tx1"/>
                  </w14:solidFill>
                </w14:textFill>
              </w:rPr>
            </w:pPr>
          </w:p>
        </w:tc>
        <w:tc>
          <w:tcPr>
            <w:tcW w:w="1620" w:type="dxa"/>
            <w:vAlign w:val="center"/>
          </w:tcPr>
          <w:p w14:paraId="2FEDA793">
            <w:pPr>
              <w:jc w:val="center"/>
              <w:rPr>
                <w:rFonts w:ascii="宋体" w:hAnsi="宋体"/>
                <w:color w:val="000000" w:themeColor="text1"/>
                <w:szCs w:val="21"/>
                <w:highlight w:val="none"/>
                <w14:textFill>
                  <w14:solidFill>
                    <w14:schemeClr w14:val="tx1"/>
                  </w14:solidFill>
                </w14:textFill>
              </w:rPr>
            </w:pPr>
          </w:p>
        </w:tc>
        <w:tc>
          <w:tcPr>
            <w:tcW w:w="1360" w:type="dxa"/>
            <w:vAlign w:val="center"/>
          </w:tcPr>
          <w:p w14:paraId="03B029AA">
            <w:pPr>
              <w:jc w:val="center"/>
              <w:rPr>
                <w:rFonts w:ascii="宋体" w:hAnsi="宋体"/>
                <w:color w:val="000000" w:themeColor="text1"/>
                <w:szCs w:val="21"/>
                <w:highlight w:val="none"/>
                <w14:textFill>
                  <w14:solidFill>
                    <w14:schemeClr w14:val="tx1"/>
                  </w14:solidFill>
                </w14:textFill>
              </w:rPr>
            </w:pPr>
          </w:p>
        </w:tc>
        <w:tc>
          <w:tcPr>
            <w:tcW w:w="1587" w:type="dxa"/>
            <w:vAlign w:val="center"/>
          </w:tcPr>
          <w:p w14:paraId="1BF1D879">
            <w:pPr>
              <w:jc w:val="center"/>
              <w:rPr>
                <w:rFonts w:ascii="宋体" w:hAnsi="宋体"/>
                <w:color w:val="000000" w:themeColor="text1"/>
                <w:szCs w:val="21"/>
                <w:highlight w:val="none"/>
                <w14:textFill>
                  <w14:solidFill>
                    <w14:schemeClr w14:val="tx1"/>
                  </w14:solidFill>
                </w14:textFill>
              </w:rPr>
            </w:pPr>
          </w:p>
        </w:tc>
        <w:tc>
          <w:tcPr>
            <w:tcW w:w="1133" w:type="dxa"/>
            <w:vAlign w:val="center"/>
          </w:tcPr>
          <w:p w14:paraId="761C0C19">
            <w:pPr>
              <w:jc w:val="center"/>
              <w:rPr>
                <w:rFonts w:ascii="宋体" w:hAnsi="宋体"/>
                <w:color w:val="000000" w:themeColor="text1"/>
                <w:szCs w:val="21"/>
                <w:highlight w:val="none"/>
                <w14:textFill>
                  <w14:solidFill>
                    <w14:schemeClr w14:val="tx1"/>
                  </w14:solidFill>
                </w14:textFill>
              </w:rPr>
            </w:pPr>
          </w:p>
        </w:tc>
        <w:tc>
          <w:tcPr>
            <w:tcW w:w="1730" w:type="dxa"/>
            <w:vAlign w:val="center"/>
          </w:tcPr>
          <w:p w14:paraId="03617618">
            <w:pPr>
              <w:jc w:val="center"/>
              <w:rPr>
                <w:rFonts w:ascii="宋体" w:hAnsi="宋体"/>
                <w:color w:val="000000" w:themeColor="text1"/>
                <w:szCs w:val="21"/>
                <w:highlight w:val="none"/>
                <w14:textFill>
                  <w14:solidFill>
                    <w14:schemeClr w14:val="tx1"/>
                  </w14:solidFill>
                </w14:textFill>
              </w:rPr>
            </w:pPr>
          </w:p>
        </w:tc>
      </w:tr>
      <w:tr w14:paraId="04D85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FE0105">
            <w:pPr>
              <w:jc w:val="center"/>
              <w:rPr>
                <w:rFonts w:ascii="宋体" w:hAnsi="宋体"/>
                <w:color w:val="000000" w:themeColor="text1"/>
                <w:szCs w:val="21"/>
                <w:highlight w:val="none"/>
                <w14:textFill>
                  <w14:solidFill>
                    <w14:schemeClr w14:val="tx1"/>
                  </w14:solidFill>
                </w14:textFill>
              </w:rPr>
            </w:pPr>
          </w:p>
        </w:tc>
        <w:tc>
          <w:tcPr>
            <w:tcW w:w="1620" w:type="dxa"/>
            <w:vAlign w:val="center"/>
          </w:tcPr>
          <w:p w14:paraId="798859DA">
            <w:pPr>
              <w:jc w:val="center"/>
              <w:rPr>
                <w:rFonts w:ascii="宋体" w:hAnsi="宋体"/>
                <w:color w:val="000000" w:themeColor="text1"/>
                <w:szCs w:val="21"/>
                <w:highlight w:val="none"/>
                <w14:textFill>
                  <w14:solidFill>
                    <w14:schemeClr w14:val="tx1"/>
                  </w14:solidFill>
                </w14:textFill>
              </w:rPr>
            </w:pPr>
          </w:p>
        </w:tc>
        <w:tc>
          <w:tcPr>
            <w:tcW w:w="1360" w:type="dxa"/>
            <w:vAlign w:val="center"/>
          </w:tcPr>
          <w:p w14:paraId="6F1F44E9">
            <w:pPr>
              <w:jc w:val="center"/>
              <w:rPr>
                <w:rFonts w:ascii="宋体" w:hAnsi="宋体"/>
                <w:color w:val="000000" w:themeColor="text1"/>
                <w:szCs w:val="21"/>
                <w:highlight w:val="none"/>
                <w14:textFill>
                  <w14:solidFill>
                    <w14:schemeClr w14:val="tx1"/>
                  </w14:solidFill>
                </w14:textFill>
              </w:rPr>
            </w:pPr>
          </w:p>
        </w:tc>
        <w:tc>
          <w:tcPr>
            <w:tcW w:w="1587" w:type="dxa"/>
            <w:vAlign w:val="center"/>
          </w:tcPr>
          <w:p w14:paraId="210C6FF3">
            <w:pPr>
              <w:jc w:val="center"/>
              <w:rPr>
                <w:rFonts w:ascii="宋体" w:hAnsi="宋体"/>
                <w:color w:val="000000" w:themeColor="text1"/>
                <w:szCs w:val="21"/>
                <w:highlight w:val="none"/>
                <w14:textFill>
                  <w14:solidFill>
                    <w14:schemeClr w14:val="tx1"/>
                  </w14:solidFill>
                </w14:textFill>
              </w:rPr>
            </w:pPr>
          </w:p>
        </w:tc>
        <w:tc>
          <w:tcPr>
            <w:tcW w:w="1133" w:type="dxa"/>
            <w:vAlign w:val="center"/>
          </w:tcPr>
          <w:p w14:paraId="277B9BD8">
            <w:pPr>
              <w:jc w:val="center"/>
              <w:rPr>
                <w:rFonts w:ascii="宋体" w:hAnsi="宋体"/>
                <w:color w:val="000000" w:themeColor="text1"/>
                <w:szCs w:val="21"/>
                <w:highlight w:val="none"/>
                <w14:textFill>
                  <w14:solidFill>
                    <w14:schemeClr w14:val="tx1"/>
                  </w14:solidFill>
                </w14:textFill>
              </w:rPr>
            </w:pPr>
          </w:p>
        </w:tc>
        <w:tc>
          <w:tcPr>
            <w:tcW w:w="1730" w:type="dxa"/>
            <w:vAlign w:val="center"/>
          </w:tcPr>
          <w:p w14:paraId="038A4A5D">
            <w:pPr>
              <w:jc w:val="center"/>
              <w:rPr>
                <w:rFonts w:ascii="宋体" w:hAnsi="宋体"/>
                <w:color w:val="000000" w:themeColor="text1"/>
                <w:szCs w:val="21"/>
                <w:highlight w:val="none"/>
                <w14:textFill>
                  <w14:solidFill>
                    <w14:schemeClr w14:val="tx1"/>
                  </w14:solidFill>
                </w14:textFill>
              </w:rPr>
            </w:pPr>
          </w:p>
        </w:tc>
      </w:tr>
      <w:tr w14:paraId="4242D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BF731CC">
            <w:pPr>
              <w:jc w:val="center"/>
              <w:rPr>
                <w:rFonts w:ascii="宋体" w:hAnsi="宋体"/>
                <w:color w:val="000000" w:themeColor="text1"/>
                <w:szCs w:val="21"/>
                <w:highlight w:val="none"/>
                <w14:textFill>
                  <w14:solidFill>
                    <w14:schemeClr w14:val="tx1"/>
                  </w14:solidFill>
                </w14:textFill>
              </w:rPr>
            </w:pPr>
          </w:p>
        </w:tc>
        <w:tc>
          <w:tcPr>
            <w:tcW w:w="1620" w:type="dxa"/>
            <w:vAlign w:val="center"/>
          </w:tcPr>
          <w:p w14:paraId="3597870C">
            <w:pPr>
              <w:jc w:val="center"/>
              <w:rPr>
                <w:rFonts w:ascii="宋体" w:hAnsi="宋体"/>
                <w:color w:val="000000" w:themeColor="text1"/>
                <w:szCs w:val="21"/>
                <w:highlight w:val="none"/>
                <w14:textFill>
                  <w14:solidFill>
                    <w14:schemeClr w14:val="tx1"/>
                  </w14:solidFill>
                </w14:textFill>
              </w:rPr>
            </w:pPr>
          </w:p>
        </w:tc>
        <w:tc>
          <w:tcPr>
            <w:tcW w:w="1360" w:type="dxa"/>
            <w:vAlign w:val="center"/>
          </w:tcPr>
          <w:p w14:paraId="082FAE72">
            <w:pPr>
              <w:jc w:val="center"/>
              <w:rPr>
                <w:rFonts w:ascii="宋体" w:hAnsi="宋体"/>
                <w:color w:val="000000" w:themeColor="text1"/>
                <w:szCs w:val="21"/>
                <w:highlight w:val="none"/>
                <w14:textFill>
                  <w14:solidFill>
                    <w14:schemeClr w14:val="tx1"/>
                  </w14:solidFill>
                </w14:textFill>
              </w:rPr>
            </w:pPr>
          </w:p>
        </w:tc>
        <w:tc>
          <w:tcPr>
            <w:tcW w:w="1587" w:type="dxa"/>
            <w:vAlign w:val="center"/>
          </w:tcPr>
          <w:p w14:paraId="3FC8302D">
            <w:pPr>
              <w:jc w:val="center"/>
              <w:rPr>
                <w:rFonts w:ascii="宋体" w:hAnsi="宋体"/>
                <w:color w:val="000000" w:themeColor="text1"/>
                <w:szCs w:val="21"/>
                <w:highlight w:val="none"/>
                <w14:textFill>
                  <w14:solidFill>
                    <w14:schemeClr w14:val="tx1"/>
                  </w14:solidFill>
                </w14:textFill>
              </w:rPr>
            </w:pPr>
          </w:p>
        </w:tc>
        <w:tc>
          <w:tcPr>
            <w:tcW w:w="1133" w:type="dxa"/>
            <w:vAlign w:val="center"/>
          </w:tcPr>
          <w:p w14:paraId="78528F84">
            <w:pPr>
              <w:jc w:val="center"/>
              <w:rPr>
                <w:rFonts w:ascii="宋体" w:hAnsi="宋体"/>
                <w:color w:val="000000" w:themeColor="text1"/>
                <w:szCs w:val="21"/>
                <w:highlight w:val="none"/>
                <w14:textFill>
                  <w14:solidFill>
                    <w14:schemeClr w14:val="tx1"/>
                  </w14:solidFill>
                </w14:textFill>
              </w:rPr>
            </w:pPr>
          </w:p>
        </w:tc>
        <w:tc>
          <w:tcPr>
            <w:tcW w:w="1730" w:type="dxa"/>
            <w:vAlign w:val="center"/>
          </w:tcPr>
          <w:p w14:paraId="58504647">
            <w:pPr>
              <w:jc w:val="center"/>
              <w:rPr>
                <w:rFonts w:ascii="宋体" w:hAnsi="宋体"/>
                <w:color w:val="000000" w:themeColor="text1"/>
                <w:szCs w:val="21"/>
                <w:highlight w:val="none"/>
                <w14:textFill>
                  <w14:solidFill>
                    <w14:schemeClr w14:val="tx1"/>
                  </w14:solidFill>
                </w14:textFill>
              </w:rPr>
            </w:pPr>
          </w:p>
        </w:tc>
      </w:tr>
      <w:tr w14:paraId="5CECF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E146688">
            <w:pPr>
              <w:jc w:val="center"/>
              <w:rPr>
                <w:rFonts w:ascii="宋体" w:hAnsi="宋体"/>
                <w:color w:val="000000" w:themeColor="text1"/>
                <w:szCs w:val="21"/>
                <w:highlight w:val="none"/>
                <w14:textFill>
                  <w14:solidFill>
                    <w14:schemeClr w14:val="tx1"/>
                  </w14:solidFill>
                </w14:textFill>
              </w:rPr>
            </w:pPr>
          </w:p>
        </w:tc>
        <w:tc>
          <w:tcPr>
            <w:tcW w:w="1620" w:type="dxa"/>
            <w:vAlign w:val="center"/>
          </w:tcPr>
          <w:p w14:paraId="004769CC">
            <w:pPr>
              <w:jc w:val="center"/>
              <w:rPr>
                <w:rFonts w:ascii="宋体" w:hAnsi="宋体"/>
                <w:color w:val="000000" w:themeColor="text1"/>
                <w:szCs w:val="21"/>
                <w:highlight w:val="none"/>
                <w14:textFill>
                  <w14:solidFill>
                    <w14:schemeClr w14:val="tx1"/>
                  </w14:solidFill>
                </w14:textFill>
              </w:rPr>
            </w:pPr>
          </w:p>
        </w:tc>
        <w:tc>
          <w:tcPr>
            <w:tcW w:w="1360" w:type="dxa"/>
            <w:vAlign w:val="center"/>
          </w:tcPr>
          <w:p w14:paraId="3828BDEA">
            <w:pPr>
              <w:jc w:val="center"/>
              <w:rPr>
                <w:rFonts w:ascii="宋体" w:hAnsi="宋体"/>
                <w:color w:val="000000" w:themeColor="text1"/>
                <w:szCs w:val="21"/>
                <w:highlight w:val="none"/>
                <w14:textFill>
                  <w14:solidFill>
                    <w14:schemeClr w14:val="tx1"/>
                  </w14:solidFill>
                </w14:textFill>
              </w:rPr>
            </w:pPr>
          </w:p>
        </w:tc>
        <w:tc>
          <w:tcPr>
            <w:tcW w:w="1587" w:type="dxa"/>
            <w:vAlign w:val="center"/>
          </w:tcPr>
          <w:p w14:paraId="18E7865A">
            <w:pPr>
              <w:jc w:val="center"/>
              <w:rPr>
                <w:rFonts w:ascii="宋体" w:hAnsi="宋体"/>
                <w:color w:val="000000" w:themeColor="text1"/>
                <w:szCs w:val="21"/>
                <w:highlight w:val="none"/>
                <w14:textFill>
                  <w14:solidFill>
                    <w14:schemeClr w14:val="tx1"/>
                  </w14:solidFill>
                </w14:textFill>
              </w:rPr>
            </w:pPr>
          </w:p>
        </w:tc>
        <w:tc>
          <w:tcPr>
            <w:tcW w:w="1133" w:type="dxa"/>
            <w:vAlign w:val="center"/>
          </w:tcPr>
          <w:p w14:paraId="5C23A81B">
            <w:pPr>
              <w:jc w:val="center"/>
              <w:rPr>
                <w:rFonts w:ascii="宋体" w:hAnsi="宋体"/>
                <w:color w:val="000000" w:themeColor="text1"/>
                <w:szCs w:val="21"/>
                <w:highlight w:val="none"/>
                <w14:textFill>
                  <w14:solidFill>
                    <w14:schemeClr w14:val="tx1"/>
                  </w14:solidFill>
                </w14:textFill>
              </w:rPr>
            </w:pPr>
          </w:p>
        </w:tc>
        <w:tc>
          <w:tcPr>
            <w:tcW w:w="1730" w:type="dxa"/>
            <w:vAlign w:val="center"/>
          </w:tcPr>
          <w:p w14:paraId="55AAEEAE">
            <w:pPr>
              <w:jc w:val="center"/>
              <w:rPr>
                <w:rFonts w:ascii="宋体" w:hAnsi="宋体"/>
                <w:color w:val="000000" w:themeColor="text1"/>
                <w:szCs w:val="21"/>
                <w:highlight w:val="none"/>
                <w14:textFill>
                  <w14:solidFill>
                    <w14:schemeClr w14:val="tx1"/>
                  </w14:solidFill>
                </w14:textFill>
              </w:rPr>
            </w:pPr>
          </w:p>
        </w:tc>
      </w:tr>
      <w:tr w14:paraId="0E8A4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21EDF0">
            <w:pPr>
              <w:jc w:val="center"/>
              <w:rPr>
                <w:rFonts w:ascii="宋体" w:hAnsi="宋体"/>
                <w:color w:val="000000" w:themeColor="text1"/>
                <w:szCs w:val="21"/>
                <w:highlight w:val="none"/>
                <w14:textFill>
                  <w14:solidFill>
                    <w14:schemeClr w14:val="tx1"/>
                  </w14:solidFill>
                </w14:textFill>
              </w:rPr>
            </w:pPr>
          </w:p>
        </w:tc>
        <w:tc>
          <w:tcPr>
            <w:tcW w:w="1620" w:type="dxa"/>
            <w:vAlign w:val="center"/>
          </w:tcPr>
          <w:p w14:paraId="25B09DBB">
            <w:pPr>
              <w:jc w:val="center"/>
              <w:rPr>
                <w:rFonts w:ascii="宋体" w:hAnsi="宋体"/>
                <w:color w:val="000000" w:themeColor="text1"/>
                <w:szCs w:val="21"/>
                <w:highlight w:val="none"/>
                <w14:textFill>
                  <w14:solidFill>
                    <w14:schemeClr w14:val="tx1"/>
                  </w14:solidFill>
                </w14:textFill>
              </w:rPr>
            </w:pPr>
          </w:p>
        </w:tc>
        <w:tc>
          <w:tcPr>
            <w:tcW w:w="1360" w:type="dxa"/>
            <w:vAlign w:val="center"/>
          </w:tcPr>
          <w:p w14:paraId="70A44BB1">
            <w:pPr>
              <w:jc w:val="center"/>
              <w:rPr>
                <w:rFonts w:ascii="宋体" w:hAnsi="宋体"/>
                <w:color w:val="000000" w:themeColor="text1"/>
                <w:szCs w:val="21"/>
                <w:highlight w:val="none"/>
                <w14:textFill>
                  <w14:solidFill>
                    <w14:schemeClr w14:val="tx1"/>
                  </w14:solidFill>
                </w14:textFill>
              </w:rPr>
            </w:pPr>
          </w:p>
        </w:tc>
        <w:tc>
          <w:tcPr>
            <w:tcW w:w="1587" w:type="dxa"/>
            <w:vAlign w:val="center"/>
          </w:tcPr>
          <w:p w14:paraId="32BE46A7">
            <w:pPr>
              <w:jc w:val="center"/>
              <w:rPr>
                <w:rFonts w:ascii="宋体" w:hAnsi="宋体"/>
                <w:color w:val="000000" w:themeColor="text1"/>
                <w:szCs w:val="21"/>
                <w:highlight w:val="none"/>
                <w14:textFill>
                  <w14:solidFill>
                    <w14:schemeClr w14:val="tx1"/>
                  </w14:solidFill>
                </w14:textFill>
              </w:rPr>
            </w:pPr>
          </w:p>
        </w:tc>
        <w:tc>
          <w:tcPr>
            <w:tcW w:w="1133" w:type="dxa"/>
            <w:vAlign w:val="center"/>
          </w:tcPr>
          <w:p w14:paraId="54F0EE0E">
            <w:pPr>
              <w:jc w:val="center"/>
              <w:rPr>
                <w:rFonts w:ascii="宋体" w:hAnsi="宋体"/>
                <w:color w:val="000000" w:themeColor="text1"/>
                <w:szCs w:val="21"/>
                <w:highlight w:val="none"/>
                <w14:textFill>
                  <w14:solidFill>
                    <w14:schemeClr w14:val="tx1"/>
                  </w14:solidFill>
                </w14:textFill>
              </w:rPr>
            </w:pPr>
          </w:p>
        </w:tc>
        <w:tc>
          <w:tcPr>
            <w:tcW w:w="1730" w:type="dxa"/>
            <w:vAlign w:val="center"/>
          </w:tcPr>
          <w:p w14:paraId="1CDB83EE">
            <w:pPr>
              <w:jc w:val="center"/>
              <w:rPr>
                <w:rFonts w:ascii="宋体" w:hAnsi="宋体"/>
                <w:color w:val="000000" w:themeColor="text1"/>
                <w:szCs w:val="21"/>
                <w:highlight w:val="none"/>
                <w14:textFill>
                  <w14:solidFill>
                    <w14:schemeClr w14:val="tx1"/>
                  </w14:solidFill>
                </w14:textFill>
              </w:rPr>
            </w:pPr>
          </w:p>
        </w:tc>
      </w:tr>
      <w:tr w14:paraId="3312A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2F0B41">
            <w:pPr>
              <w:jc w:val="center"/>
              <w:rPr>
                <w:rFonts w:ascii="宋体" w:hAnsi="宋体"/>
                <w:color w:val="000000" w:themeColor="text1"/>
                <w:szCs w:val="21"/>
                <w:highlight w:val="none"/>
                <w14:textFill>
                  <w14:solidFill>
                    <w14:schemeClr w14:val="tx1"/>
                  </w14:solidFill>
                </w14:textFill>
              </w:rPr>
            </w:pPr>
          </w:p>
        </w:tc>
        <w:tc>
          <w:tcPr>
            <w:tcW w:w="1620" w:type="dxa"/>
            <w:vAlign w:val="center"/>
          </w:tcPr>
          <w:p w14:paraId="03C793A5">
            <w:pPr>
              <w:jc w:val="center"/>
              <w:rPr>
                <w:rFonts w:ascii="宋体" w:hAnsi="宋体"/>
                <w:color w:val="000000" w:themeColor="text1"/>
                <w:szCs w:val="21"/>
                <w:highlight w:val="none"/>
                <w14:textFill>
                  <w14:solidFill>
                    <w14:schemeClr w14:val="tx1"/>
                  </w14:solidFill>
                </w14:textFill>
              </w:rPr>
            </w:pPr>
          </w:p>
        </w:tc>
        <w:tc>
          <w:tcPr>
            <w:tcW w:w="1360" w:type="dxa"/>
            <w:vAlign w:val="center"/>
          </w:tcPr>
          <w:p w14:paraId="2E7F8E21">
            <w:pPr>
              <w:jc w:val="center"/>
              <w:rPr>
                <w:rFonts w:ascii="宋体" w:hAnsi="宋体"/>
                <w:color w:val="000000" w:themeColor="text1"/>
                <w:szCs w:val="21"/>
                <w:highlight w:val="none"/>
                <w14:textFill>
                  <w14:solidFill>
                    <w14:schemeClr w14:val="tx1"/>
                  </w14:solidFill>
                </w14:textFill>
              </w:rPr>
            </w:pPr>
          </w:p>
        </w:tc>
        <w:tc>
          <w:tcPr>
            <w:tcW w:w="1587" w:type="dxa"/>
            <w:vAlign w:val="center"/>
          </w:tcPr>
          <w:p w14:paraId="7DB5DDB2">
            <w:pPr>
              <w:jc w:val="center"/>
              <w:rPr>
                <w:rFonts w:ascii="宋体" w:hAnsi="宋体"/>
                <w:color w:val="000000" w:themeColor="text1"/>
                <w:szCs w:val="21"/>
                <w:highlight w:val="none"/>
                <w14:textFill>
                  <w14:solidFill>
                    <w14:schemeClr w14:val="tx1"/>
                  </w14:solidFill>
                </w14:textFill>
              </w:rPr>
            </w:pPr>
          </w:p>
        </w:tc>
        <w:tc>
          <w:tcPr>
            <w:tcW w:w="1133" w:type="dxa"/>
            <w:vAlign w:val="center"/>
          </w:tcPr>
          <w:p w14:paraId="0532A1C8">
            <w:pPr>
              <w:jc w:val="center"/>
              <w:rPr>
                <w:rFonts w:ascii="宋体" w:hAnsi="宋体"/>
                <w:color w:val="000000" w:themeColor="text1"/>
                <w:szCs w:val="21"/>
                <w:highlight w:val="none"/>
                <w14:textFill>
                  <w14:solidFill>
                    <w14:schemeClr w14:val="tx1"/>
                  </w14:solidFill>
                </w14:textFill>
              </w:rPr>
            </w:pPr>
          </w:p>
        </w:tc>
        <w:tc>
          <w:tcPr>
            <w:tcW w:w="1730" w:type="dxa"/>
            <w:vAlign w:val="center"/>
          </w:tcPr>
          <w:p w14:paraId="00E64BB0">
            <w:pPr>
              <w:jc w:val="center"/>
              <w:rPr>
                <w:rFonts w:ascii="宋体" w:hAnsi="宋体"/>
                <w:color w:val="000000" w:themeColor="text1"/>
                <w:szCs w:val="21"/>
                <w:highlight w:val="none"/>
                <w14:textFill>
                  <w14:solidFill>
                    <w14:schemeClr w14:val="tx1"/>
                  </w14:solidFill>
                </w14:textFill>
              </w:rPr>
            </w:pPr>
          </w:p>
        </w:tc>
      </w:tr>
      <w:tr w14:paraId="27ED5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1F08B3">
            <w:pPr>
              <w:jc w:val="center"/>
              <w:rPr>
                <w:rFonts w:ascii="宋体" w:hAnsi="宋体"/>
                <w:color w:val="000000" w:themeColor="text1"/>
                <w:szCs w:val="21"/>
                <w:highlight w:val="none"/>
                <w14:textFill>
                  <w14:solidFill>
                    <w14:schemeClr w14:val="tx1"/>
                  </w14:solidFill>
                </w14:textFill>
              </w:rPr>
            </w:pPr>
          </w:p>
        </w:tc>
        <w:tc>
          <w:tcPr>
            <w:tcW w:w="1620" w:type="dxa"/>
            <w:vAlign w:val="center"/>
          </w:tcPr>
          <w:p w14:paraId="02492F6A">
            <w:pPr>
              <w:jc w:val="center"/>
              <w:rPr>
                <w:rFonts w:ascii="宋体" w:hAnsi="宋体"/>
                <w:color w:val="000000" w:themeColor="text1"/>
                <w:szCs w:val="21"/>
                <w:highlight w:val="none"/>
                <w14:textFill>
                  <w14:solidFill>
                    <w14:schemeClr w14:val="tx1"/>
                  </w14:solidFill>
                </w14:textFill>
              </w:rPr>
            </w:pPr>
          </w:p>
        </w:tc>
        <w:tc>
          <w:tcPr>
            <w:tcW w:w="1360" w:type="dxa"/>
            <w:vAlign w:val="center"/>
          </w:tcPr>
          <w:p w14:paraId="27AC5FBC">
            <w:pPr>
              <w:jc w:val="center"/>
              <w:rPr>
                <w:rFonts w:ascii="宋体" w:hAnsi="宋体"/>
                <w:color w:val="000000" w:themeColor="text1"/>
                <w:szCs w:val="21"/>
                <w:highlight w:val="none"/>
                <w14:textFill>
                  <w14:solidFill>
                    <w14:schemeClr w14:val="tx1"/>
                  </w14:solidFill>
                </w14:textFill>
              </w:rPr>
            </w:pPr>
          </w:p>
        </w:tc>
        <w:tc>
          <w:tcPr>
            <w:tcW w:w="1587" w:type="dxa"/>
            <w:vAlign w:val="center"/>
          </w:tcPr>
          <w:p w14:paraId="15686221">
            <w:pPr>
              <w:jc w:val="center"/>
              <w:rPr>
                <w:rFonts w:ascii="宋体" w:hAnsi="宋体"/>
                <w:color w:val="000000" w:themeColor="text1"/>
                <w:szCs w:val="21"/>
                <w:highlight w:val="none"/>
                <w14:textFill>
                  <w14:solidFill>
                    <w14:schemeClr w14:val="tx1"/>
                  </w14:solidFill>
                </w14:textFill>
              </w:rPr>
            </w:pPr>
          </w:p>
        </w:tc>
        <w:tc>
          <w:tcPr>
            <w:tcW w:w="1133" w:type="dxa"/>
            <w:vAlign w:val="center"/>
          </w:tcPr>
          <w:p w14:paraId="68DF4A89">
            <w:pPr>
              <w:jc w:val="center"/>
              <w:rPr>
                <w:rFonts w:ascii="宋体" w:hAnsi="宋体"/>
                <w:color w:val="000000" w:themeColor="text1"/>
                <w:szCs w:val="21"/>
                <w:highlight w:val="none"/>
                <w14:textFill>
                  <w14:solidFill>
                    <w14:schemeClr w14:val="tx1"/>
                  </w14:solidFill>
                </w14:textFill>
              </w:rPr>
            </w:pPr>
          </w:p>
        </w:tc>
        <w:tc>
          <w:tcPr>
            <w:tcW w:w="1730" w:type="dxa"/>
            <w:vAlign w:val="center"/>
          </w:tcPr>
          <w:p w14:paraId="08BED3E8">
            <w:pPr>
              <w:jc w:val="center"/>
              <w:rPr>
                <w:rFonts w:ascii="宋体" w:hAnsi="宋体"/>
                <w:color w:val="000000" w:themeColor="text1"/>
                <w:szCs w:val="21"/>
                <w:highlight w:val="none"/>
                <w14:textFill>
                  <w14:solidFill>
                    <w14:schemeClr w14:val="tx1"/>
                  </w14:solidFill>
                </w14:textFill>
              </w:rPr>
            </w:pPr>
          </w:p>
        </w:tc>
      </w:tr>
    </w:tbl>
    <w:p w14:paraId="7D8C3C1F">
      <w:pPr>
        <w:rPr>
          <w:rFonts w:ascii="宋体" w:hAnsi="宋体"/>
          <w:color w:val="000000" w:themeColor="text1"/>
          <w:szCs w:val="21"/>
          <w:highlight w:val="none"/>
          <w14:textFill>
            <w14:solidFill>
              <w14:schemeClr w14:val="tx1"/>
            </w14:solidFill>
          </w14:textFill>
        </w:rPr>
      </w:pPr>
    </w:p>
    <w:p w14:paraId="0E2AE5FB">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投标人代表签字：</w:t>
      </w:r>
    </w:p>
    <w:p w14:paraId="08ED461E">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投标人盖章：</w:t>
      </w:r>
    </w:p>
    <w:p w14:paraId="2C1468E0">
      <w:pPr>
        <w:rPr>
          <w:rFonts w:ascii="宋体" w:hAnsi="宋体"/>
          <w:color w:val="000000" w:themeColor="text1"/>
          <w:szCs w:val="21"/>
          <w:highlight w:val="none"/>
          <w14:textFill>
            <w14:solidFill>
              <w14:schemeClr w14:val="tx1"/>
            </w14:solidFill>
          </w14:textFill>
        </w:rPr>
      </w:pPr>
    </w:p>
    <w:p w14:paraId="4857C01F">
      <w:pPr>
        <w:ind w:left="718" w:hanging="718" w:hangingChars="342"/>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注：</w:t>
      </w:r>
    </w:p>
    <w:p w14:paraId="65883504">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1、投标人应对照采购文件商务需求书中商务要求，说明已对采购文件的商务内容做出了实质性的响应。</w:t>
      </w:r>
    </w:p>
    <w:p w14:paraId="0159C069">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hint="eastAsia" w:hAnsi="宋体" w:cs="宋体"/>
          <w:color w:val="000000" w:themeColor="text1"/>
          <w:szCs w:val="21"/>
          <w:highlight w:val="none"/>
          <w14:textFill>
            <w14:solidFill>
              <w14:schemeClr w14:val="tx1"/>
            </w14:solidFill>
          </w14:textFill>
        </w:rPr>
        <w:t>不论出于何种原因此表未填写</w:t>
      </w:r>
      <w:r>
        <w:rPr>
          <w:rFonts w:hint="eastAsia" w:ascii="宋体" w:hAnsi="宋体"/>
          <w:color w:val="000000" w:themeColor="text1"/>
          <w:szCs w:val="21"/>
          <w:highlight w:val="none"/>
          <w14:textFill>
            <w14:solidFill>
              <w14:schemeClr w14:val="tx1"/>
            </w14:solidFill>
          </w14:textFill>
        </w:rPr>
        <w:t>完整</w:t>
      </w:r>
      <w:r>
        <w:rPr>
          <w:rFonts w:hint="eastAsia" w:hAnsi="宋体" w:cs="宋体"/>
          <w:color w:val="000000" w:themeColor="text1"/>
          <w:szCs w:val="21"/>
          <w:highlight w:val="none"/>
          <w14:textFill>
            <w14:solidFill>
              <w14:schemeClr w14:val="tx1"/>
            </w14:solidFill>
          </w14:textFill>
        </w:rPr>
        <w:t>，投标人都被认为已清楚了解采购文件“</w:t>
      </w:r>
      <w:r>
        <w:rPr>
          <w:rFonts w:hint="eastAsia" w:ascii="宋体" w:hAnsi="宋体"/>
          <w:color w:val="000000" w:themeColor="text1"/>
          <w:szCs w:val="21"/>
          <w:highlight w:val="none"/>
          <w14:textFill>
            <w14:solidFill>
              <w14:schemeClr w14:val="tx1"/>
            </w14:solidFill>
          </w14:textFill>
        </w:rPr>
        <w:t>商务</w:t>
      </w:r>
      <w:r>
        <w:rPr>
          <w:rFonts w:hint="eastAsia" w:hAnsi="宋体" w:cs="宋体"/>
          <w:color w:val="000000" w:themeColor="text1"/>
          <w:szCs w:val="21"/>
          <w:highlight w:val="none"/>
          <w14:textFill>
            <w14:solidFill>
              <w14:schemeClr w14:val="tx1"/>
            </w14:solidFill>
          </w14:textFill>
        </w:rPr>
        <w:t>需求书”的内容并对采购人所需的服务要求作全面响应，投标人必须承担完成“</w:t>
      </w:r>
      <w:r>
        <w:rPr>
          <w:rFonts w:hint="eastAsia" w:ascii="宋体" w:hAnsi="宋体"/>
          <w:color w:val="000000" w:themeColor="text1"/>
          <w:szCs w:val="21"/>
          <w:highlight w:val="none"/>
          <w14:textFill>
            <w14:solidFill>
              <w14:schemeClr w14:val="tx1"/>
            </w14:solidFill>
          </w14:textFill>
        </w:rPr>
        <w:t>商务</w:t>
      </w:r>
      <w:r>
        <w:rPr>
          <w:rFonts w:hint="eastAsia" w:hAnsi="宋体" w:cs="宋体"/>
          <w:color w:val="000000" w:themeColor="text1"/>
          <w:szCs w:val="21"/>
          <w:highlight w:val="none"/>
          <w14:textFill>
            <w14:solidFill>
              <w14:schemeClr w14:val="tx1"/>
            </w14:solidFill>
          </w14:textFill>
        </w:rPr>
        <w:t>需求书”所描述内容的义务</w:t>
      </w:r>
      <w:r>
        <w:rPr>
          <w:rFonts w:hint="eastAsia" w:ascii="宋体" w:hAnsi="宋体"/>
          <w:color w:val="000000" w:themeColor="text1"/>
          <w:szCs w:val="21"/>
          <w:highlight w:val="none"/>
          <w14:textFill>
            <w14:solidFill>
              <w14:schemeClr w14:val="tx1"/>
            </w14:solidFill>
          </w14:textFill>
        </w:rPr>
        <w:t>，因此对投标人投标产生负面影响的，投标人自行承担后果。</w:t>
      </w:r>
    </w:p>
    <w:p w14:paraId="0EB50D4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hint="eastAsia" w:hAnsi="宋体" w:cs="宋体"/>
          <w:color w:val="000000" w:themeColor="text1"/>
          <w:szCs w:val="21"/>
          <w:highlight w:val="none"/>
          <w14:textFill>
            <w14:solidFill>
              <w14:schemeClr w14:val="tx1"/>
            </w14:solidFill>
          </w14:textFill>
        </w:rPr>
        <w:t>如有偏离，应在“偏离情况”栏内注明“正”、“负”或“无”，并在“说明”栏内予以说明。</w:t>
      </w:r>
    </w:p>
    <w:p w14:paraId="0B6A1148">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hint="eastAsia" w:hAnsi="宋体" w:cs="宋体"/>
          <w:color w:val="000000" w:themeColor="text1"/>
          <w:szCs w:val="21"/>
          <w:highlight w:val="none"/>
          <w14:textFill>
            <w14:solidFill>
              <w14:schemeClr w14:val="tx1"/>
            </w14:solidFill>
          </w14:textFill>
        </w:rPr>
        <w:t>如投标人差异内容较多可另附页说明。</w:t>
      </w:r>
    </w:p>
    <w:p w14:paraId="4E749392">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r>
        <w:rPr>
          <w:rFonts w:hint="eastAsia" w:hAnsi="宋体" w:cs="宋体"/>
          <w:color w:val="000000" w:themeColor="text1"/>
          <w:szCs w:val="21"/>
          <w:highlight w:val="none"/>
          <w14:textFill>
            <w14:solidFill>
              <w14:schemeClr w14:val="tx1"/>
            </w14:solidFill>
          </w14:textFill>
        </w:rPr>
        <w:t>如投标人对用户需求书商务要求的条款全部响应的，也可以在表格下面用文字总括性的说明。</w:t>
      </w:r>
    </w:p>
    <w:p w14:paraId="221E6362">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0213EDF6">
      <w:pPr>
        <w:pStyle w:val="5"/>
        <w:widowControl w:val="0"/>
        <w:overflowPunct w:val="0"/>
        <w:spacing w:line="240" w:lineRule="auto"/>
        <w:rPr>
          <w:rFonts w:ascii="宋体" w:hAnsi="宋体"/>
          <w:color w:val="000000" w:themeColor="text1"/>
          <w:sz w:val="30"/>
          <w:szCs w:val="30"/>
          <w14:textFill>
            <w14:solidFill>
              <w14:schemeClr w14:val="tx1"/>
            </w14:solidFill>
          </w14:textFill>
        </w:rPr>
      </w:pPr>
      <w:bookmarkStart w:id="269" w:name="_Toc11015"/>
      <w:r>
        <w:rPr>
          <w:rFonts w:hint="eastAsia" w:ascii="宋体" w:hAnsi="宋体"/>
          <w:color w:val="000000" w:themeColor="text1"/>
          <w:sz w:val="21"/>
          <w:szCs w:val="21"/>
          <w14:textFill>
            <w14:solidFill>
              <w14:schemeClr w14:val="tx1"/>
            </w14:solidFill>
          </w14:textFill>
        </w:rPr>
        <w:t>附件</w:t>
      </w:r>
      <w:r>
        <w:rPr>
          <w:rFonts w:hint="eastAsia" w:ascii="宋体" w:hAnsi="宋体"/>
          <w:color w:val="000000" w:themeColor="text1"/>
          <w:sz w:val="21"/>
          <w:szCs w:val="21"/>
          <w:lang w:val="en-US" w:eastAsia="zh-CN"/>
          <w14:textFill>
            <w14:solidFill>
              <w14:schemeClr w14:val="tx1"/>
            </w14:solidFill>
          </w14:textFill>
        </w:rPr>
        <w:t>13</w:t>
      </w:r>
      <w:r>
        <w:rPr>
          <w:rFonts w:hint="eastAsia" w:ascii="宋体" w:hAnsi="宋体"/>
          <w:color w:val="000000" w:themeColor="text1"/>
          <w:sz w:val="21"/>
          <w:szCs w:val="21"/>
          <w14:textFill>
            <w14:solidFill>
              <w14:schemeClr w14:val="tx1"/>
            </w14:solidFill>
          </w14:textFill>
        </w:rPr>
        <w:t>.业绩表</w:t>
      </w:r>
      <w:bookmarkEnd w:id="269"/>
    </w:p>
    <w:p w14:paraId="0C486814">
      <w:pPr>
        <w:jc w:val="center"/>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业绩表</w:t>
      </w:r>
    </w:p>
    <w:tbl>
      <w:tblPr>
        <w:tblStyle w:val="32"/>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5"/>
        <w:gridCol w:w="1697"/>
      </w:tblGrid>
      <w:tr w14:paraId="4148F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14:paraId="64566737">
            <w:pPr>
              <w:adjustRightInd/>
              <w:snapToGrid/>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1705" w:type="dxa"/>
            <w:vAlign w:val="center"/>
          </w:tcPr>
          <w:p w14:paraId="30BE13B9">
            <w:pPr>
              <w:adjustRightInd/>
              <w:snapToGrid/>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项目名称</w:t>
            </w:r>
          </w:p>
        </w:tc>
        <w:tc>
          <w:tcPr>
            <w:tcW w:w="1706" w:type="dxa"/>
            <w:vAlign w:val="center"/>
          </w:tcPr>
          <w:p w14:paraId="382FBC13">
            <w:pPr>
              <w:adjustRightInd/>
              <w:snapToGrid/>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项目金额</w:t>
            </w:r>
          </w:p>
        </w:tc>
        <w:tc>
          <w:tcPr>
            <w:tcW w:w="1705" w:type="dxa"/>
            <w:vAlign w:val="center"/>
          </w:tcPr>
          <w:p w14:paraId="673E7C1E">
            <w:pPr>
              <w:adjustRightInd/>
              <w:snapToGrid/>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项目合同签订时间</w:t>
            </w:r>
          </w:p>
        </w:tc>
        <w:tc>
          <w:tcPr>
            <w:tcW w:w="1697" w:type="dxa"/>
            <w:vAlign w:val="center"/>
          </w:tcPr>
          <w:p w14:paraId="7CE14D40">
            <w:pPr>
              <w:adjustRightInd/>
              <w:snapToGrid/>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备注</w:t>
            </w:r>
          </w:p>
        </w:tc>
      </w:tr>
      <w:tr w14:paraId="2442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14:paraId="309A4D8A">
            <w:pPr>
              <w:adjustRightInd/>
              <w:snapToGrid/>
              <w:jc w:val="center"/>
              <w:rPr>
                <w:rFonts w:ascii="宋体" w:hAnsi="宋体"/>
                <w:color w:val="000000" w:themeColor="text1"/>
                <w:szCs w:val="21"/>
                <w14:textFill>
                  <w14:solidFill>
                    <w14:schemeClr w14:val="tx1"/>
                  </w14:solidFill>
                </w14:textFill>
              </w:rPr>
            </w:pPr>
          </w:p>
        </w:tc>
        <w:tc>
          <w:tcPr>
            <w:tcW w:w="1705" w:type="dxa"/>
            <w:vAlign w:val="center"/>
          </w:tcPr>
          <w:p w14:paraId="1498790E">
            <w:pPr>
              <w:adjustRightInd/>
              <w:snapToGrid/>
              <w:jc w:val="center"/>
              <w:rPr>
                <w:rFonts w:ascii="宋体" w:hAnsi="宋体"/>
                <w:color w:val="000000" w:themeColor="text1"/>
                <w:szCs w:val="21"/>
                <w14:textFill>
                  <w14:solidFill>
                    <w14:schemeClr w14:val="tx1"/>
                  </w14:solidFill>
                </w14:textFill>
              </w:rPr>
            </w:pPr>
          </w:p>
        </w:tc>
        <w:tc>
          <w:tcPr>
            <w:tcW w:w="1706" w:type="dxa"/>
            <w:vAlign w:val="center"/>
          </w:tcPr>
          <w:p w14:paraId="61EDC28F">
            <w:pPr>
              <w:adjustRightInd/>
              <w:snapToGrid/>
              <w:jc w:val="center"/>
              <w:rPr>
                <w:rFonts w:ascii="宋体" w:hAnsi="宋体"/>
                <w:color w:val="000000" w:themeColor="text1"/>
                <w:szCs w:val="21"/>
                <w14:textFill>
                  <w14:solidFill>
                    <w14:schemeClr w14:val="tx1"/>
                  </w14:solidFill>
                </w14:textFill>
              </w:rPr>
            </w:pPr>
          </w:p>
        </w:tc>
        <w:tc>
          <w:tcPr>
            <w:tcW w:w="1705" w:type="dxa"/>
            <w:vAlign w:val="center"/>
          </w:tcPr>
          <w:p w14:paraId="292B25FE">
            <w:pPr>
              <w:adjustRightInd/>
              <w:snapToGrid/>
              <w:jc w:val="center"/>
              <w:rPr>
                <w:rFonts w:ascii="宋体" w:hAnsi="宋体"/>
                <w:color w:val="000000" w:themeColor="text1"/>
                <w:szCs w:val="21"/>
                <w14:textFill>
                  <w14:solidFill>
                    <w14:schemeClr w14:val="tx1"/>
                  </w14:solidFill>
                </w14:textFill>
              </w:rPr>
            </w:pPr>
          </w:p>
        </w:tc>
        <w:tc>
          <w:tcPr>
            <w:tcW w:w="1697" w:type="dxa"/>
            <w:vAlign w:val="center"/>
          </w:tcPr>
          <w:p w14:paraId="2D3D9775">
            <w:pPr>
              <w:adjustRightInd/>
              <w:snapToGrid/>
              <w:jc w:val="center"/>
              <w:rPr>
                <w:rFonts w:ascii="宋体" w:hAnsi="宋体"/>
                <w:color w:val="000000" w:themeColor="text1"/>
                <w:szCs w:val="21"/>
                <w14:textFill>
                  <w14:solidFill>
                    <w14:schemeClr w14:val="tx1"/>
                  </w14:solidFill>
                </w14:textFill>
              </w:rPr>
            </w:pPr>
          </w:p>
        </w:tc>
      </w:tr>
      <w:tr w14:paraId="319CF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057EB3EB">
            <w:pPr>
              <w:adjustRightInd/>
              <w:snapToGrid/>
              <w:rPr>
                <w:rFonts w:ascii="宋体" w:hAnsi="宋体"/>
                <w:color w:val="000000" w:themeColor="text1"/>
                <w:szCs w:val="21"/>
                <w14:textFill>
                  <w14:solidFill>
                    <w14:schemeClr w14:val="tx1"/>
                  </w14:solidFill>
                </w14:textFill>
              </w:rPr>
            </w:pPr>
          </w:p>
        </w:tc>
        <w:tc>
          <w:tcPr>
            <w:tcW w:w="1705" w:type="dxa"/>
          </w:tcPr>
          <w:p w14:paraId="21E97641">
            <w:pPr>
              <w:adjustRightInd/>
              <w:snapToGrid/>
              <w:rPr>
                <w:rFonts w:ascii="宋体" w:hAnsi="宋体"/>
                <w:color w:val="000000" w:themeColor="text1"/>
                <w:szCs w:val="21"/>
                <w14:textFill>
                  <w14:solidFill>
                    <w14:schemeClr w14:val="tx1"/>
                  </w14:solidFill>
                </w14:textFill>
              </w:rPr>
            </w:pPr>
          </w:p>
        </w:tc>
        <w:tc>
          <w:tcPr>
            <w:tcW w:w="1706" w:type="dxa"/>
          </w:tcPr>
          <w:p w14:paraId="08C567B0">
            <w:pPr>
              <w:adjustRightInd/>
              <w:snapToGrid/>
              <w:rPr>
                <w:rFonts w:ascii="宋体" w:hAnsi="宋体"/>
                <w:color w:val="000000" w:themeColor="text1"/>
                <w:szCs w:val="21"/>
                <w14:textFill>
                  <w14:solidFill>
                    <w14:schemeClr w14:val="tx1"/>
                  </w14:solidFill>
                </w14:textFill>
              </w:rPr>
            </w:pPr>
          </w:p>
        </w:tc>
        <w:tc>
          <w:tcPr>
            <w:tcW w:w="1705" w:type="dxa"/>
          </w:tcPr>
          <w:p w14:paraId="715B0A19">
            <w:pPr>
              <w:adjustRightInd/>
              <w:snapToGrid/>
              <w:rPr>
                <w:rFonts w:ascii="宋体" w:hAnsi="宋体"/>
                <w:color w:val="000000" w:themeColor="text1"/>
                <w:szCs w:val="21"/>
                <w14:textFill>
                  <w14:solidFill>
                    <w14:schemeClr w14:val="tx1"/>
                  </w14:solidFill>
                </w14:textFill>
              </w:rPr>
            </w:pPr>
          </w:p>
        </w:tc>
        <w:tc>
          <w:tcPr>
            <w:tcW w:w="1697" w:type="dxa"/>
          </w:tcPr>
          <w:p w14:paraId="0A60634F">
            <w:pPr>
              <w:adjustRightInd/>
              <w:snapToGrid/>
              <w:rPr>
                <w:rFonts w:ascii="宋体" w:hAnsi="宋体"/>
                <w:color w:val="000000" w:themeColor="text1"/>
                <w:szCs w:val="21"/>
                <w14:textFill>
                  <w14:solidFill>
                    <w14:schemeClr w14:val="tx1"/>
                  </w14:solidFill>
                </w14:textFill>
              </w:rPr>
            </w:pPr>
          </w:p>
        </w:tc>
      </w:tr>
      <w:tr w14:paraId="5134C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15643672">
            <w:pPr>
              <w:adjustRightInd/>
              <w:snapToGrid/>
              <w:rPr>
                <w:rFonts w:ascii="宋体" w:hAnsi="宋体"/>
                <w:color w:val="000000" w:themeColor="text1"/>
                <w:szCs w:val="21"/>
                <w14:textFill>
                  <w14:solidFill>
                    <w14:schemeClr w14:val="tx1"/>
                  </w14:solidFill>
                </w14:textFill>
              </w:rPr>
            </w:pPr>
          </w:p>
        </w:tc>
        <w:tc>
          <w:tcPr>
            <w:tcW w:w="1705" w:type="dxa"/>
          </w:tcPr>
          <w:p w14:paraId="118A1D8A">
            <w:pPr>
              <w:adjustRightInd/>
              <w:snapToGrid/>
              <w:rPr>
                <w:rFonts w:ascii="宋体" w:hAnsi="宋体"/>
                <w:color w:val="000000" w:themeColor="text1"/>
                <w:szCs w:val="21"/>
                <w14:textFill>
                  <w14:solidFill>
                    <w14:schemeClr w14:val="tx1"/>
                  </w14:solidFill>
                </w14:textFill>
              </w:rPr>
            </w:pPr>
          </w:p>
        </w:tc>
        <w:tc>
          <w:tcPr>
            <w:tcW w:w="1706" w:type="dxa"/>
          </w:tcPr>
          <w:p w14:paraId="1CF84061">
            <w:pPr>
              <w:adjustRightInd/>
              <w:snapToGrid/>
              <w:rPr>
                <w:rFonts w:ascii="宋体" w:hAnsi="宋体"/>
                <w:color w:val="000000" w:themeColor="text1"/>
                <w:szCs w:val="21"/>
                <w14:textFill>
                  <w14:solidFill>
                    <w14:schemeClr w14:val="tx1"/>
                  </w14:solidFill>
                </w14:textFill>
              </w:rPr>
            </w:pPr>
          </w:p>
        </w:tc>
        <w:tc>
          <w:tcPr>
            <w:tcW w:w="1705" w:type="dxa"/>
          </w:tcPr>
          <w:p w14:paraId="15FC34B8">
            <w:pPr>
              <w:adjustRightInd/>
              <w:snapToGrid/>
              <w:rPr>
                <w:rFonts w:ascii="宋体" w:hAnsi="宋体"/>
                <w:color w:val="000000" w:themeColor="text1"/>
                <w:szCs w:val="21"/>
                <w14:textFill>
                  <w14:solidFill>
                    <w14:schemeClr w14:val="tx1"/>
                  </w14:solidFill>
                </w14:textFill>
              </w:rPr>
            </w:pPr>
          </w:p>
        </w:tc>
        <w:tc>
          <w:tcPr>
            <w:tcW w:w="1697" w:type="dxa"/>
          </w:tcPr>
          <w:p w14:paraId="1A53B00C">
            <w:pPr>
              <w:adjustRightInd/>
              <w:snapToGrid/>
              <w:rPr>
                <w:rFonts w:ascii="宋体" w:hAnsi="宋体"/>
                <w:color w:val="000000" w:themeColor="text1"/>
                <w:szCs w:val="21"/>
                <w14:textFill>
                  <w14:solidFill>
                    <w14:schemeClr w14:val="tx1"/>
                  </w14:solidFill>
                </w14:textFill>
              </w:rPr>
            </w:pPr>
          </w:p>
        </w:tc>
      </w:tr>
      <w:tr w14:paraId="22D8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2DA85CDE">
            <w:pPr>
              <w:adjustRightInd/>
              <w:snapToGrid/>
              <w:rPr>
                <w:rFonts w:ascii="宋体" w:hAnsi="宋体"/>
                <w:color w:val="000000" w:themeColor="text1"/>
                <w:szCs w:val="21"/>
                <w14:textFill>
                  <w14:solidFill>
                    <w14:schemeClr w14:val="tx1"/>
                  </w14:solidFill>
                </w14:textFill>
              </w:rPr>
            </w:pPr>
          </w:p>
        </w:tc>
        <w:tc>
          <w:tcPr>
            <w:tcW w:w="1705" w:type="dxa"/>
          </w:tcPr>
          <w:p w14:paraId="710D1045">
            <w:pPr>
              <w:adjustRightInd/>
              <w:snapToGrid/>
              <w:rPr>
                <w:rFonts w:ascii="宋体" w:hAnsi="宋体"/>
                <w:color w:val="000000" w:themeColor="text1"/>
                <w:szCs w:val="21"/>
                <w14:textFill>
                  <w14:solidFill>
                    <w14:schemeClr w14:val="tx1"/>
                  </w14:solidFill>
                </w14:textFill>
              </w:rPr>
            </w:pPr>
          </w:p>
        </w:tc>
        <w:tc>
          <w:tcPr>
            <w:tcW w:w="1706" w:type="dxa"/>
          </w:tcPr>
          <w:p w14:paraId="7E5E230E">
            <w:pPr>
              <w:adjustRightInd/>
              <w:snapToGrid/>
              <w:rPr>
                <w:rFonts w:ascii="宋体" w:hAnsi="宋体"/>
                <w:color w:val="000000" w:themeColor="text1"/>
                <w:szCs w:val="21"/>
                <w14:textFill>
                  <w14:solidFill>
                    <w14:schemeClr w14:val="tx1"/>
                  </w14:solidFill>
                </w14:textFill>
              </w:rPr>
            </w:pPr>
          </w:p>
        </w:tc>
        <w:tc>
          <w:tcPr>
            <w:tcW w:w="1705" w:type="dxa"/>
          </w:tcPr>
          <w:p w14:paraId="5402F5D0">
            <w:pPr>
              <w:adjustRightInd/>
              <w:snapToGrid/>
              <w:rPr>
                <w:rFonts w:ascii="宋体" w:hAnsi="宋体"/>
                <w:color w:val="000000" w:themeColor="text1"/>
                <w:szCs w:val="21"/>
                <w14:textFill>
                  <w14:solidFill>
                    <w14:schemeClr w14:val="tx1"/>
                  </w14:solidFill>
                </w14:textFill>
              </w:rPr>
            </w:pPr>
          </w:p>
        </w:tc>
        <w:tc>
          <w:tcPr>
            <w:tcW w:w="1697" w:type="dxa"/>
          </w:tcPr>
          <w:p w14:paraId="594F8022">
            <w:pPr>
              <w:adjustRightInd/>
              <w:snapToGrid/>
              <w:rPr>
                <w:rFonts w:ascii="宋体" w:hAnsi="宋体"/>
                <w:color w:val="000000" w:themeColor="text1"/>
                <w:szCs w:val="21"/>
                <w14:textFill>
                  <w14:solidFill>
                    <w14:schemeClr w14:val="tx1"/>
                  </w14:solidFill>
                </w14:textFill>
              </w:rPr>
            </w:pPr>
          </w:p>
        </w:tc>
      </w:tr>
      <w:tr w14:paraId="30AC0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357EA8FE">
            <w:pPr>
              <w:adjustRightInd/>
              <w:snapToGrid/>
              <w:rPr>
                <w:rFonts w:ascii="宋体" w:hAnsi="宋体"/>
                <w:color w:val="000000" w:themeColor="text1"/>
                <w:szCs w:val="21"/>
                <w14:textFill>
                  <w14:solidFill>
                    <w14:schemeClr w14:val="tx1"/>
                  </w14:solidFill>
                </w14:textFill>
              </w:rPr>
            </w:pPr>
          </w:p>
        </w:tc>
        <w:tc>
          <w:tcPr>
            <w:tcW w:w="1705" w:type="dxa"/>
          </w:tcPr>
          <w:p w14:paraId="5FDF773E">
            <w:pPr>
              <w:adjustRightInd/>
              <w:snapToGrid/>
              <w:rPr>
                <w:rFonts w:ascii="宋体" w:hAnsi="宋体"/>
                <w:color w:val="000000" w:themeColor="text1"/>
                <w:szCs w:val="21"/>
                <w14:textFill>
                  <w14:solidFill>
                    <w14:schemeClr w14:val="tx1"/>
                  </w14:solidFill>
                </w14:textFill>
              </w:rPr>
            </w:pPr>
          </w:p>
        </w:tc>
        <w:tc>
          <w:tcPr>
            <w:tcW w:w="1706" w:type="dxa"/>
          </w:tcPr>
          <w:p w14:paraId="3F6DB416">
            <w:pPr>
              <w:adjustRightInd/>
              <w:snapToGrid/>
              <w:rPr>
                <w:rFonts w:ascii="宋体" w:hAnsi="宋体"/>
                <w:color w:val="000000" w:themeColor="text1"/>
                <w:szCs w:val="21"/>
                <w14:textFill>
                  <w14:solidFill>
                    <w14:schemeClr w14:val="tx1"/>
                  </w14:solidFill>
                </w14:textFill>
              </w:rPr>
            </w:pPr>
          </w:p>
        </w:tc>
        <w:tc>
          <w:tcPr>
            <w:tcW w:w="1705" w:type="dxa"/>
          </w:tcPr>
          <w:p w14:paraId="64FC49D7">
            <w:pPr>
              <w:adjustRightInd/>
              <w:snapToGrid/>
              <w:rPr>
                <w:rFonts w:ascii="宋体" w:hAnsi="宋体"/>
                <w:color w:val="000000" w:themeColor="text1"/>
                <w:szCs w:val="21"/>
                <w14:textFill>
                  <w14:solidFill>
                    <w14:schemeClr w14:val="tx1"/>
                  </w14:solidFill>
                </w14:textFill>
              </w:rPr>
            </w:pPr>
          </w:p>
        </w:tc>
        <w:tc>
          <w:tcPr>
            <w:tcW w:w="1697" w:type="dxa"/>
          </w:tcPr>
          <w:p w14:paraId="3A1DA09B">
            <w:pPr>
              <w:adjustRightInd/>
              <w:snapToGrid/>
              <w:rPr>
                <w:rFonts w:ascii="宋体" w:hAnsi="宋体"/>
                <w:color w:val="000000" w:themeColor="text1"/>
                <w:szCs w:val="21"/>
                <w14:textFill>
                  <w14:solidFill>
                    <w14:schemeClr w14:val="tx1"/>
                  </w14:solidFill>
                </w14:textFill>
              </w:rPr>
            </w:pPr>
          </w:p>
        </w:tc>
      </w:tr>
      <w:tr w14:paraId="5673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64602930">
            <w:pPr>
              <w:adjustRightInd/>
              <w:snapToGrid/>
              <w:rPr>
                <w:rFonts w:ascii="宋体" w:hAnsi="宋体"/>
                <w:color w:val="000000" w:themeColor="text1"/>
                <w:szCs w:val="21"/>
                <w14:textFill>
                  <w14:solidFill>
                    <w14:schemeClr w14:val="tx1"/>
                  </w14:solidFill>
                </w14:textFill>
              </w:rPr>
            </w:pPr>
          </w:p>
        </w:tc>
        <w:tc>
          <w:tcPr>
            <w:tcW w:w="1705" w:type="dxa"/>
          </w:tcPr>
          <w:p w14:paraId="3F5FE1DE">
            <w:pPr>
              <w:adjustRightInd/>
              <w:snapToGrid/>
              <w:rPr>
                <w:rFonts w:ascii="宋体" w:hAnsi="宋体"/>
                <w:color w:val="000000" w:themeColor="text1"/>
                <w:szCs w:val="21"/>
                <w14:textFill>
                  <w14:solidFill>
                    <w14:schemeClr w14:val="tx1"/>
                  </w14:solidFill>
                </w14:textFill>
              </w:rPr>
            </w:pPr>
          </w:p>
        </w:tc>
        <w:tc>
          <w:tcPr>
            <w:tcW w:w="1706" w:type="dxa"/>
          </w:tcPr>
          <w:p w14:paraId="2DB0AF2A">
            <w:pPr>
              <w:adjustRightInd/>
              <w:snapToGrid/>
              <w:rPr>
                <w:rFonts w:ascii="宋体" w:hAnsi="宋体"/>
                <w:color w:val="000000" w:themeColor="text1"/>
                <w:szCs w:val="21"/>
                <w14:textFill>
                  <w14:solidFill>
                    <w14:schemeClr w14:val="tx1"/>
                  </w14:solidFill>
                </w14:textFill>
              </w:rPr>
            </w:pPr>
          </w:p>
        </w:tc>
        <w:tc>
          <w:tcPr>
            <w:tcW w:w="1705" w:type="dxa"/>
          </w:tcPr>
          <w:p w14:paraId="7BEB7CE1">
            <w:pPr>
              <w:adjustRightInd/>
              <w:snapToGrid/>
              <w:rPr>
                <w:rFonts w:ascii="宋体" w:hAnsi="宋体"/>
                <w:color w:val="000000" w:themeColor="text1"/>
                <w:szCs w:val="21"/>
                <w14:textFill>
                  <w14:solidFill>
                    <w14:schemeClr w14:val="tx1"/>
                  </w14:solidFill>
                </w14:textFill>
              </w:rPr>
            </w:pPr>
          </w:p>
        </w:tc>
        <w:tc>
          <w:tcPr>
            <w:tcW w:w="1697" w:type="dxa"/>
          </w:tcPr>
          <w:p w14:paraId="40A9A88C">
            <w:pPr>
              <w:adjustRightInd/>
              <w:snapToGrid/>
              <w:rPr>
                <w:rFonts w:ascii="宋体" w:hAnsi="宋体"/>
                <w:color w:val="000000" w:themeColor="text1"/>
                <w:szCs w:val="21"/>
                <w14:textFill>
                  <w14:solidFill>
                    <w14:schemeClr w14:val="tx1"/>
                  </w14:solidFill>
                </w14:textFill>
              </w:rPr>
            </w:pPr>
          </w:p>
        </w:tc>
      </w:tr>
    </w:tbl>
    <w:p w14:paraId="759830DD">
      <w:pPr>
        <w:pStyle w:val="43"/>
        <w:rPr>
          <w:rFonts w:ascii="宋体" w:hAnsi="宋体"/>
          <w:color w:val="000000" w:themeColor="text1"/>
          <w:szCs w:val="21"/>
          <w14:textFill>
            <w14:solidFill>
              <w14:schemeClr w14:val="tx1"/>
            </w14:solidFill>
          </w14:textFill>
        </w:rPr>
      </w:pPr>
    </w:p>
    <w:p w14:paraId="642BC403">
      <w:pPr>
        <w:pStyle w:val="43"/>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w:t>
      </w:r>
    </w:p>
    <w:p w14:paraId="75453BC3">
      <w:pPr>
        <w:pStyle w:val="43"/>
        <w:numPr>
          <w:ilvl w:val="0"/>
          <w:numId w:val="11"/>
        </w:num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该表格为参考格式，投标人可按实际情况自行制订。</w:t>
      </w:r>
    </w:p>
    <w:p w14:paraId="6673D7AD">
      <w:pPr>
        <w:pStyle w:val="43"/>
        <w:numPr>
          <w:ilvl w:val="0"/>
          <w:numId w:val="11"/>
        </w:num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业绩表所列出的材料应为真实准确的，并应提供相关证明材料复印件加盖公章。请勿提供虚假、过期材料，否则将依据相关规定严肃处理。</w:t>
      </w:r>
    </w:p>
    <w:p w14:paraId="4F6E6F3C">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3E9E740E">
      <w:pPr>
        <w:pStyle w:val="11"/>
        <w:rPr>
          <w:color w:val="000000" w:themeColor="text1"/>
          <w:szCs w:val="21"/>
          <w14:textFill>
            <w14:solidFill>
              <w14:schemeClr w14:val="tx1"/>
            </w14:solidFill>
          </w14:textFill>
        </w:rPr>
        <w:sectPr>
          <w:footerReference r:id="rId14" w:type="first"/>
          <w:footerReference r:id="rId13" w:type="default"/>
          <w:pgSz w:w="11906" w:h="16838"/>
          <w:pgMar w:top="1440" w:right="1800" w:bottom="1440" w:left="1800" w:header="708" w:footer="708" w:gutter="0"/>
          <w:pgNumType w:fmt="decimal" w:start="1"/>
          <w:cols w:space="708" w:num="1"/>
          <w:titlePg/>
          <w:docGrid w:type="lines" w:linePitch="360" w:charSpace="0"/>
        </w:sectPr>
      </w:pPr>
    </w:p>
    <w:p w14:paraId="3ED59D07">
      <w:pPr>
        <w:pStyle w:val="5"/>
        <w:widowControl w:val="0"/>
        <w:overflowPunct w:val="0"/>
        <w:spacing w:line="240" w:lineRule="auto"/>
        <w:rPr>
          <w:color w:val="000000" w:themeColor="text1"/>
          <w:highlight w:val="none"/>
          <w14:textFill>
            <w14:solidFill>
              <w14:schemeClr w14:val="tx1"/>
            </w14:solidFill>
          </w14:textFill>
        </w:rPr>
      </w:pPr>
      <w:bookmarkStart w:id="270" w:name="_Toc26235"/>
      <w:r>
        <w:rPr>
          <w:rFonts w:hint="eastAsia" w:ascii="宋体" w:hAnsi="宋体"/>
          <w:color w:val="000000" w:themeColor="text1"/>
          <w:sz w:val="21"/>
          <w:szCs w:val="21"/>
          <w:highlight w:val="none"/>
          <w14:textFill>
            <w14:solidFill>
              <w14:schemeClr w14:val="tx1"/>
            </w14:solidFill>
          </w14:textFill>
        </w:rPr>
        <w:t>附件</w:t>
      </w:r>
      <w:r>
        <w:rPr>
          <w:rFonts w:hint="eastAsia" w:ascii="宋体" w:hAnsi="宋体"/>
          <w:color w:val="000000" w:themeColor="text1"/>
          <w:sz w:val="21"/>
          <w:szCs w:val="21"/>
          <w:highlight w:val="none"/>
          <w:lang w:val="en-US" w:eastAsia="zh-CN"/>
          <w14:textFill>
            <w14:solidFill>
              <w14:schemeClr w14:val="tx1"/>
            </w14:solidFill>
          </w14:textFill>
        </w:rPr>
        <w:t>14</w:t>
      </w:r>
      <w:r>
        <w:rPr>
          <w:rFonts w:hint="eastAsia" w:ascii="宋体" w:hAnsi="宋体"/>
          <w:color w:val="000000" w:themeColor="text1"/>
          <w:sz w:val="21"/>
          <w:szCs w:val="21"/>
          <w:highlight w:val="none"/>
          <w14:textFill>
            <w14:solidFill>
              <w14:schemeClr w14:val="tx1"/>
            </w14:solidFill>
          </w14:textFill>
        </w:rPr>
        <w:t>.联合体协议书</w:t>
      </w:r>
      <w:r>
        <w:rPr>
          <w:rFonts w:hint="eastAsia"/>
          <w:color w:val="000000" w:themeColor="text1"/>
          <w:highlight w:val="none"/>
          <w14:textFill>
            <w14:solidFill>
              <w14:schemeClr w14:val="tx1"/>
            </w14:solidFill>
          </w14:textFill>
        </w:rPr>
        <w:t>（如有）</w:t>
      </w:r>
      <w:bookmarkEnd w:id="270"/>
    </w:p>
    <w:p w14:paraId="5B6D0D58">
      <w:pPr>
        <w:rPr>
          <w:color w:val="000000" w:themeColor="text1"/>
          <w:highlight w:val="none"/>
          <w14:textFill>
            <w14:solidFill>
              <w14:schemeClr w14:val="tx1"/>
            </w14:solidFill>
          </w14:textFill>
        </w:rPr>
      </w:pPr>
    </w:p>
    <w:p w14:paraId="3CCC4C03">
      <w:pPr>
        <w:jc w:val="center"/>
        <w:rPr>
          <w:rFonts w:hAnsi="宋体" w:cs="宋体"/>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联合体共同投标协议书</w:t>
      </w:r>
    </w:p>
    <w:p w14:paraId="0D7044F1">
      <w:pPr>
        <w:jc w:val="center"/>
        <w:rPr>
          <w:rFonts w:hAnsi="宋体" w:cs="宋体"/>
          <w:color w:val="000000" w:themeColor="text1"/>
          <w:highlight w:val="none"/>
          <w14:textFill>
            <w14:solidFill>
              <w14:schemeClr w14:val="tx1"/>
            </w14:solidFill>
          </w14:textFill>
        </w:rPr>
      </w:pPr>
    </w:p>
    <w:p w14:paraId="77F238FB">
      <w:pPr>
        <w:rPr>
          <w:rFonts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立约方：（甲公司全称）</w:t>
      </w:r>
    </w:p>
    <w:p w14:paraId="19E91336">
      <w:pPr>
        <w:rPr>
          <w:rFonts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（乙公司全称）</w:t>
      </w:r>
    </w:p>
    <w:p w14:paraId="5B7D7554">
      <w:pPr>
        <w:rPr>
          <w:rFonts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（……公司全称）</w:t>
      </w:r>
    </w:p>
    <w:p w14:paraId="319F7ECA">
      <w:pPr>
        <w:rPr>
          <w:rFonts w:hAnsi="宋体" w:cs="宋体"/>
          <w:color w:val="000000" w:themeColor="text1"/>
          <w:szCs w:val="21"/>
          <w14:textFill>
            <w14:solidFill>
              <w14:schemeClr w14:val="tx1"/>
            </w14:solidFill>
          </w14:textFill>
        </w:rPr>
      </w:pPr>
      <w:r>
        <w:rPr>
          <w:rFonts w:hint="eastAsia" w:hAnsi="宋体" w:cs="宋体"/>
          <w:color w:val="000000" w:themeColor="text1"/>
          <w:szCs w:val="21"/>
          <w:highlight w:val="none"/>
          <w:u w:val="single"/>
          <w14:textFill>
            <w14:solidFill>
              <w14:schemeClr w14:val="tx1"/>
            </w14:solidFill>
          </w14:textFill>
        </w:rPr>
        <w:t>（甲公司全称）、（乙公司全称）、（……公司全称</w:t>
      </w:r>
      <w:r>
        <w:rPr>
          <w:rFonts w:hint="eastAsia" w:hAnsi="宋体" w:cs="宋体"/>
          <w:color w:val="000000" w:themeColor="text1"/>
          <w:szCs w:val="21"/>
          <w:u w:val="single"/>
          <w14:textFill>
            <w14:solidFill>
              <w14:schemeClr w14:val="tx1"/>
            </w14:solidFill>
          </w14:textFill>
        </w:rPr>
        <w:t>）</w:t>
      </w:r>
      <w:r>
        <w:rPr>
          <w:rFonts w:hint="eastAsia" w:hAnsi="宋体" w:cs="宋体"/>
          <w:color w:val="000000" w:themeColor="text1"/>
          <w:szCs w:val="21"/>
          <w14:textFill>
            <w14:solidFill>
              <w14:schemeClr w14:val="tx1"/>
            </w14:solidFill>
          </w14:textFill>
        </w:rPr>
        <w:t>自愿组成联合体，以一个投标人的身份共同参加</w:t>
      </w:r>
      <w:r>
        <w:rPr>
          <w:rFonts w:hint="eastAsia" w:hAnsi="宋体" w:cs="宋体"/>
          <w:color w:val="000000" w:themeColor="text1"/>
          <w:szCs w:val="21"/>
          <w:u w:val="single"/>
          <w14:textFill>
            <w14:solidFill>
              <w14:schemeClr w14:val="tx1"/>
            </w14:solidFill>
          </w14:textFill>
        </w:rPr>
        <w:t>（xxxx项目） （项目编号：xxxx）</w:t>
      </w:r>
      <w:r>
        <w:rPr>
          <w:rFonts w:hint="eastAsia" w:hAnsi="宋体" w:cs="宋体"/>
          <w:color w:val="000000" w:themeColor="text1"/>
          <w:szCs w:val="21"/>
          <w14:textFill>
            <w14:solidFill>
              <w14:schemeClr w14:val="tx1"/>
            </w14:solidFill>
          </w14:textFill>
        </w:rPr>
        <w:t>的招标活动。经各方充分协商一致，就项目的投标和合同实施阶段的有关事务协商一致订立协议如下：</w:t>
      </w:r>
    </w:p>
    <w:p w14:paraId="256C77A4">
      <w:pPr>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一、联合体各方关系</w:t>
      </w:r>
    </w:p>
    <w:p w14:paraId="2B8D0A3B">
      <w:pPr>
        <w:rPr>
          <w:rFonts w:hAnsi="宋体" w:cs="宋体"/>
          <w:color w:val="000000" w:themeColor="text1"/>
          <w:szCs w:val="21"/>
          <w14:textFill>
            <w14:solidFill>
              <w14:schemeClr w14:val="tx1"/>
            </w14:solidFill>
          </w14:textFill>
        </w:rPr>
      </w:pPr>
      <w:r>
        <w:rPr>
          <w:rFonts w:hint="eastAsia" w:hAnsi="宋体" w:cs="宋体"/>
          <w:color w:val="000000" w:themeColor="text1"/>
          <w:szCs w:val="21"/>
          <w:u w:val="single"/>
          <w14:textFill>
            <w14:solidFill>
              <w14:schemeClr w14:val="tx1"/>
            </w14:solidFill>
          </w14:textFill>
        </w:rPr>
        <w:t>1.（甲公司全称）、（乙公司全称）、（……公司全称）</w:t>
      </w:r>
      <w:r>
        <w:rPr>
          <w:rFonts w:hint="eastAsia" w:hAnsi="宋体" w:cs="宋体"/>
          <w:color w:val="000000" w:themeColor="text1"/>
          <w:szCs w:val="21"/>
          <w14:textFill>
            <w14:solidFill>
              <w14:schemeClr w14:val="tx1"/>
            </w14:solidFill>
          </w14:textFill>
        </w:rPr>
        <w:t>共同组成一个联合体，以一个投标人的身份共同参加本项目的投标。</w:t>
      </w:r>
      <w:r>
        <w:rPr>
          <w:rFonts w:hint="eastAsia" w:hAnsi="宋体" w:cs="宋体"/>
          <w:color w:val="000000" w:themeColor="text1"/>
          <w:szCs w:val="21"/>
          <w:u w:val="single"/>
          <w14:textFill>
            <w14:solidFill>
              <w14:schemeClr w14:val="tx1"/>
            </w14:solidFill>
          </w14:textFill>
        </w:rPr>
        <w:t>（甲公司全称）、（乙公司全称）、（……公司全称）</w:t>
      </w:r>
      <w:r>
        <w:rPr>
          <w:rFonts w:hint="eastAsia" w:hAnsi="宋体" w:cs="宋体"/>
          <w:color w:val="000000" w:themeColor="text1"/>
          <w:szCs w:val="21"/>
          <w14:textFill>
            <w14:solidFill>
              <w14:schemeClr w14:val="tx1"/>
            </w14:solidFill>
          </w14:textFill>
        </w:rPr>
        <w:t>作为联合体成员，若中标，联合体各方共同与</w:t>
      </w:r>
      <w:r>
        <w:rPr>
          <w:rFonts w:hint="eastAsia" w:hAnsi="宋体" w:cs="宋体"/>
          <w:color w:val="000000" w:themeColor="text1"/>
          <w:szCs w:val="21"/>
          <w:u w:val="single"/>
          <w14:textFill>
            <w14:solidFill>
              <w14:schemeClr w14:val="tx1"/>
            </w14:solidFill>
          </w14:textFill>
        </w:rPr>
        <w:t>（采购人）</w:t>
      </w:r>
      <w:r>
        <w:rPr>
          <w:rFonts w:hint="eastAsia" w:hAnsi="宋体" w:cs="宋体"/>
          <w:color w:val="000000" w:themeColor="text1"/>
          <w:szCs w:val="21"/>
          <w14:textFill>
            <w14:solidFill>
              <w14:schemeClr w14:val="tx1"/>
            </w14:solidFill>
          </w14:textFill>
        </w:rPr>
        <w:t>签订合同。</w:t>
      </w:r>
    </w:p>
    <w:p w14:paraId="6F9EBCEF">
      <w:pPr>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2.本次投标中，以</w:t>
      </w:r>
      <w:r>
        <w:rPr>
          <w:rFonts w:hint="eastAsia" w:hAnsi="宋体" w:cs="宋体"/>
          <w:color w:val="000000" w:themeColor="text1"/>
          <w:szCs w:val="21"/>
          <w:u w:val="single"/>
          <w14:textFill>
            <w14:solidFill>
              <w14:schemeClr w14:val="tx1"/>
            </w14:solidFill>
          </w14:textFill>
        </w:rPr>
        <w:t>（公司全称）</w:t>
      </w:r>
      <w:r>
        <w:rPr>
          <w:rFonts w:hint="eastAsia" w:hAnsi="宋体" w:cs="宋体"/>
          <w:color w:val="000000" w:themeColor="text1"/>
          <w:szCs w:val="21"/>
          <w14:textFill>
            <w14:solidFill>
              <w14:schemeClr w14:val="tx1"/>
            </w14:solidFill>
          </w14:textFill>
        </w:rPr>
        <w:t>为联合体牵头人。</w:t>
      </w:r>
    </w:p>
    <w:p w14:paraId="64748436">
      <w:pPr>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二、联合体内部有关事项约定如下：</w:t>
      </w:r>
    </w:p>
    <w:p w14:paraId="172B389F">
      <w:pPr>
        <w:rPr>
          <w:rFonts w:hAnsi="宋体" w:cs="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1.联合体牵头人合法代表联合体各成员，负责本项目投标文件编制和投标工作，并代表联合体成员递交和接受相关的资料、信息及指示，并处理与之有关的一切事务，负责合同实施阶段的主办、组织和协调工作。</w:t>
      </w:r>
    </w:p>
    <w:p w14:paraId="262A257B">
      <w:pPr>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2.联合体将严格按照文件的各项要求，递交投标文件，切实执行一切合同文件，共同承担合同规定的一切义务和责任，同时按照内部职责的划分，承担自身所负的责任和风险，在法律上承担连带责任。</w:t>
      </w:r>
    </w:p>
    <w:p w14:paraId="65C5F16C">
      <w:pPr>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3.如中标，联合体各方共同与（采购人）签订合同书，并就中标项目向采购人负有连带的和各自的法律责任；</w:t>
      </w:r>
    </w:p>
    <w:p w14:paraId="5137CB30">
      <w:pPr>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4.联合体各成员单位内部的职责分工如下：</w:t>
      </w:r>
    </w:p>
    <w:p w14:paraId="701C5374">
      <w:pPr>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（1）</w:t>
      </w:r>
    </w:p>
    <w:p w14:paraId="792F81CB">
      <w:pPr>
        <w:rPr>
          <w:color w:val="000000" w:themeColor="text1"/>
          <w14:textFill>
            <w14:solidFill>
              <w14:schemeClr w14:val="tx1"/>
            </w14:solidFill>
          </w14:textFill>
        </w:rPr>
      </w:pPr>
      <w:r>
        <w:rPr>
          <w:rFonts w:hint="eastAsia" w:hAnsi="宋体" w:cs="宋体"/>
          <w:color w:val="000000" w:themeColor="text1"/>
          <w:szCs w:val="21"/>
          <w14:textFill>
            <w14:solidFill>
              <w14:schemeClr w14:val="tx1"/>
            </w14:solidFill>
          </w14:textFill>
        </w:rPr>
        <w:t>（2）</w:t>
      </w:r>
    </w:p>
    <w:p w14:paraId="5C36FF98">
      <w:pPr>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三、联合体各方不得再以自己名义参与本项目投标，联合体各方不能作为其它联合体或单独投标单位的项目组成员参加本项目投标。因发生上述问题导致联合体成为无效投标，联合体的其他成员可追究其违约责任和经济损失。</w:t>
      </w:r>
    </w:p>
    <w:p w14:paraId="051E3BDF">
      <w:pPr>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四、联合体如因违约过失责任而导致采购人经济损失或被索赔时，本联合体任何一方均同意无条件优先清偿采购人的一切债务和经济赔偿。</w:t>
      </w:r>
    </w:p>
    <w:p w14:paraId="3D95420D">
      <w:pPr>
        <w:rPr>
          <w:rFonts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五、联合体中标后，本联合体协议是合同的附件，对联合体各成员单位有合同约束力。</w:t>
      </w:r>
    </w:p>
    <w:p w14:paraId="61BCD883">
      <w:pPr>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六、本协议在自签署之日起生效，投标有效期内有效，如获中标资格，本协议有效期延续至合同履行完毕之日。</w:t>
      </w:r>
    </w:p>
    <w:p w14:paraId="3E2BE07D">
      <w:pPr>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 xml:space="preserve">七、本协议书一式____份，联合体成员和采购人各执一份。 </w:t>
      </w:r>
    </w:p>
    <w:p w14:paraId="026C4131">
      <w:pPr>
        <w:rPr>
          <w:rFonts w:hAnsi="宋体" w:cs="宋体"/>
          <w:color w:val="000000" w:themeColor="text1"/>
          <w:szCs w:val="21"/>
          <w14:textFill>
            <w14:solidFill>
              <w14:schemeClr w14:val="tx1"/>
            </w14:solidFill>
          </w14:textFill>
        </w:rPr>
      </w:pPr>
    </w:p>
    <w:p w14:paraId="4AF321EF">
      <w:pPr>
        <w:pStyle w:val="11"/>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注：本协议书由委托人签字的，应附法定代表人签字的授权委托书。</w:t>
      </w:r>
    </w:p>
    <w:p w14:paraId="49F72D2F">
      <w:pPr>
        <w:pStyle w:val="11"/>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牵头人名称：_______________________（盖单位公章）</w:t>
      </w:r>
    </w:p>
    <w:p w14:paraId="2FBF9755">
      <w:pPr>
        <w:pStyle w:val="11"/>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法定代表人或其委托代理人：_____________（签字）</w:t>
      </w:r>
    </w:p>
    <w:p w14:paraId="411A0D4D">
      <w:pPr>
        <w:pStyle w:val="11"/>
        <w:rPr>
          <w:color w:val="000000" w:themeColor="text1"/>
          <w:sz w:val="21"/>
          <w:szCs w:val="21"/>
          <w14:textFill>
            <w14:solidFill>
              <w14:schemeClr w14:val="tx1"/>
            </w14:solidFill>
          </w14:textFill>
        </w:rPr>
      </w:pPr>
    </w:p>
    <w:p w14:paraId="1ADF9E00">
      <w:pPr>
        <w:pStyle w:val="11"/>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成员一名称：_______________________（盖单位公章）</w:t>
      </w:r>
    </w:p>
    <w:p w14:paraId="317919D6">
      <w:pPr>
        <w:pStyle w:val="11"/>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法定代表人或其委托代理人：_____________（签字）</w:t>
      </w:r>
    </w:p>
    <w:p w14:paraId="4673EB39">
      <w:pPr>
        <w:pStyle w:val="11"/>
        <w:rPr>
          <w:color w:val="000000" w:themeColor="text1"/>
          <w:sz w:val="21"/>
          <w:szCs w:val="21"/>
          <w14:textFill>
            <w14:solidFill>
              <w14:schemeClr w14:val="tx1"/>
            </w14:solidFill>
          </w14:textFill>
        </w:rPr>
      </w:pPr>
    </w:p>
    <w:p w14:paraId="7655ABB0">
      <w:pPr>
        <w:pStyle w:val="11"/>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成员二名称：_______________________（盖单位公章）</w:t>
      </w:r>
    </w:p>
    <w:p w14:paraId="13FCEDA0">
      <w:pPr>
        <w:pStyle w:val="11"/>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法定代表人或其委托代理人：_____________（签字）</w:t>
      </w:r>
    </w:p>
    <w:p w14:paraId="4A5C5DBE">
      <w:pPr>
        <w:pStyle w:val="11"/>
        <w:ind w:firstLine="210" w:firstLineChars="100"/>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p>
    <w:p w14:paraId="146CE257">
      <w:pPr>
        <w:pStyle w:val="11"/>
        <w:rPr>
          <w:color w:val="000000" w:themeColor="text1"/>
          <w:lang w:val="en-US"/>
          <w14:textFill>
            <w14:solidFill>
              <w14:schemeClr w14:val="tx1"/>
            </w14:solidFill>
          </w14:textFill>
        </w:rPr>
        <w:sectPr>
          <w:pgSz w:w="11906" w:h="16838"/>
          <w:pgMar w:top="1440" w:right="1800" w:bottom="1440" w:left="1800" w:header="708" w:footer="708" w:gutter="0"/>
          <w:pgNumType w:fmt="decimal"/>
          <w:cols w:space="708" w:num="1"/>
          <w:titlePg/>
          <w:docGrid w:type="lines" w:linePitch="360" w:charSpace="0"/>
        </w:sectPr>
      </w:pPr>
      <w:r>
        <w:rPr>
          <w:rFonts w:hint="eastAsia"/>
          <w:color w:val="000000" w:themeColor="text1"/>
          <w:sz w:val="21"/>
          <w:szCs w:val="21"/>
          <w14:textFill>
            <w14:solidFill>
              <w14:schemeClr w14:val="tx1"/>
            </w14:solidFill>
          </w14:textFill>
        </w:rPr>
        <w:t xml:space="preserve">        年     月     日</w:t>
      </w:r>
    </w:p>
    <w:p w14:paraId="7CD7F4FA">
      <w:pPr>
        <w:pStyle w:val="11"/>
        <w:rPr>
          <w:color w:val="000000" w:themeColor="text1"/>
          <w14:textFill>
            <w14:solidFill>
              <w14:schemeClr w14:val="tx1"/>
            </w14:solidFill>
          </w14:textFill>
        </w:rPr>
      </w:pPr>
    </w:p>
    <w:p w14:paraId="50F64589">
      <w:pPr>
        <w:pStyle w:val="3"/>
        <w:spacing w:before="0" w:after="0" w:line="360" w:lineRule="auto"/>
        <w:jc w:val="center"/>
        <w:rPr>
          <w:color w:val="000000" w:themeColor="text1"/>
          <w:sz w:val="72"/>
          <w:szCs w:val="72"/>
          <w14:textFill>
            <w14:solidFill>
              <w14:schemeClr w14:val="tx1"/>
            </w14:solidFill>
          </w14:textFill>
        </w:rPr>
      </w:pPr>
      <w:bookmarkStart w:id="271" w:name="_Toc433"/>
      <w:bookmarkStart w:id="272" w:name="_Toc2045"/>
      <w:r>
        <w:rPr>
          <w:rFonts w:hint="eastAsia"/>
          <w:color w:val="000000" w:themeColor="text1"/>
          <w:sz w:val="72"/>
          <w:szCs w:val="72"/>
          <w14:textFill>
            <w14:solidFill>
              <w14:schemeClr w14:val="tx1"/>
            </w14:solidFill>
          </w14:textFill>
        </w:rPr>
        <w:t>技术文件</w:t>
      </w:r>
      <w:bookmarkEnd w:id="271"/>
      <w:bookmarkEnd w:id="272"/>
    </w:p>
    <w:p w14:paraId="4587DF54">
      <w:pPr>
        <w:jc w:val="center"/>
        <w:rPr>
          <w:rFonts w:ascii="黑体" w:eastAsia="黑体"/>
          <w:color w:val="000000" w:themeColor="text1"/>
          <w:sz w:val="72"/>
          <w:szCs w:val="72"/>
          <w14:textFill>
            <w14:solidFill>
              <w14:schemeClr w14:val="tx1"/>
            </w14:solidFill>
          </w14:textFill>
        </w:rPr>
      </w:pPr>
      <w:r>
        <w:rPr>
          <w:rFonts w:hint="eastAsia" w:ascii="黑体" w:eastAsia="黑体"/>
          <w:color w:val="000000" w:themeColor="text1"/>
          <w:sz w:val="72"/>
          <w:szCs w:val="72"/>
          <w14:textFill>
            <w14:solidFill>
              <w14:schemeClr w14:val="tx1"/>
            </w14:solidFill>
          </w14:textFill>
        </w:rPr>
        <w:t>（单独装订成册）</w:t>
      </w:r>
    </w:p>
    <w:p w14:paraId="61804922">
      <w:pPr>
        <w:rPr>
          <w:color w:val="000000" w:themeColor="text1"/>
          <w14:textFill>
            <w14:solidFill>
              <w14:schemeClr w14:val="tx1"/>
            </w14:solidFill>
          </w14:textFill>
        </w:rPr>
      </w:pPr>
    </w:p>
    <w:p w14:paraId="322DB5EE">
      <w:pPr>
        <w:pStyle w:val="11"/>
        <w:rPr>
          <w:color w:val="000000" w:themeColor="text1"/>
          <w14:textFill>
            <w14:solidFill>
              <w14:schemeClr w14:val="tx1"/>
            </w14:solidFill>
          </w14:textFill>
        </w:rPr>
      </w:pPr>
    </w:p>
    <w:p w14:paraId="762AC38E">
      <w:pPr>
        <w:pStyle w:val="29"/>
        <w:ind w:firstLine="240"/>
        <w:rPr>
          <w:color w:val="000000" w:themeColor="text1"/>
          <w14:textFill>
            <w14:solidFill>
              <w14:schemeClr w14:val="tx1"/>
            </w14:solidFill>
          </w14:textFill>
        </w:rPr>
      </w:pPr>
    </w:p>
    <w:p w14:paraId="63A76B65">
      <w:pPr>
        <w:rPr>
          <w:rFonts w:ascii="宋体" w:hAnsi="宋体" w:cs="宋体"/>
          <w:b/>
          <w:bCs/>
          <w:color w:val="000000" w:themeColor="text1"/>
          <w:spacing w:val="-6"/>
          <w:sz w:val="32"/>
          <w:szCs w:val="32"/>
          <w14:textFill>
            <w14:solidFill>
              <w14:schemeClr w14:val="tx1"/>
            </w14:solidFill>
          </w14:textFill>
        </w:rPr>
      </w:pPr>
      <w:r>
        <w:rPr>
          <w:rFonts w:hint="eastAsia" w:ascii="宋体" w:hAnsi="宋体" w:cs="宋体"/>
          <w:b/>
          <w:bCs/>
          <w:color w:val="000000" w:themeColor="text1"/>
          <w:spacing w:val="53"/>
          <w:kern w:val="0"/>
          <w:sz w:val="32"/>
          <w:szCs w:val="32"/>
          <w:fitText w:val="1600" w:id="292250509"/>
          <w14:textFill>
            <w14:solidFill>
              <w14:schemeClr w14:val="tx1"/>
            </w14:solidFill>
          </w14:textFill>
        </w:rPr>
        <w:t>项目名</w:t>
      </w:r>
      <w:r>
        <w:rPr>
          <w:rFonts w:hint="eastAsia" w:ascii="宋体" w:hAnsi="宋体" w:cs="宋体"/>
          <w:b/>
          <w:bCs/>
          <w:color w:val="000000" w:themeColor="text1"/>
          <w:spacing w:val="1"/>
          <w:kern w:val="0"/>
          <w:sz w:val="32"/>
          <w:szCs w:val="32"/>
          <w:fitText w:val="1600" w:id="292250509"/>
          <w14:textFill>
            <w14:solidFill>
              <w14:schemeClr w14:val="tx1"/>
            </w14:solidFill>
          </w14:textFill>
        </w:rPr>
        <w:t>称</w:t>
      </w:r>
      <w:r>
        <w:rPr>
          <w:rFonts w:hint="eastAsia" w:ascii="宋体" w:hAnsi="宋体" w:cs="宋体"/>
          <w:b/>
          <w:bCs/>
          <w:color w:val="000000" w:themeColor="text1"/>
          <w:spacing w:val="-6"/>
          <w:sz w:val="32"/>
          <w:szCs w:val="32"/>
          <w14:textFill>
            <w14:solidFill>
              <w14:schemeClr w14:val="tx1"/>
            </w14:solidFill>
          </w14:textFill>
        </w:rPr>
        <w:t>：</w:t>
      </w:r>
    </w:p>
    <w:p w14:paraId="13B7FD95">
      <w:pP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pacing w:val="53"/>
          <w:kern w:val="0"/>
          <w:sz w:val="32"/>
          <w:szCs w:val="32"/>
          <w:fitText w:val="1600" w:id="1231831253"/>
          <w14:textFill>
            <w14:solidFill>
              <w14:schemeClr w14:val="tx1"/>
            </w14:solidFill>
          </w14:textFill>
        </w:rPr>
        <w:t>项目编</w:t>
      </w:r>
      <w:r>
        <w:rPr>
          <w:rFonts w:hint="eastAsia" w:ascii="宋体" w:hAnsi="宋体" w:cs="宋体"/>
          <w:b/>
          <w:bCs/>
          <w:color w:val="000000" w:themeColor="text1"/>
          <w:spacing w:val="1"/>
          <w:kern w:val="0"/>
          <w:sz w:val="32"/>
          <w:szCs w:val="32"/>
          <w:fitText w:val="1600" w:id="1231831253"/>
          <w14:textFill>
            <w14:solidFill>
              <w14:schemeClr w14:val="tx1"/>
            </w14:solidFill>
          </w14:textFill>
        </w:rPr>
        <w:t>号</w:t>
      </w:r>
      <w:r>
        <w:rPr>
          <w:rFonts w:hint="eastAsia" w:ascii="宋体" w:hAnsi="宋体" w:cs="宋体"/>
          <w:b/>
          <w:bCs/>
          <w:color w:val="000000" w:themeColor="text1"/>
          <w:sz w:val="32"/>
          <w:szCs w:val="32"/>
          <w14:textFill>
            <w14:solidFill>
              <w14:schemeClr w14:val="tx1"/>
            </w14:solidFill>
          </w14:textFill>
        </w:rPr>
        <w:t>：</w:t>
      </w:r>
    </w:p>
    <w:p w14:paraId="201DCC97">
      <w:pPr>
        <w:pStyle w:val="11"/>
        <w:ind w:left="0"/>
        <w:rPr>
          <w:b/>
          <w:color w:val="000000" w:themeColor="text1"/>
          <w:spacing w:val="1280"/>
          <w:sz w:val="32"/>
          <w:szCs w:val="32"/>
          <w:highlight w:val="none"/>
          <w14:textFill>
            <w14:solidFill>
              <w14:schemeClr w14:val="tx1"/>
            </w14:solidFill>
          </w14:textFill>
        </w:rPr>
      </w:pPr>
      <w:r>
        <w:rPr>
          <w:b/>
          <w:color w:val="000000" w:themeColor="text1"/>
          <w:spacing w:val="106"/>
          <w:sz w:val="32"/>
          <w:szCs w:val="32"/>
          <w:highlight w:val="none"/>
          <w:lang w:val="en-US" w:bidi="ar-SA"/>
          <w14:textFill>
            <w14:solidFill>
              <w14:schemeClr w14:val="tx1"/>
            </w14:solidFill>
          </w14:textFill>
        </w:rPr>
        <w:t>包组号（如有）：</w:t>
      </w:r>
    </w:p>
    <w:p w14:paraId="3F1908D3">
      <w:pP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pacing w:val="0"/>
          <w:kern w:val="0"/>
          <w:sz w:val="32"/>
          <w:szCs w:val="32"/>
          <w:highlight w:val="none"/>
          <w:fitText w:val="1600" w:id="1764384445"/>
          <w14:textFill>
            <w14:solidFill>
              <w14:schemeClr w14:val="tx1"/>
            </w14:solidFill>
          </w14:textFill>
        </w:rPr>
        <w:t>投标人名称</w:t>
      </w:r>
      <w:r>
        <w:rPr>
          <w:rFonts w:hint="eastAsia" w:ascii="宋体" w:hAnsi="宋体" w:cs="宋体"/>
          <w:b/>
          <w:color w:val="000000" w:themeColor="text1"/>
          <w:sz w:val="32"/>
          <w:szCs w:val="32"/>
          <w:highlight w:val="none"/>
          <w14:textFill>
            <w14:solidFill>
              <w14:schemeClr w14:val="tx1"/>
            </w14:solidFill>
          </w14:textFill>
        </w:rPr>
        <w:t>：</w:t>
      </w:r>
    </w:p>
    <w:p w14:paraId="29F0229F">
      <w:pP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pacing w:val="32"/>
          <w:kern w:val="0"/>
          <w:sz w:val="32"/>
          <w:szCs w:val="32"/>
          <w:highlight w:val="none"/>
          <w:fitText w:val="1600" w:id="2061173831"/>
          <w14:textFill>
            <w14:solidFill>
              <w14:schemeClr w14:val="tx1"/>
            </w14:solidFill>
          </w14:textFill>
        </w:rPr>
        <w:t xml:space="preserve">日    </w:t>
      </w:r>
      <w:r>
        <w:rPr>
          <w:rFonts w:hint="eastAsia" w:ascii="宋体" w:hAnsi="宋体" w:cs="宋体"/>
          <w:b/>
          <w:color w:val="000000" w:themeColor="text1"/>
          <w:spacing w:val="0"/>
          <w:kern w:val="0"/>
          <w:sz w:val="32"/>
          <w:szCs w:val="32"/>
          <w:highlight w:val="none"/>
          <w:fitText w:val="1600" w:id="2061173831"/>
          <w14:textFill>
            <w14:solidFill>
              <w14:schemeClr w14:val="tx1"/>
            </w14:solidFill>
          </w14:textFill>
        </w:rPr>
        <w:t>期</w:t>
      </w:r>
      <w:r>
        <w:rPr>
          <w:rFonts w:hint="eastAsia" w:ascii="宋体" w:hAnsi="宋体" w:cs="宋体"/>
          <w:b/>
          <w:color w:val="000000" w:themeColor="text1"/>
          <w:sz w:val="32"/>
          <w:szCs w:val="32"/>
          <w:highlight w:val="none"/>
          <w14:textFill>
            <w14:solidFill>
              <w14:schemeClr w14:val="tx1"/>
            </w14:solidFill>
          </w14:textFill>
        </w:rPr>
        <w:t>：</w:t>
      </w:r>
    </w:p>
    <w:p w14:paraId="4E6B0FBA">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70962AE9">
      <w:pPr>
        <w:pStyle w:val="5"/>
        <w:widowControl w:val="0"/>
        <w:overflowPunct w:val="0"/>
        <w:spacing w:line="240" w:lineRule="auto"/>
        <w:rPr>
          <w:rFonts w:ascii="宋体" w:hAnsi="宋体"/>
          <w:color w:val="000000" w:themeColor="text1"/>
          <w:sz w:val="21"/>
          <w:szCs w:val="21"/>
          <w14:textFill>
            <w14:solidFill>
              <w14:schemeClr w14:val="tx1"/>
            </w14:solidFill>
          </w14:textFill>
        </w:rPr>
      </w:pPr>
      <w:bookmarkStart w:id="273" w:name="_Toc15949"/>
      <w:r>
        <w:rPr>
          <w:rFonts w:hint="eastAsia" w:ascii="宋体" w:hAnsi="宋体"/>
          <w:color w:val="000000" w:themeColor="text1"/>
          <w:sz w:val="21"/>
          <w:szCs w:val="21"/>
          <w14:textFill>
            <w14:solidFill>
              <w14:schemeClr w14:val="tx1"/>
            </w14:solidFill>
          </w14:textFill>
        </w:rPr>
        <w:t>附件1</w:t>
      </w:r>
      <w:r>
        <w:rPr>
          <w:rFonts w:hint="eastAsia" w:ascii="宋体" w:hAnsi="宋体"/>
          <w:color w:val="000000" w:themeColor="text1"/>
          <w:sz w:val="21"/>
          <w:szCs w:val="21"/>
          <w:lang w:val="en-US" w:eastAsia="zh-CN"/>
          <w14:textFill>
            <w14:solidFill>
              <w14:schemeClr w14:val="tx1"/>
            </w14:solidFill>
          </w14:textFill>
        </w:rPr>
        <w:t>5</w:t>
      </w:r>
      <w:r>
        <w:rPr>
          <w:rFonts w:hint="eastAsia" w:ascii="宋体" w:hAnsi="宋体"/>
          <w:color w:val="000000" w:themeColor="text1"/>
          <w:sz w:val="21"/>
          <w:szCs w:val="21"/>
          <w14:textFill>
            <w14:solidFill>
              <w14:schemeClr w14:val="tx1"/>
            </w14:solidFill>
          </w14:textFill>
        </w:rPr>
        <w:t>. 技术规格偏离表格式</w:t>
      </w:r>
      <w:bookmarkEnd w:id="273"/>
    </w:p>
    <w:p w14:paraId="4A702A5F">
      <w:pPr>
        <w:jc w:val="center"/>
        <w:rPr>
          <w:rFonts w:ascii="黑体" w:eastAsia="黑体"/>
          <w:color w:val="000000" w:themeColor="text1"/>
          <w:sz w:val="28"/>
          <w:szCs w:val="28"/>
          <w14:textFill>
            <w14:solidFill>
              <w14:schemeClr w14:val="tx1"/>
            </w14:solidFill>
          </w14:textFill>
        </w:rPr>
      </w:pPr>
    </w:p>
    <w:p w14:paraId="279B4BE7">
      <w:pPr>
        <w:jc w:val="center"/>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技术规格偏离表</w:t>
      </w:r>
    </w:p>
    <w:tbl>
      <w:tblPr>
        <w:tblStyle w:val="3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902"/>
        <w:gridCol w:w="1370"/>
        <w:gridCol w:w="1629"/>
        <w:gridCol w:w="1239"/>
        <w:gridCol w:w="1544"/>
      </w:tblGrid>
      <w:tr w14:paraId="61E20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38" w:type="dxa"/>
            <w:vAlign w:val="center"/>
          </w:tcPr>
          <w:p w14:paraId="22C1189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1902" w:type="dxa"/>
            <w:vAlign w:val="center"/>
          </w:tcPr>
          <w:p w14:paraId="4B91A06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服务项目名称</w:t>
            </w:r>
          </w:p>
        </w:tc>
        <w:tc>
          <w:tcPr>
            <w:tcW w:w="1370" w:type="dxa"/>
            <w:vAlign w:val="center"/>
          </w:tcPr>
          <w:p w14:paraId="3CC21BFA">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采购要求</w:t>
            </w:r>
          </w:p>
        </w:tc>
        <w:tc>
          <w:tcPr>
            <w:tcW w:w="1629" w:type="dxa"/>
            <w:vAlign w:val="center"/>
          </w:tcPr>
          <w:p w14:paraId="5D4836AD">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投标实际响应</w:t>
            </w:r>
          </w:p>
        </w:tc>
        <w:tc>
          <w:tcPr>
            <w:tcW w:w="1239" w:type="dxa"/>
            <w:vAlign w:val="center"/>
          </w:tcPr>
          <w:p w14:paraId="6FE1C07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是否偏离</w:t>
            </w:r>
          </w:p>
        </w:tc>
        <w:tc>
          <w:tcPr>
            <w:tcW w:w="1544" w:type="dxa"/>
            <w:vAlign w:val="center"/>
          </w:tcPr>
          <w:p w14:paraId="5D0B8E3B">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说明</w:t>
            </w:r>
          </w:p>
        </w:tc>
      </w:tr>
      <w:tr w14:paraId="5DB0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3FA0B4EF">
            <w:pPr>
              <w:jc w:val="center"/>
              <w:rPr>
                <w:rFonts w:ascii="宋体" w:hAnsi="宋体"/>
                <w:color w:val="000000" w:themeColor="text1"/>
                <w:szCs w:val="21"/>
                <w14:textFill>
                  <w14:solidFill>
                    <w14:schemeClr w14:val="tx1"/>
                  </w14:solidFill>
                </w14:textFill>
              </w:rPr>
            </w:pPr>
          </w:p>
        </w:tc>
        <w:tc>
          <w:tcPr>
            <w:tcW w:w="1902" w:type="dxa"/>
            <w:vAlign w:val="center"/>
          </w:tcPr>
          <w:p w14:paraId="060DA32E">
            <w:pPr>
              <w:jc w:val="center"/>
              <w:rPr>
                <w:rFonts w:ascii="宋体" w:hAnsi="宋体"/>
                <w:color w:val="000000" w:themeColor="text1"/>
                <w:szCs w:val="21"/>
                <w14:textFill>
                  <w14:solidFill>
                    <w14:schemeClr w14:val="tx1"/>
                  </w14:solidFill>
                </w14:textFill>
              </w:rPr>
            </w:pPr>
          </w:p>
        </w:tc>
        <w:tc>
          <w:tcPr>
            <w:tcW w:w="1370" w:type="dxa"/>
            <w:vAlign w:val="center"/>
          </w:tcPr>
          <w:p w14:paraId="6ECAF096">
            <w:pPr>
              <w:jc w:val="center"/>
              <w:rPr>
                <w:rFonts w:ascii="宋体" w:hAnsi="宋体"/>
                <w:color w:val="000000" w:themeColor="text1"/>
                <w:szCs w:val="21"/>
                <w14:textFill>
                  <w14:solidFill>
                    <w14:schemeClr w14:val="tx1"/>
                  </w14:solidFill>
                </w14:textFill>
              </w:rPr>
            </w:pPr>
          </w:p>
        </w:tc>
        <w:tc>
          <w:tcPr>
            <w:tcW w:w="1629" w:type="dxa"/>
            <w:vAlign w:val="center"/>
          </w:tcPr>
          <w:p w14:paraId="258F2C8C">
            <w:pPr>
              <w:jc w:val="center"/>
              <w:rPr>
                <w:rFonts w:ascii="宋体" w:hAnsi="宋体"/>
                <w:color w:val="000000" w:themeColor="text1"/>
                <w:szCs w:val="21"/>
                <w14:textFill>
                  <w14:solidFill>
                    <w14:schemeClr w14:val="tx1"/>
                  </w14:solidFill>
                </w14:textFill>
              </w:rPr>
            </w:pPr>
          </w:p>
        </w:tc>
        <w:tc>
          <w:tcPr>
            <w:tcW w:w="1239" w:type="dxa"/>
            <w:vAlign w:val="center"/>
          </w:tcPr>
          <w:p w14:paraId="2EFE0BBD">
            <w:pPr>
              <w:jc w:val="center"/>
              <w:rPr>
                <w:rFonts w:ascii="宋体" w:hAnsi="宋体"/>
                <w:color w:val="000000" w:themeColor="text1"/>
                <w:szCs w:val="21"/>
                <w14:textFill>
                  <w14:solidFill>
                    <w14:schemeClr w14:val="tx1"/>
                  </w14:solidFill>
                </w14:textFill>
              </w:rPr>
            </w:pPr>
          </w:p>
        </w:tc>
        <w:tc>
          <w:tcPr>
            <w:tcW w:w="1544" w:type="dxa"/>
            <w:vAlign w:val="center"/>
          </w:tcPr>
          <w:p w14:paraId="0AF453DB">
            <w:pPr>
              <w:jc w:val="center"/>
              <w:rPr>
                <w:rFonts w:ascii="宋体" w:hAnsi="宋体"/>
                <w:color w:val="000000" w:themeColor="text1"/>
                <w:szCs w:val="21"/>
                <w14:textFill>
                  <w14:solidFill>
                    <w14:schemeClr w14:val="tx1"/>
                  </w14:solidFill>
                </w14:textFill>
              </w:rPr>
            </w:pPr>
          </w:p>
        </w:tc>
      </w:tr>
      <w:tr w14:paraId="769B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487839E1">
            <w:pPr>
              <w:jc w:val="center"/>
              <w:rPr>
                <w:rFonts w:ascii="宋体" w:hAnsi="宋体"/>
                <w:color w:val="000000" w:themeColor="text1"/>
                <w:szCs w:val="21"/>
                <w14:textFill>
                  <w14:solidFill>
                    <w14:schemeClr w14:val="tx1"/>
                  </w14:solidFill>
                </w14:textFill>
              </w:rPr>
            </w:pPr>
          </w:p>
        </w:tc>
        <w:tc>
          <w:tcPr>
            <w:tcW w:w="1902" w:type="dxa"/>
            <w:vAlign w:val="center"/>
          </w:tcPr>
          <w:p w14:paraId="551E5FB4">
            <w:pPr>
              <w:jc w:val="center"/>
              <w:rPr>
                <w:rFonts w:ascii="宋体" w:hAnsi="宋体"/>
                <w:color w:val="000000" w:themeColor="text1"/>
                <w:szCs w:val="21"/>
                <w14:textFill>
                  <w14:solidFill>
                    <w14:schemeClr w14:val="tx1"/>
                  </w14:solidFill>
                </w14:textFill>
              </w:rPr>
            </w:pPr>
          </w:p>
        </w:tc>
        <w:tc>
          <w:tcPr>
            <w:tcW w:w="1370" w:type="dxa"/>
            <w:vAlign w:val="center"/>
          </w:tcPr>
          <w:p w14:paraId="5FF39122">
            <w:pPr>
              <w:jc w:val="center"/>
              <w:rPr>
                <w:rFonts w:ascii="宋体" w:hAnsi="宋体"/>
                <w:color w:val="000000" w:themeColor="text1"/>
                <w:szCs w:val="21"/>
                <w14:textFill>
                  <w14:solidFill>
                    <w14:schemeClr w14:val="tx1"/>
                  </w14:solidFill>
                </w14:textFill>
              </w:rPr>
            </w:pPr>
          </w:p>
        </w:tc>
        <w:tc>
          <w:tcPr>
            <w:tcW w:w="1629" w:type="dxa"/>
            <w:vAlign w:val="center"/>
          </w:tcPr>
          <w:p w14:paraId="1284EDC1">
            <w:pPr>
              <w:jc w:val="center"/>
              <w:rPr>
                <w:rFonts w:ascii="宋体" w:hAnsi="宋体"/>
                <w:color w:val="000000" w:themeColor="text1"/>
                <w:szCs w:val="21"/>
                <w14:textFill>
                  <w14:solidFill>
                    <w14:schemeClr w14:val="tx1"/>
                  </w14:solidFill>
                </w14:textFill>
              </w:rPr>
            </w:pPr>
          </w:p>
        </w:tc>
        <w:tc>
          <w:tcPr>
            <w:tcW w:w="1239" w:type="dxa"/>
            <w:vAlign w:val="center"/>
          </w:tcPr>
          <w:p w14:paraId="0215849E">
            <w:pPr>
              <w:jc w:val="center"/>
              <w:rPr>
                <w:rFonts w:ascii="宋体" w:hAnsi="宋体"/>
                <w:color w:val="000000" w:themeColor="text1"/>
                <w:szCs w:val="21"/>
                <w14:textFill>
                  <w14:solidFill>
                    <w14:schemeClr w14:val="tx1"/>
                  </w14:solidFill>
                </w14:textFill>
              </w:rPr>
            </w:pPr>
          </w:p>
        </w:tc>
        <w:tc>
          <w:tcPr>
            <w:tcW w:w="1544" w:type="dxa"/>
            <w:vAlign w:val="center"/>
          </w:tcPr>
          <w:p w14:paraId="1439CB55">
            <w:pPr>
              <w:jc w:val="center"/>
              <w:rPr>
                <w:rFonts w:ascii="宋体" w:hAnsi="宋体"/>
                <w:color w:val="000000" w:themeColor="text1"/>
                <w:szCs w:val="21"/>
                <w14:textFill>
                  <w14:solidFill>
                    <w14:schemeClr w14:val="tx1"/>
                  </w14:solidFill>
                </w14:textFill>
              </w:rPr>
            </w:pPr>
          </w:p>
        </w:tc>
      </w:tr>
      <w:tr w14:paraId="4171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5018764D">
            <w:pPr>
              <w:jc w:val="center"/>
              <w:rPr>
                <w:rFonts w:ascii="宋体" w:hAnsi="宋体"/>
                <w:color w:val="000000" w:themeColor="text1"/>
                <w:szCs w:val="21"/>
                <w14:textFill>
                  <w14:solidFill>
                    <w14:schemeClr w14:val="tx1"/>
                  </w14:solidFill>
                </w14:textFill>
              </w:rPr>
            </w:pPr>
          </w:p>
        </w:tc>
        <w:tc>
          <w:tcPr>
            <w:tcW w:w="1902" w:type="dxa"/>
            <w:vAlign w:val="center"/>
          </w:tcPr>
          <w:p w14:paraId="3BD9C51C">
            <w:pPr>
              <w:jc w:val="center"/>
              <w:rPr>
                <w:rFonts w:ascii="宋体" w:hAnsi="宋体"/>
                <w:color w:val="000000" w:themeColor="text1"/>
                <w:szCs w:val="21"/>
                <w14:textFill>
                  <w14:solidFill>
                    <w14:schemeClr w14:val="tx1"/>
                  </w14:solidFill>
                </w14:textFill>
              </w:rPr>
            </w:pPr>
          </w:p>
        </w:tc>
        <w:tc>
          <w:tcPr>
            <w:tcW w:w="1370" w:type="dxa"/>
            <w:vAlign w:val="center"/>
          </w:tcPr>
          <w:p w14:paraId="48DA4E23">
            <w:pPr>
              <w:jc w:val="center"/>
              <w:rPr>
                <w:rFonts w:ascii="宋体" w:hAnsi="宋体"/>
                <w:color w:val="000000" w:themeColor="text1"/>
                <w:szCs w:val="21"/>
                <w14:textFill>
                  <w14:solidFill>
                    <w14:schemeClr w14:val="tx1"/>
                  </w14:solidFill>
                </w14:textFill>
              </w:rPr>
            </w:pPr>
          </w:p>
        </w:tc>
        <w:tc>
          <w:tcPr>
            <w:tcW w:w="1629" w:type="dxa"/>
            <w:vAlign w:val="center"/>
          </w:tcPr>
          <w:p w14:paraId="16E3D5EC">
            <w:pPr>
              <w:jc w:val="center"/>
              <w:rPr>
                <w:rFonts w:ascii="宋体" w:hAnsi="宋体"/>
                <w:color w:val="000000" w:themeColor="text1"/>
                <w:szCs w:val="21"/>
                <w14:textFill>
                  <w14:solidFill>
                    <w14:schemeClr w14:val="tx1"/>
                  </w14:solidFill>
                </w14:textFill>
              </w:rPr>
            </w:pPr>
          </w:p>
        </w:tc>
        <w:tc>
          <w:tcPr>
            <w:tcW w:w="1239" w:type="dxa"/>
            <w:vAlign w:val="center"/>
          </w:tcPr>
          <w:p w14:paraId="3BB780CD">
            <w:pPr>
              <w:jc w:val="center"/>
              <w:rPr>
                <w:rFonts w:ascii="宋体" w:hAnsi="宋体"/>
                <w:color w:val="000000" w:themeColor="text1"/>
                <w:szCs w:val="21"/>
                <w14:textFill>
                  <w14:solidFill>
                    <w14:schemeClr w14:val="tx1"/>
                  </w14:solidFill>
                </w14:textFill>
              </w:rPr>
            </w:pPr>
          </w:p>
        </w:tc>
        <w:tc>
          <w:tcPr>
            <w:tcW w:w="1544" w:type="dxa"/>
            <w:vAlign w:val="center"/>
          </w:tcPr>
          <w:p w14:paraId="1E07D021">
            <w:pPr>
              <w:jc w:val="center"/>
              <w:rPr>
                <w:rFonts w:ascii="宋体" w:hAnsi="宋体"/>
                <w:color w:val="000000" w:themeColor="text1"/>
                <w:szCs w:val="21"/>
                <w14:textFill>
                  <w14:solidFill>
                    <w14:schemeClr w14:val="tx1"/>
                  </w14:solidFill>
                </w14:textFill>
              </w:rPr>
            </w:pPr>
          </w:p>
        </w:tc>
      </w:tr>
      <w:tr w14:paraId="2497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1135B4C7">
            <w:pPr>
              <w:jc w:val="center"/>
              <w:rPr>
                <w:rFonts w:ascii="宋体" w:hAnsi="宋体"/>
                <w:color w:val="000000" w:themeColor="text1"/>
                <w:szCs w:val="21"/>
                <w14:textFill>
                  <w14:solidFill>
                    <w14:schemeClr w14:val="tx1"/>
                  </w14:solidFill>
                </w14:textFill>
              </w:rPr>
            </w:pPr>
          </w:p>
        </w:tc>
        <w:tc>
          <w:tcPr>
            <w:tcW w:w="1902" w:type="dxa"/>
            <w:vAlign w:val="center"/>
          </w:tcPr>
          <w:p w14:paraId="4DCEB4B9">
            <w:pPr>
              <w:jc w:val="center"/>
              <w:rPr>
                <w:rFonts w:ascii="宋体" w:hAnsi="宋体"/>
                <w:color w:val="000000" w:themeColor="text1"/>
                <w:szCs w:val="21"/>
                <w14:textFill>
                  <w14:solidFill>
                    <w14:schemeClr w14:val="tx1"/>
                  </w14:solidFill>
                </w14:textFill>
              </w:rPr>
            </w:pPr>
          </w:p>
        </w:tc>
        <w:tc>
          <w:tcPr>
            <w:tcW w:w="1370" w:type="dxa"/>
            <w:vAlign w:val="center"/>
          </w:tcPr>
          <w:p w14:paraId="2A8C5CC2">
            <w:pPr>
              <w:jc w:val="center"/>
              <w:rPr>
                <w:rFonts w:ascii="宋体" w:hAnsi="宋体"/>
                <w:color w:val="000000" w:themeColor="text1"/>
                <w:szCs w:val="21"/>
                <w14:textFill>
                  <w14:solidFill>
                    <w14:schemeClr w14:val="tx1"/>
                  </w14:solidFill>
                </w14:textFill>
              </w:rPr>
            </w:pPr>
          </w:p>
        </w:tc>
        <w:tc>
          <w:tcPr>
            <w:tcW w:w="1629" w:type="dxa"/>
            <w:vAlign w:val="center"/>
          </w:tcPr>
          <w:p w14:paraId="4D178925">
            <w:pPr>
              <w:jc w:val="center"/>
              <w:rPr>
                <w:rFonts w:ascii="宋体" w:hAnsi="宋体"/>
                <w:color w:val="000000" w:themeColor="text1"/>
                <w:szCs w:val="21"/>
                <w14:textFill>
                  <w14:solidFill>
                    <w14:schemeClr w14:val="tx1"/>
                  </w14:solidFill>
                </w14:textFill>
              </w:rPr>
            </w:pPr>
          </w:p>
        </w:tc>
        <w:tc>
          <w:tcPr>
            <w:tcW w:w="1239" w:type="dxa"/>
            <w:vAlign w:val="center"/>
          </w:tcPr>
          <w:p w14:paraId="0F0E9EF0">
            <w:pPr>
              <w:jc w:val="center"/>
              <w:rPr>
                <w:rFonts w:ascii="宋体" w:hAnsi="宋体"/>
                <w:color w:val="000000" w:themeColor="text1"/>
                <w:szCs w:val="21"/>
                <w14:textFill>
                  <w14:solidFill>
                    <w14:schemeClr w14:val="tx1"/>
                  </w14:solidFill>
                </w14:textFill>
              </w:rPr>
            </w:pPr>
          </w:p>
        </w:tc>
        <w:tc>
          <w:tcPr>
            <w:tcW w:w="1544" w:type="dxa"/>
            <w:vAlign w:val="center"/>
          </w:tcPr>
          <w:p w14:paraId="3BC1F822">
            <w:pPr>
              <w:jc w:val="center"/>
              <w:rPr>
                <w:rFonts w:ascii="宋体" w:hAnsi="宋体"/>
                <w:color w:val="000000" w:themeColor="text1"/>
                <w:szCs w:val="21"/>
                <w14:textFill>
                  <w14:solidFill>
                    <w14:schemeClr w14:val="tx1"/>
                  </w14:solidFill>
                </w14:textFill>
              </w:rPr>
            </w:pPr>
          </w:p>
        </w:tc>
      </w:tr>
      <w:tr w14:paraId="31ED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084C5CB9">
            <w:pPr>
              <w:jc w:val="center"/>
              <w:rPr>
                <w:rFonts w:ascii="宋体" w:hAnsi="宋体"/>
                <w:color w:val="000000" w:themeColor="text1"/>
                <w:szCs w:val="21"/>
                <w14:textFill>
                  <w14:solidFill>
                    <w14:schemeClr w14:val="tx1"/>
                  </w14:solidFill>
                </w14:textFill>
              </w:rPr>
            </w:pPr>
          </w:p>
        </w:tc>
        <w:tc>
          <w:tcPr>
            <w:tcW w:w="1902" w:type="dxa"/>
            <w:vAlign w:val="center"/>
          </w:tcPr>
          <w:p w14:paraId="263BCC04">
            <w:pPr>
              <w:jc w:val="center"/>
              <w:rPr>
                <w:rFonts w:ascii="宋体" w:hAnsi="宋体"/>
                <w:color w:val="000000" w:themeColor="text1"/>
                <w:szCs w:val="21"/>
                <w14:textFill>
                  <w14:solidFill>
                    <w14:schemeClr w14:val="tx1"/>
                  </w14:solidFill>
                </w14:textFill>
              </w:rPr>
            </w:pPr>
          </w:p>
        </w:tc>
        <w:tc>
          <w:tcPr>
            <w:tcW w:w="1370" w:type="dxa"/>
            <w:vAlign w:val="center"/>
          </w:tcPr>
          <w:p w14:paraId="573D374E">
            <w:pPr>
              <w:jc w:val="center"/>
              <w:rPr>
                <w:rFonts w:ascii="宋体" w:hAnsi="宋体"/>
                <w:color w:val="000000" w:themeColor="text1"/>
                <w:szCs w:val="21"/>
                <w14:textFill>
                  <w14:solidFill>
                    <w14:schemeClr w14:val="tx1"/>
                  </w14:solidFill>
                </w14:textFill>
              </w:rPr>
            </w:pPr>
          </w:p>
        </w:tc>
        <w:tc>
          <w:tcPr>
            <w:tcW w:w="1629" w:type="dxa"/>
            <w:vAlign w:val="center"/>
          </w:tcPr>
          <w:p w14:paraId="47D1BADC">
            <w:pPr>
              <w:jc w:val="center"/>
              <w:rPr>
                <w:rFonts w:ascii="宋体" w:hAnsi="宋体"/>
                <w:color w:val="000000" w:themeColor="text1"/>
                <w:szCs w:val="21"/>
                <w14:textFill>
                  <w14:solidFill>
                    <w14:schemeClr w14:val="tx1"/>
                  </w14:solidFill>
                </w14:textFill>
              </w:rPr>
            </w:pPr>
          </w:p>
        </w:tc>
        <w:tc>
          <w:tcPr>
            <w:tcW w:w="1239" w:type="dxa"/>
            <w:vAlign w:val="center"/>
          </w:tcPr>
          <w:p w14:paraId="485EFAB2">
            <w:pPr>
              <w:jc w:val="center"/>
              <w:rPr>
                <w:rFonts w:ascii="宋体" w:hAnsi="宋体"/>
                <w:color w:val="000000" w:themeColor="text1"/>
                <w:szCs w:val="21"/>
                <w14:textFill>
                  <w14:solidFill>
                    <w14:schemeClr w14:val="tx1"/>
                  </w14:solidFill>
                </w14:textFill>
              </w:rPr>
            </w:pPr>
          </w:p>
        </w:tc>
        <w:tc>
          <w:tcPr>
            <w:tcW w:w="1544" w:type="dxa"/>
            <w:vAlign w:val="center"/>
          </w:tcPr>
          <w:p w14:paraId="61EF052B">
            <w:pPr>
              <w:jc w:val="center"/>
              <w:rPr>
                <w:rFonts w:ascii="宋体" w:hAnsi="宋体"/>
                <w:color w:val="000000" w:themeColor="text1"/>
                <w:szCs w:val="21"/>
                <w14:textFill>
                  <w14:solidFill>
                    <w14:schemeClr w14:val="tx1"/>
                  </w14:solidFill>
                </w14:textFill>
              </w:rPr>
            </w:pPr>
          </w:p>
        </w:tc>
      </w:tr>
      <w:tr w14:paraId="360CF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796FAF5D">
            <w:pPr>
              <w:jc w:val="center"/>
              <w:rPr>
                <w:rFonts w:ascii="宋体" w:hAnsi="宋体"/>
                <w:color w:val="000000" w:themeColor="text1"/>
                <w:szCs w:val="21"/>
                <w14:textFill>
                  <w14:solidFill>
                    <w14:schemeClr w14:val="tx1"/>
                  </w14:solidFill>
                </w14:textFill>
              </w:rPr>
            </w:pPr>
          </w:p>
        </w:tc>
        <w:tc>
          <w:tcPr>
            <w:tcW w:w="1902" w:type="dxa"/>
            <w:vAlign w:val="center"/>
          </w:tcPr>
          <w:p w14:paraId="4CE9B9A3">
            <w:pPr>
              <w:jc w:val="center"/>
              <w:rPr>
                <w:rFonts w:ascii="宋体" w:hAnsi="宋体"/>
                <w:color w:val="000000" w:themeColor="text1"/>
                <w:szCs w:val="21"/>
                <w14:textFill>
                  <w14:solidFill>
                    <w14:schemeClr w14:val="tx1"/>
                  </w14:solidFill>
                </w14:textFill>
              </w:rPr>
            </w:pPr>
          </w:p>
        </w:tc>
        <w:tc>
          <w:tcPr>
            <w:tcW w:w="1370" w:type="dxa"/>
            <w:vAlign w:val="center"/>
          </w:tcPr>
          <w:p w14:paraId="3F905438">
            <w:pPr>
              <w:jc w:val="center"/>
              <w:rPr>
                <w:rFonts w:ascii="宋体" w:hAnsi="宋体"/>
                <w:color w:val="000000" w:themeColor="text1"/>
                <w:szCs w:val="21"/>
                <w14:textFill>
                  <w14:solidFill>
                    <w14:schemeClr w14:val="tx1"/>
                  </w14:solidFill>
                </w14:textFill>
              </w:rPr>
            </w:pPr>
          </w:p>
        </w:tc>
        <w:tc>
          <w:tcPr>
            <w:tcW w:w="1629" w:type="dxa"/>
            <w:vAlign w:val="center"/>
          </w:tcPr>
          <w:p w14:paraId="67D06D6B">
            <w:pPr>
              <w:jc w:val="center"/>
              <w:rPr>
                <w:rFonts w:ascii="宋体" w:hAnsi="宋体"/>
                <w:color w:val="000000" w:themeColor="text1"/>
                <w:szCs w:val="21"/>
                <w14:textFill>
                  <w14:solidFill>
                    <w14:schemeClr w14:val="tx1"/>
                  </w14:solidFill>
                </w14:textFill>
              </w:rPr>
            </w:pPr>
          </w:p>
        </w:tc>
        <w:tc>
          <w:tcPr>
            <w:tcW w:w="1239" w:type="dxa"/>
            <w:vAlign w:val="center"/>
          </w:tcPr>
          <w:p w14:paraId="42AC15C8">
            <w:pPr>
              <w:jc w:val="center"/>
              <w:rPr>
                <w:rFonts w:ascii="宋体" w:hAnsi="宋体"/>
                <w:color w:val="000000" w:themeColor="text1"/>
                <w:szCs w:val="21"/>
                <w14:textFill>
                  <w14:solidFill>
                    <w14:schemeClr w14:val="tx1"/>
                  </w14:solidFill>
                </w14:textFill>
              </w:rPr>
            </w:pPr>
          </w:p>
        </w:tc>
        <w:tc>
          <w:tcPr>
            <w:tcW w:w="1544" w:type="dxa"/>
            <w:vAlign w:val="center"/>
          </w:tcPr>
          <w:p w14:paraId="2C0EE472">
            <w:pPr>
              <w:jc w:val="center"/>
              <w:rPr>
                <w:rFonts w:ascii="宋体" w:hAnsi="宋体"/>
                <w:color w:val="000000" w:themeColor="text1"/>
                <w:szCs w:val="21"/>
                <w14:textFill>
                  <w14:solidFill>
                    <w14:schemeClr w14:val="tx1"/>
                  </w14:solidFill>
                </w14:textFill>
              </w:rPr>
            </w:pPr>
          </w:p>
        </w:tc>
      </w:tr>
      <w:tr w14:paraId="5CA3C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13A41CCB">
            <w:pPr>
              <w:jc w:val="center"/>
              <w:rPr>
                <w:rFonts w:ascii="宋体" w:hAnsi="宋体"/>
                <w:color w:val="000000" w:themeColor="text1"/>
                <w:szCs w:val="21"/>
                <w14:textFill>
                  <w14:solidFill>
                    <w14:schemeClr w14:val="tx1"/>
                  </w14:solidFill>
                </w14:textFill>
              </w:rPr>
            </w:pPr>
          </w:p>
        </w:tc>
        <w:tc>
          <w:tcPr>
            <w:tcW w:w="1902" w:type="dxa"/>
            <w:vAlign w:val="center"/>
          </w:tcPr>
          <w:p w14:paraId="4C6D405B">
            <w:pPr>
              <w:jc w:val="center"/>
              <w:rPr>
                <w:rFonts w:ascii="宋体" w:hAnsi="宋体"/>
                <w:color w:val="000000" w:themeColor="text1"/>
                <w:szCs w:val="21"/>
                <w14:textFill>
                  <w14:solidFill>
                    <w14:schemeClr w14:val="tx1"/>
                  </w14:solidFill>
                </w14:textFill>
              </w:rPr>
            </w:pPr>
          </w:p>
        </w:tc>
        <w:tc>
          <w:tcPr>
            <w:tcW w:w="1370" w:type="dxa"/>
            <w:vAlign w:val="center"/>
          </w:tcPr>
          <w:p w14:paraId="045EE7F4">
            <w:pPr>
              <w:jc w:val="center"/>
              <w:rPr>
                <w:rFonts w:ascii="宋体" w:hAnsi="宋体"/>
                <w:color w:val="000000" w:themeColor="text1"/>
                <w:szCs w:val="21"/>
                <w14:textFill>
                  <w14:solidFill>
                    <w14:schemeClr w14:val="tx1"/>
                  </w14:solidFill>
                </w14:textFill>
              </w:rPr>
            </w:pPr>
          </w:p>
        </w:tc>
        <w:tc>
          <w:tcPr>
            <w:tcW w:w="1629" w:type="dxa"/>
            <w:vAlign w:val="center"/>
          </w:tcPr>
          <w:p w14:paraId="1D309B38">
            <w:pPr>
              <w:jc w:val="center"/>
              <w:rPr>
                <w:rFonts w:ascii="宋体" w:hAnsi="宋体"/>
                <w:color w:val="000000" w:themeColor="text1"/>
                <w:szCs w:val="21"/>
                <w14:textFill>
                  <w14:solidFill>
                    <w14:schemeClr w14:val="tx1"/>
                  </w14:solidFill>
                </w14:textFill>
              </w:rPr>
            </w:pPr>
          </w:p>
        </w:tc>
        <w:tc>
          <w:tcPr>
            <w:tcW w:w="1239" w:type="dxa"/>
            <w:vAlign w:val="center"/>
          </w:tcPr>
          <w:p w14:paraId="12DF2B52">
            <w:pPr>
              <w:jc w:val="center"/>
              <w:rPr>
                <w:rFonts w:ascii="宋体" w:hAnsi="宋体"/>
                <w:color w:val="000000" w:themeColor="text1"/>
                <w:szCs w:val="21"/>
                <w14:textFill>
                  <w14:solidFill>
                    <w14:schemeClr w14:val="tx1"/>
                  </w14:solidFill>
                </w14:textFill>
              </w:rPr>
            </w:pPr>
          </w:p>
        </w:tc>
        <w:tc>
          <w:tcPr>
            <w:tcW w:w="1544" w:type="dxa"/>
            <w:vAlign w:val="center"/>
          </w:tcPr>
          <w:p w14:paraId="12C23865">
            <w:pPr>
              <w:jc w:val="center"/>
              <w:rPr>
                <w:rFonts w:ascii="宋体" w:hAnsi="宋体"/>
                <w:color w:val="000000" w:themeColor="text1"/>
                <w:szCs w:val="21"/>
                <w14:textFill>
                  <w14:solidFill>
                    <w14:schemeClr w14:val="tx1"/>
                  </w14:solidFill>
                </w14:textFill>
              </w:rPr>
            </w:pPr>
          </w:p>
        </w:tc>
      </w:tr>
      <w:tr w14:paraId="211D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65EB806D">
            <w:pPr>
              <w:jc w:val="center"/>
              <w:rPr>
                <w:rFonts w:ascii="宋体" w:hAnsi="宋体"/>
                <w:color w:val="000000" w:themeColor="text1"/>
                <w:szCs w:val="21"/>
                <w14:textFill>
                  <w14:solidFill>
                    <w14:schemeClr w14:val="tx1"/>
                  </w14:solidFill>
                </w14:textFill>
              </w:rPr>
            </w:pPr>
          </w:p>
        </w:tc>
        <w:tc>
          <w:tcPr>
            <w:tcW w:w="1902" w:type="dxa"/>
            <w:vAlign w:val="center"/>
          </w:tcPr>
          <w:p w14:paraId="04089052">
            <w:pPr>
              <w:jc w:val="center"/>
              <w:rPr>
                <w:rFonts w:ascii="宋体" w:hAnsi="宋体"/>
                <w:color w:val="000000" w:themeColor="text1"/>
                <w:szCs w:val="21"/>
                <w14:textFill>
                  <w14:solidFill>
                    <w14:schemeClr w14:val="tx1"/>
                  </w14:solidFill>
                </w14:textFill>
              </w:rPr>
            </w:pPr>
          </w:p>
        </w:tc>
        <w:tc>
          <w:tcPr>
            <w:tcW w:w="1370" w:type="dxa"/>
            <w:vAlign w:val="center"/>
          </w:tcPr>
          <w:p w14:paraId="5B20C70C">
            <w:pPr>
              <w:jc w:val="center"/>
              <w:rPr>
                <w:rFonts w:ascii="宋体" w:hAnsi="宋体"/>
                <w:color w:val="000000" w:themeColor="text1"/>
                <w:szCs w:val="21"/>
                <w14:textFill>
                  <w14:solidFill>
                    <w14:schemeClr w14:val="tx1"/>
                  </w14:solidFill>
                </w14:textFill>
              </w:rPr>
            </w:pPr>
          </w:p>
        </w:tc>
        <w:tc>
          <w:tcPr>
            <w:tcW w:w="1629" w:type="dxa"/>
            <w:vAlign w:val="center"/>
          </w:tcPr>
          <w:p w14:paraId="6CBCDBF0">
            <w:pPr>
              <w:jc w:val="center"/>
              <w:rPr>
                <w:rFonts w:ascii="宋体" w:hAnsi="宋体"/>
                <w:color w:val="000000" w:themeColor="text1"/>
                <w:szCs w:val="21"/>
                <w14:textFill>
                  <w14:solidFill>
                    <w14:schemeClr w14:val="tx1"/>
                  </w14:solidFill>
                </w14:textFill>
              </w:rPr>
            </w:pPr>
          </w:p>
        </w:tc>
        <w:tc>
          <w:tcPr>
            <w:tcW w:w="1239" w:type="dxa"/>
            <w:vAlign w:val="center"/>
          </w:tcPr>
          <w:p w14:paraId="47AE7F51">
            <w:pPr>
              <w:jc w:val="center"/>
              <w:rPr>
                <w:rFonts w:ascii="宋体" w:hAnsi="宋体"/>
                <w:color w:val="000000" w:themeColor="text1"/>
                <w:szCs w:val="21"/>
                <w14:textFill>
                  <w14:solidFill>
                    <w14:schemeClr w14:val="tx1"/>
                  </w14:solidFill>
                </w14:textFill>
              </w:rPr>
            </w:pPr>
          </w:p>
        </w:tc>
        <w:tc>
          <w:tcPr>
            <w:tcW w:w="1544" w:type="dxa"/>
            <w:vAlign w:val="center"/>
          </w:tcPr>
          <w:p w14:paraId="286E6631">
            <w:pPr>
              <w:jc w:val="center"/>
              <w:rPr>
                <w:rFonts w:ascii="宋体" w:hAnsi="宋体"/>
                <w:color w:val="000000" w:themeColor="text1"/>
                <w:szCs w:val="21"/>
                <w14:textFill>
                  <w14:solidFill>
                    <w14:schemeClr w14:val="tx1"/>
                  </w14:solidFill>
                </w14:textFill>
              </w:rPr>
            </w:pPr>
          </w:p>
        </w:tc>
      </w:tr>
      <w:tr w14:paraId="6567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2980915C">
            <w:pPr>
              <w:jc w:val="center"/>
              <w:rPr>
                <w:rFonts w:ascii="宋体" w:hAnsi="宋体"/>
                <w:color w:val="000000" w:themeColor="text1"/>
                <w:szCs w:val="21"/>
                <w14:textFill>
                  <w14:solidFill>
                    <w14:schemeClr w14:val="tx1"/>
                  </w14:solidFill>
                </w14:textFill>
              </w:rPr>
            </w:pPr>
          </w:p>
        </w:tc>
        <w:tc>
          <w:tcPr>
            <w:tcW w:w="1902" w:type="dxa"/>
            <w:vAlign w:val="center"/>
          </w:tcPr>
          <w:p w14:paraId="58D7810F">
            <w:pPr>
              <w:jc w:val="center"/>
              <w:rPr>
                <w:rFonts w:ascii="宋体" w:hAnsi="宋体"/>
                <w:color w:val="000000" w:themeColor="text1"/>
                <w:szCs w:val="21"/>
                <w14:textFill>
                  <w14:solidFill>
                    <w14:schemeClr w14:val="tx1"/>
                  </w14:solidFill>
                </w14:textFill>
              </w:rPr>
            </w:pPr>
          </w:p>
        </w:tc>
        <w:tc>
          <w:tcPr>
            <w:tcW w:w="1370" w:type="dxa"/>
            <w:vAlign w:val="center"/>
          </w:tcPr>
          <w:p w14:paraId="018AFF19">
            <w:pPr>
              <w:jc w:val="center"/>
              <w:rPr>
                <w:rFonts w:ascii="宋体" w:hAnsi="宋体"/>
                <w:color w:val="000000" w:themeColor="text1"/>
                <w:szCs w:val="21"/>
                <w14:textFill>
                  <w14:solidFill>
                    <w14:schemeClr w14:val="tx1"/>
                  </w14:solidFill>
                </w14:textFill>
              </w:rPr>
            </w:pPr>
          </w:p>
        </w:tc>
        <w:tc>
          <w:tcPr>
            <w:tcW w:w="1629" w:type="dxa"/>
            <w:vAlign w:val="center"/>
          </w:tcPr>
          <w:p w14:paraId="7F0D907B">
            <w:pPr>
              <w:jc w:val="center"/>
              <w:rPr>
                <w:rFonts w:ascii="宋体" w:hAnsi="宋体"/>
                <w:color w:val="000000" w:themeColor="text1"/>
                <w:szCs w:val="21"/>
                <w14:textFill>
                  <w14:solidFill>
                    <w14:schemeClr w14:val="tx1"/>
                  </w14:solidFill>
                </w14:textFill>
              </w:rPr>
            </w:pPr>
          </w:p>
        </w:tc>
        <w:tc>
          <w:tcPr>
            <w:tcW w:w="1239" w:type="dxa"/>
            <w:vAlign w:val="center"/>
          </w:tcPr>
          <w:p w14:paraId="61EE7745">
            <w:pPr>
              <w:jc w:val="center"/>
              <w:rPr>
                <w:rFonts w:ascii="宋体" w:hAnsi="宋体"/>
                <w:color w:val="000000" w:themeColor="text1"/>
                <w:szCs w:val="21"/>
                <w14:textFill>
                  <w14:solidFill>
                    <w14:schemeClr w14:val="tx1"/>
                  </w14:solidFill>
                </w14:textFill>
              </w:rPr>
            </w:pPr>
          </w:p>
        </w:tc>
        <w:tc>
          <w:tcPr>
            <w:tcW w:w="1544" w:type="dxa"/>
            <w:vAlign w:val="center"/>
          </w:tcPr>
          <w:p w14:paraId="6B2E7048">
            <w:pPr>
              <w:jc w:val="center"/>
              <w:rPr>
                <w:rFonts w:ascii="宋体" w:hAnsi="宋体"/>
                <w:color w:val="000000" w:themeColor="text1"/>
                <w:szCs w:val="21"/>
                <w14:textFill>
                  <w14:solidFill>
                    <w14:schemeClr w14:val="tx1"/>
                  </w14:solidFill>
                </w14:textFill>
              </w:rPr>
            </w:pPr>
          </w:p>
        </w:tc>
      </w:tr>
      <w:tr w14:paraId="2C80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01B2E551">
            <w:pPr>
              <w:jc w:val="center"/>
              <w:rPr>
                <w:rFonts w:ascii="宋体" w:hAnsi="宋体"/>
                <w:color w:val="000000" w:themeColor="text1"/>
                <w:szCs w:val="21"/>
                <w14:textFill>
                  <w14:solidFill>
                    <w14:schemeClr w14:val="tx1"/>
                  </w14:solidFill>
                </w14:textFill>
              </w:rPr>
            </w:pPr>
          </w:p>
        </w:tc>
        <w:tc>
          <w:tcPr>
            <w:tcW w:w="1902" w:type="dxa"/>
            <w:vAlign w:val="center"/>
          </w:tcPr>
          <w:p w14:paraId="421BC0C2">
            <w:pPr>
              <w:jc w:val="center"/>
              <w:rPr>
                <w:rFonts w:ascii="宋体" w:hAnsi="宋体"/>
                <w:color w:val="000000" w:themeColor="text1"/>
                <w:szCs w:val="21"/>
                <w14:textFill>
                  <w14:solidFill>
                    <w14:schemeClr w14:val="tx1"/>
                  </w14:solidFill>
                </w14:textFill>
              </w:rPr>
            </w:pPr>
          </w:p>
        </w:tc>
        <w:tc>
          <w:tcPr>
            <w:tcW w:w="1370" w:type="dxa"/>
            <w:vAlign w:val="center"/>
          </w:tcPr>
          <w:p w14:paraId="07542CC2">
            <w:pPr>
              <w:jc w:val="center"/>
              <w:rPr>
                <w:rFonts w:ascii="宋体" w:hAnsi="宋体"/>
                <w:color w:val="000000" w:themeColor="text1"/>
                <w:szCs w:val="21"/>
                <w14:textFill>
                  <w14:solidFill>
                    <w14:schemeClr w14:val="tx1"/>
                  </w14:solidFill>
                </w14:textFill>
              </w:rPr>
            </w:pPr>
          </w:p>
        </w:tc>
        <w:tc>
          <w:tcPr>
            <w:tcW w:w="1629" w:type="dxa"/>
            <w:vAlign w:val="center"/>
          </w:tcPr>
          <w:p w14:paraId="26281357">
            <w:pPr>
              <w:jc w:val="center"/>
              <w:rPr>
                <w:rFonts w:ascii="宋体" w:hAnsi="宋体"/>
                <w:color w:val="000000" w:themeColor="text1"/>
                <w:szCs w:val="21"/>
                <w14:textFill>
                  <w14:solidFill>
                    <w14:schemeClr w14:val="tx1"/>
                  </w14:solidFill>
                </w14:textFill>
              </w:rPr>
            </w:pPr>
          </w:p>
        </w:tc>
        <w:tc>
          <w:tcPr>
            <w:tcW w:w="1239" w:type="dxa"/>
            <w:vAlign w:val="center"/>
          </w:tcPr>
          <w:p w14:paraId="2874FA87">
            <w:pPr>
              <w:jc w:val="center"/>
              <w:rPr>
                <w:rFonts w:ascii="宋体" w:hAnsi="宋体"/>
                <w:color w:val="000000" w:themeColor="text1"/>
                <w:szCs w:val="21"/>
                <w14:textFill>
                  <w14:solidFill>
                    <w14:schemeClr w14:val="tx1"/>
                  </w14:solidFill>
                </w14:textFill>
              </w:rPr>
            </w:pPr>
          </w:p>
        </w:tc>
        <w:tc>
          <w:tcPr>
            <w:tcW w:w="1544" w:type="dxa"/>
            <w:vAlign w:val="center"/>
          </w:tcPr>
          <w:p w14:paraId="1F59CA6C">
            <w:pPr>
              <w:jc w:val="center"/>
              <w:rPr>
                <w:rFonts w:ascii="宋体" w:hAnsi="宋体"/>
                <w:color w:val="000000" w:themeColor="text1"/>
                <w:szCs w:val="21"/>
                <w14:textFill>
                  <w14:solidFill>
                    <w14:schemeClr w14:val="tx1"/>
                  </w14:solidFill>
                </w14:textFill>
              </w:rPr>
            </w:pPr>
          </w:p>
        </w:tc>
      </w:tr>
    </w:tbl>
    <w:p w14:paraId="3867DFE5">
      <w:pPr>
        <w:rPr>
          <w:rFonts w:ascii="宋体" w:hAnsi="宋体"/>
          <w:color w:val="000000" w:themeColor="text1"/>
          <w:szCs w:val="21"/>
          <w14:textFill>
            <w14:solidFill>
              <w14:schemeClr w14:val="tx1"/>
            </w14:solidFill>
          </w14:textFill>
        </w:rPr>
      </w:pPr>
    </w:p>
    <w:p w14:paraId="7AE86928">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投标人代表签字：</w:t>
      </w:r>
    </w:p>
    <w:p w14:paraId="2090F120">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投标人盖章：</w:t>
      </w:r>
    </w:p>
    <w:p w14:paraId="1FA7861F">
      <w:pPr>
        <w:ind w:firstLine="178" w:firstLineChars="85"/>
        <w:rPr>
          <w:rFonts w:ascii="宋体" w:hAnsi="宋体"/>
          <w:color w:val="000000" w:themeColor="text1"/>
          <w:szCs w:val="21"/>
          <w14:textFill>
            <w14:solidFill>
              <w14:schemeClr w14:val="tx1"/>
            </w14:solidFill>
          </w14:textFill>
        </w:rPr>
      </w:pPr>
    </w:p>
    <w:p w14:paraId="24557DA0">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w:t>
      </w:r>
    </w:p>
    <w:p w14:paraId="249E337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14:textFill>
            <w14:solidFill>
              <w14:schemeClr w14:val="tx1"/>
            </w14:solidFill>
          </w14:textFill>
        </w:rPr>
        <w:t>1、投标人</w:t>
      </w:r>
      <w:r>
        <w:rPr>
          <w:rFonts w:hint="eastAsia" w:ascii="宋体" w:hAnsi="宋体"/>
          <w:color w:val="000000" w:themeColor="text1"/>
          <w:szCs w:val="21"/>
          <w:highlight w:val="none"/>
          <w14:textFill>
            <w14:solidFill>
              <w14:schemeClr w14:val="tx1"/>
            </w14:solidFill>
          </w14:textFill>
        </w:rPr>
        <w:t>应对照采购文件技术需求书中技术规格，说明所提供服务已对采购文件的技术规格做出了实质性的响应，并申明与技术规格条文的偏差和例外。特别对有具体参数要求的指标，投标人必须提供所投设备的具体参数值。</w:t>
      </w:r>
    </w:p>
    <w:p w14:paraId="192DD500">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hint="eastAsia" w:hAnsi="宋体" w:cs="宋体"/>
          <w:color w:val="000000" w:themeColor="text1"/>
          <w:szCs w:val="21"/>
          <w:highlight w:val="none"/>
          <w14:textFill>
            <w14:solidFill>
              <w14:schemeClr w14:val="tx1"/>
            </w14:solidFill>
          </w14:textFill>
        </w:rPr>
        <w:t>不论出于何种原因此表未填写</w:t>
      </w:r>
      <w:r>
        <w:rPr>
          <w:rFonts w:hint="eastAsia" w:ascii="宋体" w:hAnsi="宋体"/>
          <w:color w:val="000000" w:themeColor="text1"/>
          <w:szCs w:val="21"/>
          <w:highlight w:val="none"/>
          <w14:textFill>
            <w14:solidFill>
              <w14:schemeClr w14:val="tx1"/>
            </w14:solidFill>
          </w14:textFill>
        </w:rPr>
        <w:t>完整</w:t>
      </w:r>
      <w:r>
        <w:rPr>
          <w:rFonts w:hint="eastAsia" w:hAnsi="宋体" w:cs="宋体"/>
          <w:color w:val="000000" w:themeColor="text1"/>
          <w:szCs w:val="21"/>
          <w:highlight w:val="none"/>
          <w14:textFill>
            <w14:solidFill>
              <w14:schemeClr w14:val="tx1"/>
            </w14:solidFill>
          </w14:textFill>
        </w:rPr>
        <w:t>，投标人都被认为已清楚了解采购文件“技术需求书”的内容并对采购人所需的服务要求作全面响应，投标人必须承担完成“技术需求书”所描述内容的义务</w:t>
      </w:r>
      <w:r>
        <w:rPr>
          <w:rFonts w:hint="eastAsia" w:ascii="宋体" w:hAnsi="宋体"/>
          <w:color w:val="000000" w:themeColor="text1"/>
          <w:szCs w:val="21"/>
          <w:highlight w:val="none"/>
          <w14:textFill>
            <w14:solidFill>
              <w14:schemeClr w14:val="tx1"/>
            </w14:solidFill>
          </w14:textFill>
        </w:rPr>
        <w:t>，因此对投标人投标产生负面影响的，投标人自行承担后果。</w:t>
      </w:r>
    </w:p>
    <w:p w14:paraId="3BDCCCA5">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hint="eastAsia" w:hAnsi="宋体" w:cs="宋体"/>
          <w:color w:val="000000" w:themeColor="text1"/>
          <w:szCs w:val="21"/>
          <w:highlight w:val="none"/>
          <w14:textFill>
            <w14:solidFill>
              <w14:schemeClr w14:val="tx1"/>
            </w14:solidFill>
          </w14:textFill>
        </w:rPr>
        <w:t>如有偏离，应在“偏离情况”栏内注明“正”、“负”或“无”，并在“说明”栏内予以说明。</w:t>
      </w:r>
    </w:p>
    <w:p w14:paraId="4927E8C5">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hint="eastAsia" w:hAnsi="宋体" w:cs="宋体"/>
          <w:color w:val="000000" w:themeColor="text1"/>
          <w:szCs w:val="21"/>
          <w:highlight w:val="none"/>
          <w14:textFill>
            <w14:solidFill>
              <w14:schemeClr w14:val="tx1"/>
            </w14:solidFill>
          </w14:textFill>
        </w:rPr>
        <w:t>如投标人差异内容较多可另附页说明。</w:t>
      </w:r>
    </w:p>
    <w:p w14:paraId="783281BF">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r>
        <w:rPr>
          <w:rFonts w:hint="eastAsia" w:hAnsi="宋体" w:cs="宋体"/>
          <w:color w:val="000000" w:themeColor="text1"/>
          <w:szCs w:val="21"/>
          <w:highlight w:val="none"/>
          <w14:textFill>
            <w14:solidFill>
              <w14:schemeClr w14:val="tx1"/>
            </w14:solidFill>
          </w14:textFill>
        </w:rPr>
        <w:t>如投标人对用户需求书商务要求的条款全部响应的，也可以在表格下面用文字总括性的说明。</w:t>
      </w:r>
    </w:p>
    <w:p w14:paraId="60A4FFC7">
      <w:pPr>
        <w:adjustRightInd/>
        <w:snapToGrid/>
        <w:spacing w:line="276" w:lineRule="auto"/>
        <w:rPr>
          <w:color w:val="000000" w:themeColor="text1"/>
          <w:highlight w:val="none"/>
          <w14:textFill>
            <w14:solidFill>
              <w14:schemeClr w14:val="tx1"/>
            </w14:solidFill>
          </w14:textFill>
        </w:rPr>
      </w:pPr>
    </w:p>
    <w:p w14:paraId="0C4A67A6">
      <w:pPr>
        <w:adjustRightInd/>
        <w:snapToGrid/>
        <w:spacing w:line="276" w:lineRule="auto"/>
        <w:rPr>
          <w:color w:val="000000" w:themeColor="text1"/>
          <w14:textFill>
            <w14:solidFill>
              <w14:schemeClr w14:val="tx1"/>
            </w14:solidFill>
          </w14:textFill>
        </w:rPr>
      </w:pPr>
    </w:p>
    <w:p w14:paraId="57AF28F3">
      <w:pPr>
        <w:rPr>
          <w:rFonts w:ascii="宋体" w:hAnsi="宋体"/>
          <w:color w:val="000000" w:themeColor="text1"/>
          <w:szCs w:val="21"/>
          <w14:textFill>
            <w14:solidFill>
              <w14:schemeClr w14:val="tx1"/>
            </w14:solidFill>
          </w14:textFill>
        </w:rPr>
      </w:pPr>
      <w:bookmarkStart w:id="274" w:name="_Toc17691"/>
      <w:r>
        <w:rPr>
          <w:rFonts w:hint="eastAsia" w:ascii="宋体" w:hAnsi="宋体"/>
          <w:color w:val="000000" w:themeColor="text1"/>
          <w:szCs w:val="21"/>
          <w14:textFill>
            <w14:solidFill>
              <w14:schemeClr w14:val="tx1"/>
            </w14:solidFill>
          </w14:textFill>
        </w:rPr>
        <w:br w:type="page"/>
      </w:r>
    </w:p>
    <w:bookmarkEnd w:id="274"/>
    <w:p w14:paraId="071B8CFF">
      <w:pPr>
        <w:pStyle w:val="5"/>
        <w:widowControl w:val="0"/>
        <w:overflowPunct w:val="0"/>
        <w:spacing w:line="240" w:lineRule="auto"/>
        <w:rPr>
          <w:rFonts w:ascii="宋体" w:hAnsi="宋体"/>
          <w:color w:val="000000" w:themeColor="text1"/>
          <w:sz w:val="21"/>
          <w:szCs w:val="21"/>
          <w14:textFill>
            <w14:solidFill>
              <w14:schemeClr w14:val="tx1"/>
            </w14:solidFill>
          </w14:textFill>
        </w:rPr>
      </w:pPr>
      <w:bookmarkStart w:id="275" w:name="_Toc14576"/>
      <w:r>
        <w:rPr>
          <w:rFonts w:hint="eastAsia" w:ascii="宋体" w:hAnsi="宋体"/>
          <w:color w:val="000000" w:themeColor="text1"/>
          <w:sz w:val="21"/>
          <w:szCs w:val="21"/>
          <w14:textFill>
            <w14:solidFill>
              <w14:schemeClr w14:val="tx1"/>
            </w14:solidFill>
          </w14:textFill>
        </w:rPr>
        <w:t>附件1</w:t>
      </w:r>
      <w:r>
        <w:rPr>
          <w:rFonts w:hint="eastAsia" w:ascii="宋体" w:hAnsi="宋体"/>
          <w:color w:val="000000" w:themeColor="text1"/>
          <w:sz w:val="21"/>
          <w:szCs w:val="21"/>
          <w:lang w:val="en-US" w:eastAsia="zh-CN"/>
          <w14:textFill>
            <w14:solidFill>
              <w14:schemeClr w14:val="tx1"/>
            </w14:solidFill>
          </w14:textFill>
        </w:rPr>
        <w:t>6</w:t>
      </w:r>
      <w:r>
        <w:rPr>
          <w:rFonts w:hint="eastAsia" w:ascii="宋体" w:hAnsi="宋体"/>
          <w:color w:val="000000" w:themeColor="text1"/>
          <w:sz w:val="21"/>
          <w:szCs w:val="21"/>
          <w14:textFill>
            <w14:solidFill>
              <w14:schemeClr w14:val="tx1"/>
            </w14:solidFill>
          </w14:textFill>
        </w:rPr>
        <w:t>.项目实施方案格式</w:t>
      </w:r>
      <w:bookmarkEnd w:id="275"/>
    </w:p>
    <w:p w14:paraId="29DAEB2C">
      <w:pPr>
        <w:jc w:val="center"/>
        <w:rPr>
          <w:rFonts w:ascii="黑体" w:eastAsia="黑体"/>
          <w:color w:val="000000" w:themeColor="text1"/>
          <w:sz w:val="32"/>
          <w:szCs w:val="32"/>
          <w14:textFill>
            <w14:solidFill>
              <w14:schemeClr w14:val="tx1"/>
            </w14:solidFill>
          </w14:textFill>
        </w:rPr>
      </w:pPr>
    </w:p>
    <w:p w14:paraId="29E39C87">
      <w:pPr>
        <w:jc w:val="center"/>
        <w:rPr>
          <w:rFonts w:ascii="黑体" w:eastAsia="黑体"/>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项目实施方案</w:t>
      </w:r>
    </w:p>
    <w:p w14:paraId="2A6145F7">
      <w:pPr>
        <w:jc w:val="center"/>
        <w:rPr>
          <w:rFonts w:ascii="黑体" w:eastAsia="黑体"/>
          <w:color w:val="000000" w:themeColor="text1"/>
          <w:sz w:val="32"/>
          <w:szCs w:val="32"/>
          <w14:textFill>
            <w14:solidFill>
              <w14:schemeClr w14:val="tx1"/>
            </w14:solidFill>
          </w14:textFill>
        </w:rPr>
      </w:pPr>
    </w:p>
    <w:p w14:paraId="72987F9D">
      <w:pPr>
        <w:ind w:left="718" w:leftChars="200" w:hanging="298" w:hangingChars="14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color w:val="000000" w:themeColor="text1"/>
          <w14:textFill>
            <w14:solidFill>
              <w14:schemeClr w14:val="tx1"/>
            </w14:solidFill>
          </w14:textFill>
        </w:rPr>
        <w:t>整体设计方案</w:t>
      </w:r>
    </w:p>
    <w:p w14:paraId="7CA5D137">
      <w:pPr>
        <w:ind w:left="718" w:leftChars="200" w:hanging="298" w:hangingChars="14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color w:val="000000" w:themeColor="text1"/>
          <w14:textFill>
            <w14:solidFill>
              <w14:schemeClr w14:val="tx1"/>
            </w14:solidFill>
          </w14:textFill>
        </w:rPr>
        <w:t>项目重点难点分析</w:t>
      </w:r>
    </w:p>
    <w:p w14:paraId="7B0FD9BE">
      <w:pPr>
        <w:ind w:left="718" w:leftChars="200" w:hanging="298" w:hangingChars="14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r>
        <w:rPr>
          <w:rFonts w:hint="eastAsia" w:hAnsi="宋体" w:cs="宋体"/>
          <w:color w:val="000000" w:themeColor="text1"/>
          <w:spacing w:val="2"/>
          <w:szCs w:val="21"/>
          <w:u w:val="none"/>
          <w14:textFill>
            <w14:solidFill>
              <w14:schemeClr w14:val="tx1"/>
            </w14:solidFill>
          </w14:textFill>
        </w:rPr>
        <w:t>服务质量承诺及措施</w:t>
      </w:r>
    </w:p>
    <w:p w14:paraId="6CF15693">
      <w:pPr>
        <w:ind w:left="718" w:leftChars="200" w:hanging="298" w:hangingChars="14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hint="eastAsia" w:ascii="Tahoma" w:hAnsi="宋体" w:eastAsia="宋体" w:cs="宋体"/>
          <w:color w:val="000000" w:themeColor="text1"/>
          <w:spacing w:val="2"/>
          <w:sz w:val="21"/>
          <w:szCs w:val="21"/>
          <w:u w:val="none"/>
          <w:lang w:val="en-US" w:eastAsia="zh-CN" w:bidi="ar-SA"/>
          <w14:textFill>
            <w14:solidFill>
              <w14:schemeClr w14:val="tx1"/>
            </w14:solidFill>
          </w14:textFill>
        </w:rPr>
        <w:t>培训方案</w:t>
      </w:r>
    </w:p>
    <w:p w14:paraId="146CFD01">
      <w:pPr>
        <w:ind w:left="718" w:leftChars="200" w:hanging="298" w:hangingChars="142"/>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hint="eastAsia" w:hAnsi="宋体" w:cs="宋体"/>
          <w:color w:val="000000" w:themeColor="text1"/>
          <w:spacing w:val="2"/>
          <w:szCs w:val="21"/>
          <w:u w:val="none"/>
          <w14:textFill>
            <w14:solidFill>
              <w14:schemeClr w14:val="tx1"/>
            </w14:solidFill>
          </w14:textFill>
        </w:rPr>
        <w:t>售后服务</w:t>
      </w:r>
    </w:p>
    <w:p w14:paraId="1CB57C6D">
      <w:pPr>
        <w:ind w:left="718" w:leftChars="200" w:hanging="298" w:hangingChars="142"/>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6</w:t>
      </w:r>
      <w:r>
        <w:rPr>
          <w:rFonts w:hint="eastAsia" w:ascii="宋体" w:hAnsi="宋体"/>
          <w:color w:val="000000" w:themeColor="text1"/>
          <w:szCs w:val="21"/>
          <w14:textFill>
            <w14:solidFill>
              <w14:schemeClr w14:val="tx1"/>
            </w14:solidFill>
          </w14:textFill>
        </w:rPr>
        <w:t>、..........</w:t>
      </w:r>
    </w:p>
    <w:p w14:paraId="2F2713BC">
      <w:pPr>
        <w:ind w:left="718" w:leftChars="200" w:hanging="298" w:hangingChars="142"/>
        <w:rPr>
          <w:rFonts w:ascii="宋体" w:hAnsi="宋体" w:cs="Times New Roman"/>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自行编写。</w:t>
      </w:r>
    </w:p>
    <w:p w14:paraId="7CCB3AD9">
      <w:pPr>
        <w:ind w:left="718" w:leftChars="200" w:hanging="298" w:hangingChars="142"/>
        <w:rPr>
          <w:rFonts w:ascii="宋体" w:hAnsi="宋体"/>
          <w:color w:val="000000" w:themeColor="text1"/>
          <w:szCs w:val="21"/>
          <w14:textFill>
            <w14:solidFill>
              <w14:schemeClr w14:val="tx1"/>
            </w14:solidFill>
          </w14:textFill>
        </w:rPr>
      </w:pPr>
    </w:p>
    <w:p w14:paraId="0B8CC889">
      <w:pPr>
        <w:ind w:left="718" w:leftChars="200" w:hanging="298" w:hangingChars="142"/>
        <w:rPr>
          <w:rFonts w:ascii="宋体" w:hAnsi="宋体"/>
          <w:color w:val="000000" w:themeColor="text1"/>
          <w:szCs w:val="21"/>
          <w14:textFill>
            <w14:solidFill>
              <w14:schemeClr w14:val="tx1"/>
            </w14:solidFill>
          </w14:textFill>
        </w:rPr>
      </w:pPr>
    </w:p>
    <w:p w14:paraId="0F83FAB8">
      <w:pPr>
        <w:ind w:left="718" w:leftChars="200" w:hanging="298" w:hangingChars="14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2A9B1A03">
      <w:pPr>
        <w:pStyle w:val="5"/>
        <w:widowControl w:val="0"/>
        <w:overflowPunct w:val="0"/>
        <w:spacing w:line="240" w:lineRule="auto"/>
        <w:rPr>
          <w:rFonts w:ascii="宋体" w:hAnsi="宋体"/>
          <w:color w:val="000000" w:themeColor="text1"/>
          <w:sz w:val="21"/>
          <w:szCs w:val="21"/>
          <w14:textFill>
            <w14:solidFill>
              <w14:schemeClr w14:val="tx1"/>
            </w14:solidFill>
          </w14:textFill>
        </w:rPr>
      </w:pPr>
      <w:bookmarkStart w:id="276" w:name="_Toc26125"/>
      <w:r>
        <w:rPr>
          <w:rFonts w:hint="eastAsia" w:ascii="宋体" w:hAnsi="宋体"/>
          <w:color w:val="000000" w:themeColor="text1"/>
          <w:sz w:val="21"/>
          <w:szCs w:val="21"/>
          <w14:textFill>
            <w14:solidFill>
              <w14:schemeClr w14:val="tx1"/>
            </w14:solidFill>
          </w14:textFill>
        </w:rPr>
        <w:t>附件1</w:t>
      </w:r>
      <w:r>
        <w:rPr>
          <w:rFonts w:hint="eastAsia" w:ascii="宋体" w:hAnsi="宋体"/>
          <w:color w:val="000000" w:themeColor="text1"/>
          <w:sz w:val="21"/>
          <w:szCs w:val="21"/>
          <w:lang w:val="en-US" w:eastAsia="zh-CN"/>
          <w14:textFill>
            <w14:solidFill>
              <w14:schemeClr w14:val="tx1"/>
            </w14:solidFill>
          </w14:textFill>
        </w:rPr>
        <w:t>7</w:t>
      </w:r>
      <w:r>
        <w:rPr>
          <w:rFonts w:hint="eastAsia" w:ascii="宋体" w:hAnsi="宋体"/>
          <w:color w:val="000000" w:themeColor="text1"/>
          <w:sz w:val="21"/>
          <w:szCs w:val="21"/>
          <w14:textFill>
            <w14:solidFill>
              <w14:schemeClr w14:val="tx1"/>
            </w14:solidFill>
          </w14:textFill>
        </w:rPr>
        <w:t>.实施本项目的有关人员资料表格式</w:t>
      </w:r>
      <w:bookmarkEnd w:id="276"/>
    </w:p>
    <w:p w14:paraId="7C22FC2C">
      <w:pPr>
        <w:jc w:val="center"/>
        <w:rPr>
          <w:rFonts w:ascii="宋体" w:hAnsi="宋体"/>
          <w:color w:val="000000" w:themeColor="text1"/>
          <w:szCs w:val="21"/>
          <w14:textFill>
            <w14:solidFill>
              <w14:schemeClr w14:val="tx1"/>
            </w14:solidFill>
          </w14:textFill>
        </w:rPr>
      </w:pPr>
    </w:p>
    <w:p w14:paraId="78F95B95">
      <w:pPr>
        <w:jc w:val="center"/>
        <w:rPr>
          <w:rFonts w:ascii="黑体" w:eastAsia="黑体"/>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实施本项目的有关人员资料表</w:t>
      </w:r>
    </w:p>
    <w:tbl>
      <w:tblPr>
        <w:tblStyle w:val="3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702"/>
        <w:gridCol w:w="1861"/>
        <w:gridCol w:w="702"/>
        <w:gridCol w:w="702"/>
        <w:gridCol w:w="1164"/>
        <w:gridCol w:w="818"/>
        <w:gridCol w:w="1165"/>
        <w:gridCol w:w="703"/>
      </w:tblGrid>
      <w:tr w14:paraId="4003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71448BD3">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序号</w:t>
            </w:r>
          </w:p>
        </w:tc>
        <w:tc>
          <w:tcPr>
            <w:tcW w:w="412" w:type="pct"/>
            <w:vAlign w:val="center"/>
          </w:tcPr>
          <w:p w14:paraId="7840131D">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姓名</w:t>
            </w:r>
          </w:p>
        </w:tc>
        <w:tc>
          <w:tcPr>
            <w:tcW w:w="1092" w:type="pct"/>
            <w:vAlign w:val="center"/>
          </w:tcPr>
          <w:p w14:paraId="12651FE7">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本项目拟任岗位</w:t>
            </w:r>
          </w:p>
        </w:tc>
        <w:tc>
          <w:tcPr>
            <w:tcW w:w="412" w:type="pct"/>
            <w:vAlign w:val="center"/>
          </w:tcPr>
          <w:p w14:paraId="6DE7FC5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性别</w:t>
            </w:r>
          </w:p>
        </w:tc>
        <w:tc>
          <w:tcPr>
            <w:tcW w:w="412" w:type="pct"/>
            <w:vAlign w:val="center"/>
          </w:tcPr>
          <w:p w14:paraId="737DAE2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年龄</w:t>
            </w:r>
          </w:p>
        </w:tc>
        <w:tc>
          <w:tcPr>
            <w:tcW w:w="683" w:type="pct"/>
            <w:vAlign w:val="center"/>
          </w:tcPr>
          <w:p w14:paraId="4F7B3328">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技术职称</w:t>
            </w:r>
          </w:p>
        </w:tc>
        <w:tc>
          <w:tcPr>
            <w:tcW w:w="480" w:type="pct"/>
            <w:vAlign w:val="center"/>
          </w:tcPr>
          <w:p w14:paraId="492907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专 业</w:t>
            </w:r>
          </w:p>
        </w:tc>
        <w:tc>
          <w:tcPr>
            <w:tcW w:w="683" w:type="pct"/>
            <w:vAlign w:val="center"/>
          </w:tcPr>
          <w:p w14:paraId="5FF2D5CD">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资质证书</w:t>
            </w:r>
          </w:p>
        </w:tc>
        <w:tc>
          <w:tcPr>
            <w:tcW w:w="412" w:type="pct"/>
            <w:tcBorders>
              <w:right w:val="single" w:color="auto" w:sz="6" w:space="0"/>
            </w:tcBorders>
            <w:vAlign w:val="center"/>
          </w:tcPr>
          <w:p w14:paraId="71079E06">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备注</w:t>
            </w:r>
          </w:p>
        </w:tc>
      </w:tr>
      <w:tr w14:paraId="3ABD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076B2D25">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4CDF0E89">
            <w:pPr>
              <w:spacing w:line="288" w:lineRule="auto"/>
              <w:jc w:val="center"/>
              <w:rPr>
                <w:rFonts w:ascii="宋体" w:hAnsi="宋体"/>
                <w:color w:val="000000" w:themeColor="text1"/>
                <w:szCs w:val="21"/>
                <w14:textFill>
                  <w14:solidFill>
                    <w14:schemeClr w14:val="tx1"/>
                  </w14:solidFill>
                </w14:textFill>
              </w:rPr>
            </w:pPr>
          </w:p>
        </w:tc>
        <w:tc>
          <w:tcPr>
            <w:tcW w:w="1092" w:type="pct"/>
            <w:vAlign w:val="center"/>
          </w:tcPr>
          <w:p w14:paraId="31166FE6">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2A3FAACD">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35273301">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60EBC4B0">
            <w:pPr>
              <w:spacing w:line="288" w:lineRule="auto"/>
              <w:jc w:val="center"/>
              <w:rPr>
                <w:rFonts w:ascii="宋体" w:hAnsi="宋体"/>
                <w:color w:val="000000" w:themeColor="text1"/>
                <w:szCs w:val="21"/>
                <w14:textFill>
                  <w14:solidFill>
                    <w14:schemeClr w14:val="tx1"/>
                  </w14:solidFill>
                </w14:textFill>
              </w:rPr>
            </w:pPr>
          </w:p>
        </w:tc>
        <w:tc>
          <w:tcPr>
            <w:tcW w:w="480" w:type="pct"/>
            <w:vAlign w:val="center"/>
          </w:tcPr>
          <w:p w14:paraId="7FB50504">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66778427">
            <w:pPr>
              <w:spacing w:line="288" w:lineRule="auto"/>
              <w:jc w:val="center"/>
              <w:rPr>
                <w:rFonts w:ascii="宋体" w:hAnsi="宋体"/>
                <w:color w:val="000000" w:themeColor="text1"/>
                <w:szCs w:val="21"/>
                <w14:textFill>
                  <w14:solidFill>
                    <w14:schemeClr w14:val="tx1"/>
                  </w14:solidFill>
                </w14:textFill>
              </w:rPr>
            </w:pPr>
          </w:p>
        </w:tc>
        <w:tc>
          <w:tcPr>
            <w:tcW w:w="412" w:type="pct"/>
            <w:tcBorders>
              <w:right w:val="single" w:color="auto" w:sz="6" w:space="0"/>
            </w:tcBorders>
            <w:vAlign w:val="center"/>
          </w:tcPr>
          <w:p w14:paraId="33157173">
            <w:pPr>
              <w:spacing w:line="288" w:lineRule="auto"/>
              <w:jc w:val="center"/>
              <w:rPr>
                <w:rFonts w:ascii="宋体" w:hAnsi="宋体"/>
                <w:color w:val="000000" w:themeColor="text1"/>
                <w:szCs w:val="21"/>
                <w14:textFill>
                  <w14:solidFill>
                    <w14:schemeClr w14:val="tx1"/>
                  </w14:solidFill>
                </w14:textFill>
              </w:rPr>
            </w:pPr>
          </w:p>
        </w:tc>
      </w:tr>
      <w:tr w14:paraId="6D701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035910A4">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20E6CA0A">
            <w:pPr>
              <w:spacing w:line="288" w:lineRule="auto"/>
              <w:jc w:val="center"/>
              <w:rPr>
                <w:rFonts w:ascii="宋体" w:hAnsi="宋体"/>
                <w:color w:val="000000" w:themeColor="text1"/>
                <w:szCs w:val="21"/>
                <w14:textFill>
                  <w14:solidFill>
                    <w14:schemeClr w14:val="tx1"/>
                  </w14:solidFill>
                </w14:textFill>
              </w:rPr>
            </w:pPr>
          </w:p>
        </w:tc>
        <w:tc>
          <w:tcPr>
            <w:tcW w:w="1092" w:type="pct"/>
            <w:vAlign w:val="center"/>
          </w:tcPr>
          <w:p w14:paraId="5DFBFF40">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6747E124">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6AF6DA49">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188E3FC3">
            <w:pPr>
              <w:spacing w:line="288" w:lineRule="auto"/>
              <w:jc w:val="center"/>
              <w:rPr>
                <w:rFonts w:ascii="宋体" w:hAnsi="宋体"/>
                <w:color w:val="000000" w:themeColor="text1"/>
                <w:szCs w:val="21"/>
                <w14:textFill>
                  <w14:solidFill>
                    <w14:schemeClr w14:val="tx1"/>
                  </w14:solidFill>
                </w14:textFill>
              </w:rPr>
            </w:pPr>
          </w:p>
        </w:tc>
        <w:tc>
          <w:tcPr>
            <w:tcW w:w="480" w:type="pct"/>
            <w:vAlign w:val="center"/>
          </w:tcPr>
          <w:p w14:paraId="4B93F5A3">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5A3D84A7">
            <w:pPr>
              <w:spacing w:line="288" w:lineRule="auto"/>
              <w:jc w:val="center"/>
              <w:rPr>
                <w:rFonts w:ascii="宋体" w:hAnsi="宋体"/>
                <w:color w:val="000000" w:themeColor="text1"/>
                <w:szCs w:val="21"/>
                <w14:textFill>
                  <w14:solidFill>
                    <w14:schemeClr w14:val="tx1"/>
                  </w14:solidFill>
                </w14:textFill>
              </w:rPr>
            </w:pPr>
          </w:p>
        </w:tc>
        <w:tc>
          <w:tcPr>
            <w:tcW w:w="412" w:type="pct"/>
            <w:tcBorders>
              <w:right w:val="single" w:color="auto" w:sz="6" w:space="0"/>
            </w:tcBorders>
            <w:vAlign w:val="center"/>
          </w:tcPr>
          <w:p w14:paraId="200EF494">
            <w:pPr>
              <w:spacing w:line="288" w:lineRule="auto"/>
              <w:jc w:val="center"/>
              <w:rPr>
                <w:rFonts w:ascii="宋体" w:hAnsi="宋体"/>
                <w:color w:val="000000" w:themeColor="text1"/>
                <w:szCs w:val="21"/>
                <w14:textFill>
                  <w14:solidFill>
                    <w14:schemeClr w14:val="tx1"/>
                  </w14:solidFill>
                </w14:textFill>
              </w:rPr>
            </w:pPr>
          </w:p>
        </w:tc>
      </w:tr>
      <w:tr w14:paraId="307A8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30FB7282">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34E477F0">
            <w:pPr>
              <w:spacing w:line="288" w:lineRule="auto"/>
              <w:jc w:val="center"/>
              <w:rPr>
                <w:rFonts w:ascii="宋体" w:hAnsi="宋体"/>
                <w:color w:val="000000" w:themeColor="text1"/>
                <w:szCs w:val="21"/>
                <w14:textFill>
                  <w14:solidFill>
                    <w14:schemeClr w14:val="tx1"/>
                  </w14:solidFill>
                </w14:textFill>
              </w:rPr>
            </w:pPr>
          </w:p>
        </w:tc>
        <w:tc>
          <w:tcPr>
            <w:tcW w:w="1092" w:type="pct"/>
            <w:vAlign w:val="center"/>
          </w:tcPr>
          <w:p w14:paraId="5A40BB37">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79617BB4">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10650F76">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330775B0">
            <w:pPr>
              <w:spacing w:line="288" w:lineRule="auto"/>
              <w:jc w:val="center"/>
              <w:rPr>
                <w:rFonts w:ascii="宋体" w:hAnsi="宋体"/>
                <w:color w:val="000000" w:themeColor="text1"/>
                <w:szCs w:val="21"/>
                <w14:textFill>
                  <w14:solidFill>
                    <w14:schemeClr w14:val="tx1"/>
                  </w14:solidFill>
                </w14:textFill>
              </w:rPr>
            </w:pPr>
          </w:p>
        </w:tc>
        <w:tc>
          <w:tcPr>
            <w:tcW w:w="480" w:type="pct"/>
            <w:vAlign w:val="center"/>
          </w:tcPr>
          <w:p w14:paraId="21EF1AA0">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2045DB95">
            <w:pPr>
              <w:spacing w:line="288" w:lineRule="auto"/>
              <w:jc w:val="center"/>
              <w:rPr>
                <w:rFonts w:ascii="宋体" w:hAnsi="宋体"/>
                <w:color w:val="000000" w:themeColor="text1"/>
                <w:szCs w:val="21"/>
                <w14:textFill>
                  <w14:solidFill>
                    <w14:schemeClr w14:val="tx1"/>
                  </w14:solidFill>
                </w14:textFill>
              </w:rPr>
            </w:pPr>
          </w:p>
        </w:tc>
        <w:tc>
          <w:tcPr>
            <w:tcW w:w="412" w:type="pct"/>
            <w:tcBorders>
              <w:right w:val="single" w:color="auto" w:sz="6" w:space="0"/>
            </w:tcBorders>
            <w:vAlign w:val="center"/>
          </w:tcPr>
          <w:p w14:paraId="544250B4">
            <w:pPr>
              <w:spacing w:line="288" w:lineRule="auto"/>
              <w:jc w:val="center"/>
              <w:rPr>
                <w:rFonts w:ascii="宋体" w:hAnsi="宋体"/>
                <w:color w:val="000000" w:themeColor="text1"/>
                <w:szCs w:val="21"/>
                <w14:textFill>
                  <w14:solidFill>
                    <w14:schemeClr w14:val="tx1"/>
                  </w14:solidFill>
                </w14:textFill>
              </w:rPr>
            </w:pPr>
          </w:p>
        </w:tc>
      </w:tr>
      <w:tr w14:paraId="66F8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55B21CC3">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452674C5">
            <w:pPr>
              <w:spacing w:line="288" w:lineRule="auto"/>
              <w:jc w:val="center"/>
              <w:rPr>
                <w:rFonts w:ascii="宋体" w:hAnsi="宋体"/>
                <w:color w:val="000000" w:themeColor="text1"/>
                <w:szCs w:val="21"/>
                <w14:textFill>
                  <w14:solidFill>
                    <w14:schemeClr w14:val="tx1"/>
                  </w14:solidFill>
                </w14:textFill>
              </w:rPr>
            </w:pPr>
          </w:p>
        </w:tc>
        <w:tc>
          <w:tcPr>
            <w:tcW w:w="1092" w:type="pct"/>
            <w:vAlign w:val="center"/>
          </w:tcPr>
          <w:p w14:paraId="3A87FA7B">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5E9601E6">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29DE05F8">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51D59954">
            <w:pPr>
              <w:spacing w:line="288" w:lineRule="auto"/>
              <w:jc w:val="center"/>
              <w:rPr>
                <w:rFonts w:ascii="宋体" w:hAnsi="宋体"/>
                <w:color w:val="000000" w:themeColor="text1"/>
                <w:szCs w:val="21"/>
                <w14:textFill>
                  <w14:solidFill>
                    <w14:schemeClr w14:val="tx1"/>
                  </w14:solidFill>
                </w14:textFill>
              </w:rPr>
            </w:pPr>
          </w:p>
        </w:tc>
        <w:tc>
          <w:tcPr>
            <w:tcW w:w="480" w:type="pct"/>
            <w:vAlign w:val="center"/>
          </w:tcPr>
          <w:p w14:paraId="65AE072E">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2F1C6A05">
            <w:pPr>
              <w:spacing w:line="288" w:lineRule="auto"/>
              <w:jc w:val="center"/>
              <w:rPr>
                <w:rFonts w:ascii="宋体" w:hAnsi="宋体"/>
                <w:color w:val="000000" w:themeColor="text1"/>
                <w:szCs w:val="21"/>
                <w14:textFill>
                  <w14:solidFill>
                    <w14:schemeClr w14:val="tx1"/>
                  </w14:solidFill>
                </w14:textFill>
              </w:rPr>
            </w:pPr>
          </w:p>
        </w:tc>
        <w:tc>
          <w:tcPr>
            <w:tcW w:w="412" w:type="pct"/>
            <w:tcBorders>
              <w:right w:val="single" w:color="auto" w:sz="6" w:space="0"/>
            </w:tcBorders>
            <w:vAlign w:val="center"/>
          </w:tcPr>
          <w:p w14:paraId="630C8CF6">
            <w:pPr>
              <w:spacing w:line="288" w:lineRule="auto"/>
              <w:jc w:val="center"/>
              <w:rPr>
                <w:rFonts w:ascii="宋体" w:hAnsi="宋体"/>
                <w:color w:val="000000" w:themeColor="text1"/>
                <w:szCs w:val="21"/>
                <w14:textFill>
                  <w14:solidFill>
                    <w14:schemeClr w14:val="tx1"/>
                  </w14:solidFill>
                </w14:textFill>
              </w:rPr>
            </w:pPr>
          </w:p>
        </w:tc>
      </w:tr>
      <w:tr w14:paraId="75042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35D47CB5">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4EA8DA71">
            <w:pPr>
              <w:spacing w:line="288" w:lineRule="auto"/>
              <w:jc w:val="center"/>
              <w:rPr>
                <w:rFonts w:ascii="宋体" w:hAnsi="宋体"/>
                <w:color w:val="000000" w:themeColor="text1"/>
                <w:szCs w:val="21"/>
                <w14:textFill>
                  <w14:solidFill>
                    <w14:schemeClr w14:val="tx1"/>
                  </w14:solidFill>
                </w14:textFill>
              </w:rPr>
            </w:pPr>
          </w:p>
        </w:tc>
        <w:tc>
          <w:tcPr>
            <w:tcW w:w="1092" w:type="pct"/>
            <w:vAlign w:val="center"/>
          </w:tcPr>
          <w:p w14:paraId="20D8B4E4">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550AC6F9">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031AD9E2">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4397FB11">
            <w:pPr>
              <w:spacing w:line="288" w:lineRule="auto"/>
              <w:jc w:val="center"/>
              <w:rPr>
                <w:rFonts w:ascii="宋体" w:hAnsi="宋体"/>
                <w:color w:val="000000" w:themeColor="text1"/>
                <w:szCs w:val="21"/>
                <w14:textFill>
                  <w14:solidFill>
                    <w14:schemeClr w14:val="tx1"/>
                  </w14:solidFill>
                </w14:textFill>
              </w:rPr>
            </w:pPr>
          </w:p>
        </w:tc>
        <w:tc>
          <w:tcPr>
            <w:tcW w:w="480" w:type="pct"/>
            <w:vAlign w:val="center"/>
          </w:tcPr>
          <w:p w14:paraId="33E19BD2">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471F4138">
            <w:pPr>
              <w:spacing w:line="288" w:lineRule="auto"/>
              <w:jc w:val="center"/>
              <w:rPr>
                <w:rFonts w:ascii="宋体" w:hAnsi="宋体"/>
                <w:color w:val="000000" w:themeColor="text1"/>
                <w:szCs w:val="21"/>
                <w14:textFill>
                  <w14:solidFill>
                    <w14:schemeClr w14:val="tx1"/>
                  </w14:solidFill>
                </w14:textFill>
              </w:rPr>
            </w:pPr>
          </w:p>
        </w:tc>
        <w:tc>
          <w:tcPr>
            <w:tcW w:w="412" w:type="pct"/>
            <w:tcBorders>
              <w:right w:val="single" w:color="auto" w:sz="6" w:space="0"/>
            </w:tcBorders>
            <w:vAlign w:val="center"/>
          </w:tcPr>
          <w:p w14:paraId="0D368706">
            <w:pPr>
              <w:spacing w:line="288" w:lineRule="auto"/>
              <w:jc w:val="center"/>
              <w:rPr>
                <w:rFonts w:ascii="宋体" w:hAnsi="宋体"/>
                <w:color w:val="000000" w:themeColor="text1"/>
                <w:szCs w:val="21"/>
                <w14:textFill>
                  <w14:solidFill>
                    <w14:schemeClr w14:val="tx1"/>
                  </w14:solidFill>
                </w14:textFill>
              </w:rPr>
            </w:pPr>
          </w:p>
        </w:tc>
      </w:tr>
      <w:tr w14:paraId="5AC69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63F93ECC">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65C7E246">
            <w:pPr>
              <w:spacing w:line="288" w:lineRule="auto"/>
              <w:jc w:val="center"/>
              <w:rPr>
                <w:rFonts w:ascii="宋体" w:hAnsi="宋体"/>
                <w:color w:val="000000" w:themeColor="text1"/>
                <w:szCs w:val="21"/>
                <w14:textFill>
                  <w14:solidFill>
                    <w14:schemeClr w14:val="tx1"/>
                  </w14:solidFill>
                </w14:textFill>
              </w:rPr>
            </w:pPr>
          </w:p>
        </w:tc>
        <w:tc>
          <w:tcPr>
            <w:tcW w:w="1092" w:type="pct"/>
            <w:vAlign w:val="center"/>
          </w:tcPr>
          <w:p w14:paraId="1A2B8324">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0F92C8EB">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21E4C979">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0CB4A8CD">
            <w:pPr>
              <w:spacing w:line="288" w:lineRule="auto"/>
              <w:jc w:val="center"/>
              <w:rPr>
                <w:rFonts w:ascii="宋体" w:hAnsi="宋体"/>
                <w:color w:val="000000" w:themeColor="text1"/>
                <w:szCs w:val="21"/>
                <w14:textFill>
                  <w14:solidFill>
                    <w14:schemeClr w14:val="tx1"/>
                  </w14:solidFill>
                </w14:textFill>
              </w:rPr>
            </w:pPr>
          </w:p>
        </w:tc>
        <w:tc>
          <w:tcPr>
            <w:tcW w:w="480" w:type="pct"/>
            <w:vAlign w:val="center"/>
          </w:tcPr>
          <w:p w14:paraId="5266043F">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2B2239D6">
            <w:pPr>
              <w:spacing w:line="288" w:lineRule="auto"/>
              <w:jc w:val="center"/>
              <w:rPr>
                <w:rFonts w:ascii="宋体" w:hAnsi="宋体"/>
                <w:color w:val="000000" w:themeColor="text1"/>
                <w:szCs w:val="21"/>
                <w14:textFill>
                  <w14:solidFill>
                    <w14:schemeClr w14:val="tx1"/>
                  </w14:solidFill>
                </w14:textFill>
              </w:rPr>
            </w:pPr>
          </w:p>
        </w:tc>
        <w:tc>
          <w:tcPr>
            <w:tcW w:w="412" w:type="pct"/>
            <w:tcBorders>
              <w:right w:val="single" w:color="auto" w:sz="6" w:space="0"/>
            </w:tcBorders>
            <w:vAlign w:val="center"/>
          </w:tcPr>
          <w:p w14:paraId="01970FBE">
            <w:pPr>
              <w:spacing w:line="288" w:lineRule="auto"/>
              <w:jc w:val="center"/>
              <w:rPr>
                <w:rFonts w:ascii="宋体" w:hAnsi="宋体"/>
                <w:color w:val="000000" w:themeColor="text1"/>
                <w:szCs w:val="21"/>
                <w14:textFill>
                  <w14:solidFill>
                    <w14:schemeClr w14:val="tx1"/>
                  </w14:solidFill>
                </w14:textFill>
              </w:rPr>
            </w:pPr>
          </w:p>
        </w:tc>
      </w:tr>
      <w:tr w14:paraId="4644D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1368C979">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72F99505">
            <w:pPr>
              <w:spacing w:line="288" w:lineRule="auto"/>
              <w:jc w:val="center"/>
              <w:rPr>
                <w:rFonts w:ascii="宋体" w:hAnsi="宋体"/>
                <w:color w:val="000000" w:themeColor="text1"/>
                <w:szCs w:val="21"/>
                <w14:textFill>
                  <w14:solidFill>
                    <w14:schemeClr w14:val="tx1"/>
                  </w14:solidFill>
                </w14:textFill>
              </w:rPr>
            </w:pPr>
          </w:p>
        </w:tc>
        <w:tc>
          <w:tcPr>
            <w:tcW w:w="1092" w:type="pct"/>
            <w:vAlign w:val="center"/>
          </w:tcPr>
          <w:p w14:paraId="5A2AE374">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46BD919A">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1254392F">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66783A86">
            <w:pPr>
              <w:spacing w:line="288" w:lineRule="auto"/>
              <w:jc w:val="center"/>
              <w:rPr>
                <w:rFonts w:ascii="宋体" w:hAnsi="宋体"/>
                <w:color w:val="000000" w:themeColor="text1"/>
                <w:szCs w:val="21"/>
                <w14:textFill>
                  <w14:solidFill>
                    <w14:schemeClr w14:val="tx1"/>
                  </w14:solidFill>
                </w14:textFill>
              </w:rPr>
            </w:pPr>
          </w:p>
        </w:tc>
        <w:tc>
          <w:tcPr>
            <w:tcW w:w="480" w:type="pct"/>
            <w:vAlign w:val="center"/>
          </w:tcPr>
          <w:p w14:paraId="1EDB79E9">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5FF82C75">
            <w:pPr>
              <w:spacing w:line="288" w:lineRule="auto"/>
              <w:jc w:val="center"/>
              <w:rPr>
                <w:rFonts w:ascii="宋体" w:hAnsi="宋体"/>
                <w:color w:val="000000" w:themeColor="text1"/>
                <w:szCs w:val="21"/>
                <w14:textFill>
                  <w14:solidFill>
                    <w14:schemeClr w14:val="tx1"/>
                  </w14:solidFill>
                </w14:textFill>
              </w:rPr>
            </w:pPr>
          </w:p>
        </w:tc>
        <w:tc>
          <w:tcPr>
            <w:tcW w:w="412" w:type="pct"/>
            <w:tcBorders>
              <w:right w:val="single" w:color="auto" w:sz="6" w:space="0"/>
            </w:tcBorders>
            <w:vAlign w:val="center"/>
          </w:tcPr>
          <w:p w14:paraId="73999091">
            <w:pPr>
              <w:spacing w:line="288" w:lineRule="auto"/>
              <w:jc w:val="center"/>
              <w:rPr>
                <w:rFonts w:ascii="宋体" w:hAnsi="宋体"/>
                <w:color w:val="000000" w:themeColor="text1"/>
                <w:szCs w:val="21"/>
                <w14:textFill>
                  <w14:solidFill>
                    <w14:schemeClr w14:val="tx1"/>
                  </w14:solidFill>
                </w14:textFill>
              </w:rPr>
            </w:pPr>
          </w:p>
        </w:tc>
      </w:tr>
      <w:tr w14:paraId="7E85C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25CE4B0A">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468A842D">
            <w:pPr>
              <w:spacing w:line="288" w:lineRule="auto"/>
              <w:jc w:val="center"/>
              <w:rPr>
                <w:rFonts w:ascii="宋体" w:hAnsi="宋体"/>
                <w:color w:val="000000" w:themeColor="text1"/>
                <w:szCs w:val="21"/>
                <w14:textFill>
                  <w14:solidFill>
                    <w14:schemeClr w14:val="tx1"/>
                  </w14:solidFill>
                </w14:textFill>
              </w:rPr>
            </w:pPr>
          </w:p>
        </w:tc>
        <w:tc>
          <w:tcPr>
            <w:tcW w:w="1092" w:type="pct"/>
            <w:vAlign w:val="center"/>
          </w:tcPr>
          <w:p w14:paraId="0731B3E4">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5B2DCAA6">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5DFE561F">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6BA0654D">
            <w:pPr>
              <w:spacing w:line="288" w:lineRule="auto"/>
              <w:jc w:val="center"/>
              <w:rPr>
                <w:rFonts w:ascii="宋体" w:hAnsi="宋体"/>
                <w:color w:val="000000" w:themeColor="text1"/>
                <w:szCs w:val="21"/>
                <w14:textFill>
                  <w14:solidFill>
                    <w14:schemeClr w14:val="tx1"/>
                  </w14:solidFill>
                </w14:textFill>
              </w:rPr>
            </w:pPr>
          </w:p>
        </w:tc>
        <w:tc>
          <w:tcPr>
            <w:tcW w:w="480" w:type="pct"/>
            <w:vAlign w:val="center"/>
          </w:tcPr>
          <w:p w14:paraId="3F577FB2">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79CBD368">
            <w:pPr>
              <w:spacing w:line="288" w:lineRule="auto"/>
              <w:jc w:val="center"/>
              <w:rPr>
                <w:rFonts w:ascii="宋体" w:hAnsi="宋体"/>
                <w:color w:val="000000" w:themeColor="text1"/>
                <w:szCs w:val="21"/>
                <w14:textFill>
                  <w14:solidFill>
                    <w14:schemeClr w14:val="tx1"/>
                  </w14:solidFill>
                </w14:textFill>
              </w:rPr>
            </w:pPr>
          </w:p>
        </w:tc>
        <w:tc>
          <w:tcPr>
            <w:tcW w:w="412" w:type="pct"/>
            <w:tcBorders>
              <w:right w:val="single" w:color="auto" w:sz="6" w:space="0"/>
            </w:tcBorders>
            <w:vAlign w:val="center"/>
          </w:tcPr>
          <w:p w14:paraId="191AD0FB">
            <w:pPr>
              <w:spacing w:line="288" w:lineRule="auto"/>
              <w:jc w:val="center"/>
              <w:rPr>
                <w:rFonts w:ascii="宋体" w:hAnsi="宋体"/>
                <w:color w:val="000000" w:themeColor="text1"/>
                <w:szCs w:val="21"/>
                <w14:textFill>
                  <w14:solidFill>
                    <w14:schemeClr w14:val="tx1"/>
                  </w14:solidFill>
                </w14:textFill>
              </w:rPr>
            </w:pPr>
          </w:p>
        </w:tc>
      </w:tr>
      <w:tr w14:paraId="0A0F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5E779320">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6FAB64C8">
            <w:pPr>
              <w:spacing w:line="288" w:lineRule="auto"/>
              <w:jc w:val="center"/>
              <w:rPr>
                <w:rFonts w:ascii="宋体" w:hAnsi="宋体"/>
                <w:color w:val="000000" w:themeColor="text1"/>
                <w:szCs w:val="21"/>
                <w14:textFill>
                  <w14:solidFill>
                    <w14:schemeClr w14:val="tx1"/>
                  </w14:solidFill>
                </w14:textFill>
              </w:rPr>
            </w:pPr>
          </w:p>
        </w:tc>
        <w:tc>
          <w:tcPr>
            <w:tcW w:w="1092" w:type="pct"/>
            <w:vAlign w:val="center"/>
          </w:tcPr>
          <w:p w14:paraId="568E7367">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4DF8DCA3">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3B6023A7">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5EB2F12B">
            <w:pPr>
              <w:spacing w:line="288" w:lineRule="auto"/>
              <w:jc w:val="center"/>
              <w:rPr>
                <w:rFonts w:ascii="宋体" w:hAnsi="宋体"/>
                <w:color w:val="000000" w:themeColor="text1"/>
                <w:szCs w:val="21"/>
                <w14:textFill>
                  <w14:solidFill>
                    <w14:schemeClr w14:val="tx1"/>
                  </w14:solidFill>
                </w14:textFill>
              </w:rPr>
            </w:pPr>
          </w:p>
        </w:tc>
        <w:tc>
          <w:tcPr>
            <w:tcW w:w="480" w:type="pct"/>
            <w:vAlign w:val="center"/>
          </w:tcPr>
          <w:p w14:paraId="0B0826AD">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1B586D12">
            <w:pPr>
              <w:spacing w:line="288" w:lineRule="auto"/>
              <w:jc w:val="center"/>
              <w:rPr>
                <w:rFonts w:ascii="宋体" w:hAnsi="宋体"/>
                <w:color w:val="000000" w:themeColor="text1"/>
                <w:szCs w:val="21"/>
                <w14:textFill>
                  <w14:solidFill>
                    <w14:schemeClr w14:val="tx1"/>
                  </w14:solidFill>
                </w14:textFill>
              </w:rPr>
            </w:pPr>
          </w:p>
        </w:tc>
        <w:tc>
          <w:tcPr>
            <w:tcW w:w="412" w:type="pct"/>
            <w:tcBorders>
              <w:right w:val="single" w:color="auto" w:sz="6" w:space="0"/>
            </w:tcBorders>
            <w:vAlign w:val="center"/>
          </w:tcPr>
          <w:p w14:paraId="13519C72">
            <w:pPr>
              <w:spacing w:line="288" w:lineRule="auto"/>
              <w:jc w:val="center"/>
              <w:rPr>
                <w:rFonts w:ascii="宋体" w:hAnsi="宋体"/>
                <w:color w:val="000000" w:themeColor="text1"/>
                <w:szCs w:val="21"/>
                <w14:textFill>
                  <w14:solidFill>
                    <w14:schemeClr w14:val="tx1"/>
                  </w14:solidFill>
                </w14:textFill>
              </w:rPr>
            </w:pPr>
          </w:p>
        </w:tc>
      </w:tr>
      <w:tr w14:paraId="285B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18A7FB74">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7FD0310D">
            <w:pPr>
              <w:spacing w:line="288" w:lineRule="auto"/>
              <w:jc w:val="center"/>
              <w:rPr>
                <w:rFonts w:ascii="宋体" w:hAnsi="宋体"/>
                <w:color w:val="000000" w:themeColor="text1"/>
                <w:szCs w:val="21"/>
                <w14:textFill>
                  <w14:solidFill>
                    <w14:schemeClr w14:val="tx1"/>
                  </w14:solidFill>
                </w14:textFill>
              </w:rPr>
            </w:pPr>
          </w:p>
        </w:tc>
        <w:tc>
          <w:tcPr>
            <w:tcW w:w="1092" w:type="pct"/>
            <w:vAlign w:val="center"/>
          </w:tcPr>
          <w:p w14:paraId="24028202">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6AD78904">
            <w:pPr>
              <w:spacing w:line="288" w:lineRule="auto"/>
              <w:jc w:val="center"/>
              <w:rPr>
                <w:rFonts w:ascii="宋体" w:hAnsi="宋体"/>
                <w:color w:val="000000" w:themeColor="text1"/>
                <w:szCs w:val="21"/>
                <w14:textFill>
                  <w14:solidFill>
                    <w14:schemeClr w14:val="tx1"/>
                  </w14:solidFill>
                </w14:textFill>
              </w:rPr>
            </w:pPr>
          </w:p>
        </w:tc>
        <w:tc>
          <w:tcPr>
            <w:tcW w:w="412" w:type="pct"/>
            <w:vAlign w:val="center"/>
          </w:tcPr>
          <w:p w14:paraId="7A2AA0A7">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7C8D8409">
            <w:pPr>
              <w:spacing w:line="288" w:lineRule="auto"/>
              <w:jc w:val="center"/>
              <w:rPr>
                <w:rFonts w:ascii="宋体" w:hAnsi="宋体"/>
                <w:color w:val="000000" w:themeColor="text1"/>
                <w:szCs w:val="21"/>
                <w14:textFill>
                  <w14:solidFill>
                    <w14:schemeClr w14:val="tx1"/>
                  </w14:solidFill>
                </w14:textFill>
              </w:rPr>
            </w:pPr>
          </w:p>
        </w:tc>
        <w:tc>
          <w:tcPr>
            <w:tcW w:w="480" w:type="pct"/>
            <w:vAlign w:val="center"/>
          </w:tcPr>
          <w:p w14:paraId="1CA1E287">
            <w:pPr>
              <w:spacing w:line="288" w:lineRule="auto"/>
              <w:jc w:val="center"/>
              <w:rPr>
                <w:rFonts w:ascii="宋体" w:hAnsi="宋体"/>
                <w:color w:val="000000" w:themeColor="text1"/>
                <w:szCs w:val="21"/>
                <w14:textFill>
                  <w14:solidFill>
                    <w14:schemeClr w14:val="tx1"/>
                  </w14:solidFill>
                </w14:textFill>
              </w:rPr>
            </w:pPr>
          </w:p>
        </w:tc>
        <w:tc>
          <w:tcPr>
            <w:tcW w:w="683" w:type="pct"/>
            <w:vAlign w:val="center"/>
          </w:tcPr>
          <w:p w14:paraId="3ABB7D65">
            <w:pPr>
              <w:spacing w:line="288" w:lineRule="auto"/>
              <w:jc w:val="center"/>
              <w:rPr>
                <w:rFonts w:ascii="宋体" w:hAnsi="宋体"/>
                <w:color w:val="000000" w:themeColor="text1"/>
                <w:szCs w:val="21"/>
                <w14:textFill>
                  <w14:solidFill>
                    <w14:schemeClr w14:val="tx1"/>
                  </w14:solidFill>
                </w14:textFill>
              </w:rPr>
            </w:pPr>
          </w:p>
        </w:tc>
        <w:tc>
          <w:tcPr>
            <w:tcW w:w="412" w:type="pct"/>
            <w:tcBorders>
              <w:right w:val="single" w:color="auto" w:sz="6" w:space="0"/>
            </w:tcBorders>
            <w:vAlign w:val="center"/>
          </w:tcPr>
          <w:p w14:paraId="1C65AF86">
            <w:pPr>
              <w:spacing w:line="288" w:lineRule="auto"/>
              <w:jc w:val="center"/>
              <w:rPr>
                <w:rFonts w:ascii="宋体" w:hAnsi="宋体"/>
                <w:color w:val="000000" w:themeColor="text1"/>
                <w:szCs w:val="21"/>
                <w14:textFill>
                  <w14:solidFill>
                    <w14:schemeClr w14:val="tx1"/>
                  </w14:solidFill>
                </w14:textFill>
              </w:rPr>
            </w:pPr>
          </w:p>
        </w:tc>
      </w:tr>
    </w:tbl>
    <w:p w14:paraId="0511D3DC">
      <w:pPr>
        <w:ind w:firstLine="178" w:firstLineChars="85"/>
        <w:rPr>
          <w:rFonts w:ascii="宋体" w:hAnsi="宋体"/>
          <w:color w:val="000000" w:themeColor="text1"/>
          <w:szCs w:val="21"/>
          <w14:textFill>
            <w14:solidFill>
              <w14:schemeClr w14:val="tx1"/>
            </w14:solidFill>
          </w14:textFill>
        </w:rPr>
      </w:pPr>
    </w:p>
    <w:p w14:paraId="32FF82FA">
      <w:pPr>
        <w:ind w:firstLine="178" w:firstLineChars="85"/>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附有关证明文件（复印件加盖公章）</w:t>
      </w:r>
    </w:p>
    <w:p w14:paraId="026BA586">
      <w:pPr>
        <w:ind w:firstLine="178" w:firstLineChars="85"/>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投标人代表签字：</w:t>
      </w:r>
    </w:p>
    <w:p w14:paraId="41876DC1">
      <w:pPr>
        <w:ind w:firstLine="178" w:firstLineChars="85"/>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投标人盖章：</w:t>
      </w:r>
    </w:p>
    <w:p w14:paraId="0603FA79">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w:t>
      </w:r>
    </w:p>
    <w:p w14:paraId="631395CA">
      <w:pPr>
        <w:pStyle w:val="43"/>
        <w:numPr>
          <w:ilvl w:val="0"/>
          <w:numId w:val="12"/>
        </w:numPr>
        <w:ind w:firstLineChars="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投标人可按项目的实际需要提供本表格。</w:t>
      </w:r>
    </w:p>
    <w:p w14:paraId="51481A7F">
      <w:pPr>
        <w:pStyle w:val="43"/>
        <w:numPr>
          <w:ilvl w:val="0"/>
          <w:numId w:val="12"/>
        </w:numPr>
        <w:ind w:firstLineChars="0"/>
        <w:rPr>
          <w:rFonts w:ascii="宋体" w:hAnsi="宋体" w:cs="Times New Roman"/>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该表格为参考格式，投标人可按实际情况自行制订。</w:t>
      </w:r>
    </w:p>
    <w:p w14:paraId="3BBF6226">
      <w:pPr>
        <w:rPr>
          <w:rFonts w:ascii="宋体" w:hAnsi="宋体" w:cs="Times New Roman"/>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3、投标人若未提供或未填写完整则视为完全响应采购文件的人员要求，因此对投标人投标产生负面影响的，投标人自行承担后果。</w:t>
      </w:r>
    </w:p>
    <w:p w14:paraId="2E73B063">
      <w:pPr>
        <w:pStyle w:val="43"/>
        <w:numPr>
          <w:ilvl w:val="0"/>
          <w:numId w:val="12"/>
        </w:numPr>
        <w:ind w:firstLineChars="0"/>
        <w:rPr>
          <w:rFonts w:ascii="宋体" w:hAnsi="宋体" w:cs="Times New Roman"/>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38A9C456">
      <w:pPr>
        <w:pStyle w:val="5"/>
        <w:widowControl w:val="0"/>
        <w:overflowPunct w:val="0"/>
        <w:spacing w:line="240" w:lineRule="auto"/>
        <w:rPr>
          <w:color w:val="000000" w:themeColor="text1"/>
          <w14:textFill>
            <w14:solidFill>
              <w14:schemeClr w14:val="tx1"/>
            </w14:solidFill>
          </w14:textFill>
        </w:rPr>
      </w:pPr>
      <w:bookmarkStart w:id="277" w:name="_Toc15446"/>
      <w:r>
        <w:rPr>
          <w:rFonts w:hint="eastAsia" w:ascii="宋体" w:hAnsi="宋体"/>
          <w:color w:val="000000" w:themeColor="text1"/>
          <w:sz w:val="21"/>
          <w:szCs w:val="21"/>
          <w14:textFill>
            <w14:solidFill>
              <w14:schemeClr w14:val="tx1"/>
            </w14:solidFill>
          </w14:textFill>
        </w:rPr>
        <w:t>附件1</w:t>
      </w:r>
      <w:r>
        <w:rPr>
          <w:rFonts w:hint="eastAsia" w:ascii="宋体" w:hAnsi="宋体"/>
          <w:color w:val="000000" w:themeColor="text1"/>
          <w:sz w:val="21"/>
          <w:szCs w:val="21"/>
          <w:lang w:val="en-US" w:eastAsia="zh-CN"/>
          <w14:textFill>
            <w14:solidFill>
              <w14:schemeClr w14:val="tx1"/>
            </w14:solidFill>
          </w14:textFill>
        </w:rPr>
        <w:t>8</w:t>
      </w:r>
      <w:r>
        <w:rPr>
          <w:rFonts w:hint="eastAsia" w:ascii="宋体" w:hAnsi="宋体"/>
          <w:color w:val="000000" w:themeColor="text1"/>
          <w:sz w:val="21"/>
          <w:szCs w:val="21"/>
          <w14:textFill>
            <w14:solidFill>
              <w14:schemeClr w14:val="tx1"/>
            </w14:solidFill>
          </w14:textFill>
        </w:rPr>
        <w:t>.投标保证金汇入情况说明格式</w:t>
      </w:r>
      <w:bookmarkEnd w:id="277"/>
    </w:p>
    <w:p w14:paraId="05FAAB48">
      <w:pPr>
        <w:rPr>
          <w:color w:val="000000" w:themeColor="text1"/>
          <w14:textFill>
            <w14:solidFill>
              <w14:schemeClr w14:val="tx1"/>
            </w14:solidFill>
          </w14:textFill>
        </w:rPr>
      </w:pPr>
    </w:p>
    <w:p w14:paraId="7BCE8AAA">
      <w:pPr>
        <w:jc w:val="center"/>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投标保证金汇入情况说明</w:t>
      </w:r>
    </w:p>
    <w:p w14:paraId="5FF2EBDC">
      <w:pPr>
        <w:spacing w:line="48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致：</w:t>
      </w:r>
      <w:r>
        <w:rPr>
          <w:rFonts w:hint="eastAsia" w:ascii="宋体" w:eastAsia="宋体"/>
          <w:color w:val="000000" w:themeColor="text1"/>
          <w:sz w:val="21"/>
          <w:szCs w:val="21"/>
          <w14:textFill>
            <w14:solidFill>
              <w14:schemeClr w14:val="tx1"/>
            </w14:solidFill>
          </w14:textFill>
        </w:rPr>
        <w:t>广州宏达工程顾问集团有限公司</w:t>
      </w:r>
      <w:r>
        <w:rPr>
          <w:rFonts w:hint="eastAsia" w:ascii="宋体" w:hAnsi="宋体"/>
          <w:color w:val="000000" w:themeColor="text1"/>
          <w:szCs w:val="21"/>
          <w14:textFill>
            <w14:solidFill>
              <w14:schemeClr w14:val="tx1"/>
            </w14:solidFill>
          </w14:textFill>
        </w:rPr>
        <w:t>：</w:t>
      </w:r>
    </w:p>
    <w:p w14:paraId="1419E010">
      <w:pPr>
        <w:spacing w:line="48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本单位已按</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项目（采购项目编号：）的采购文件要求，于年月日前以</w:t>
      </w:r>
      <w:r>
        <w:rPr>
          <w:rFonts w:hint="eastAsia" w:ascii="宋体" w:hAnsi="宋体"/>
          <w:color w:val="000000" w:themeColor="text1"/>
          <w:szCs w:val="21"/>
          <w:u w:val="single"/>
          <w14:textFill>
            <w14:solidFill>
              <w14:schemeClr w14:val="tx1"/>
            </w14:solidFill>
          </w14:textFill>
        </w:rPr>
        <w:t xml:space="preserve">           （付款形式）</w:t>
      </w:r>
      <w:r>
        <w:rPr>
          <w:rFonts w:hint="eastAsia" w:ascii="宋体" w:hAnsi="宋体"/>
          <w:color w:val="000000" w:themeColor="text1"/>
          <w:szCs w:val="21"/>
          <w14:textFill>
            <w14:solidFill>
              <w14:schemeClr w14:val="tx1"/>
            </w14:solidFill>
          </w14:textFill>
        </w:rPr>
        <w:t>方式汇入指定</w:t>
      </w:r>
      <w:r>
        <w:rPr>
          <w:rFonts w:hint="eastAsia" w:ascii="宋体" w:hAnsi="宋体"/>
          <w:color w:val="000000" w:themeColor="text1"/>
          <w:szCs w:val="21"/>
          <w:lang w:eastAsia="zh-CN"/>
          <w14:textFill>
            <w14:solidFill>
              <w14:schemeClr w14:val="tx1"/>
            </w14:solidFill>
          </w14:textFill>
        </w:rPr>
        <w:t>账</w:t>
      </w:r>
      <w:r>
        <w:rPr>
          <w:rFonts w:hint="eastAsia" w:ascii="宋体" w:hAnsi="宋体"/>
          <w:color w:val="000000" w:themeColor="text1"/>
          <w:szCs w:val="21"/>
          <w14:textFill>
            <w14:solidFill>
              <w14:schemeClr w14:val="tx1"/>
            </w14:solidFill>
          </w14:textFill>
        </w:rPr>
        <w:t>户（</w:t>
      </w:r>
      <w:r>
        <w:rPr>
          <w:rFonts w:hint="eastAsia" w:ascii="宋体" w:hAnsi="宋体"/>
          <w:color w:val="000000" w:themeColor="text1"/>
          <w:szCs w:val="21"/>
          <w:lang w:eastAsia="zh-CN"/>
          <w14:textFill>
            <w14:solidFill>
              <w14:schemeClr w14:val="tx1"/>
            </w14:solidFill>
          </w14:textFill>
        </w:rPr>
        <w:t>账</w:t>
      </w:r>
      <w:r>
        <w:rPr>
          <w:rFonts w:hint="eastAsia" w:ascii="宋体" w:hAnsi="宋体"/>
          <w:color w:val="000000" w:themeColor="text1"/>
          <w:szCs w:val="21"/>
          <w14:textFill>
            <w14:solidFill>
              <w14:schemeClr w14:val="tx1"/>
            </w14:solidFill>
          </w14:textFill>
        </w:rPr>
        <w:t>户名称：</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lang w:eastAsia="zh-CN"/>
          <w14:textFill>
            <w14:solidFill>
              <w14:schemeClr w14:val="tx1"/>
            </w14:solidFill>
          </w14:textFill>
        </w:rPr>
        <w:t>账</w:t>
      </w:r>
      <w:r>
        <w:rPr>
          <w:rFonts w:hint="eastAsia" w:ascii="宋体" w:hAnsi="宋体"/>
          <w:color w:val="000000" w:themeColor="text1"/>
          <w:szCs w:val="21"/>
          <w14:textFill>
            <w14:solidFill>
              <w14:schemeClr w14:val="tx1"/>
            </w14:solidFill>
          </w14:textFill>
        </w:rPr>
        <w:t>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,开户银行：</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w:t>
      </w:r>
    </w:p>
    <w:p w14:paraId="51F58568">
      <w:pPr>
        <w:spacing w:line="48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本单位投标保证金的汇款情况：（详见附件－投标保证金进</w:t>
      </w:r>
      <w:r>
        <w:rPr>
          <w:rFonts w:hint="eastAsia" w:ascii="宋体" w:hAnsi="宋体"/>
          <w:color w:val="000000" w:themeColor="text1"/>
          <w:szCs w:val="21"/>
          <w:lang w:eastAsia="zh-CN"/>
          <w14:textFill>
            <w14:solidFill>
              <w14:schemeClr w14:val="tx1"/>
            </w14:solidFill>
          </w14:textFill>
        </w:rPr>
        <w:t>账</w:t>
      </w:r>
      <w:r>
        <w:rPr>
          <w:rFonts w:hint="eastAsia" w:ascii="宋体" w:hAnsi="宋体"/>
          <w:color w:val="000000" w:themeColor="text1"/>
          <w:szCs w:val="21"/>
          <w14:textFill>
            <w14:solidFill>
              <w14:schemeClr w14:val="tx1"/>
            </w14:solidFill>
          </w14:textFill>
        </w:rPr>
        <w:t>单）</w:t>
      </w:r>
    </w:p>
    <w:p w14:paraId="5D1395AF">
      <w:pPr>
        <w:spacing w:line="48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汇出时间：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p>
    <w:p w14:paraId="164B9D97">
      <w:pPr>
        <w:spacing w:line="48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汇款金额：（大写）人民币</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元（小写：￥</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元），</w:t>
      </w:r>
    </w:p>
    <w:p w14:paraId="14C8D55C">
      <w:pPr>
        <w:spacing w:line="48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汇款</w:t>
      </w:r>
      <w:r>
        <w:rPr>
          <w:rFonts w:hint="eastAsia" w:ascii="宋体" w:hAnsi="宋体"/>
          <w:color w:val="000000" w:themeColor="text1"/>
          <w:szCs w:val="21"/>
          <w:lang w:eastAsia="zh-CN"/>
          <w14:textFill>
            <w14:solidFill>
              <w14:schemeClr w14:val="tx1"/>
            </w14:solidFill>
          </w14:textFill>
        </w:rPr>
        <w:t>账</w:t>
      </w:r>
      <w:r>
        <w:rPr>
          <w:rFonts w:hint="eastAsia" w:ascii="宋体" w:hAnsi="宋体"/>
          <w:color w:val="000000" w:themeColor="text1"/>
          <w:szCs w:val="21"/>
          <w14:textFill>
            <w14:solidFill>
              <w14:schemeClr w14:val="tx1"/>
            </w14:solidFill>
          </w14:textFill>
        </w:rPr>
        <w:t>户名称：</w:t>
      </w:r>
      <w:r>
        <w:rPr>
          <w:rFonts w:hint="eastAsia" w:ascii="宋体" w:hAnsi="宋体"/>
          <w:color w:val="000000" w:themeColor="text1"/>
          <w:szCs w:val="21"/>
          <w:u w:val="single"/>
          <w14:textFill>
            <w14:solidFill>
              <w14:schemeClr w14:val="tx1"/>
            </w14:solidFill>
          </w14:textFill>
        </w:rPr>
        <w:t xml:space="preserve">  （必须是投标时使用的</w:t>
      </w:r>
      <w:r>
        <w:rPr>
          <w:rFonts w:hint="eastAsia" w:ascii="宋体" w:hAnsi="宋体"/>
          <w:color w:val="000000" w:themeColor="text1"/>
          <w:szCs w:val="21"/>
          <w:u w:val="single"/>
          <w:lang w:eastAsia="zh-CN"/>
          <w14:textFill>
            <w14:solidFill>
              <w14:schemeClr w14:val="tx1"/>
            </w14:solidFill>
          </w14:textFill>
        </w:rPr>
        <w:t>账</w:t>
      </w:r>
      <w:r>
        <w:rPr>
          <w:rFonts w:hint="eastAsia" w:ascii="宋体" w:hAnsi="宋体"/>
          <w:color w:val="000000" w:themeColor="text1"/>
          <w:szCs w:val="21"/>
          <w:u w:val="single"/>
          <w14:textFill>
            <w14:solidFill>
              <w14:schemeClr w14:val="tx1"/>
            </w14:solidFill>
          </w14:textFill>
        </w:rPr>
        <w:t xml:space="preserve">户名）   </w:t>
      </w:r>
    </w:p>
    <w:p w14:paraId="2971B98B">
      <w:pPr>
        <w:spacing w:line="48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账</w:t>
      </w:r>
      <w:r>
        <w:rPr>
          <w:rFonts w:hint="eastAsia" w:ascii="宋体" w:hAnsi="宋体"/>
          <w:color w:val="000000" w:themeColor="text1"/>
          <w:szCs w:val="21"/>
          <w14:textFill>
            <w14:solidFill>
              <w14:schemeClr w14:val="tx1"/>
            </w14:solidFill>
          </w14:textFill>
        </w:rPr>
        <w:t xml:space="preserve">        号：</w:t>
      </w:r>
      <w:r>
        <w:rPr>
          <w:rFonts w:hint="eastAsia" w:ascii="宋体" w:hAnsi="宋体"/>
          <w:color w:val="000000" w:themeColor="text1"/>
          <w:szCs w:val="21"/>
          <w:u w:val="single"/>
          <w14:textFill>
            <w14:solidFill>
              <w14:schemeClr w14:val="tx1"/>
            </w14:solidFill>
          </w14:textFill>
        </w:rPr>
        <w:t xml:space="preserve">  （必须是投标时使用的</w:t>
      </w:r>
      <w:r>
        <w:rPr>
          <w:rFonts w:hint="eastAsia" w:ascii="宋体" w:hAnsi="宋体"/>
          <w:color w:val="000000" w:themeColor="text1"/>
          <w:szCs w:val="21"/>
          <w:u w:val="single"/>
          <w:lang w:eastAsia="zh-CN"/>
          <w14:textFill>
            <w14:solidFill>
              <w14:schemeClr w14:val="tx1"/>
            </w14:solidFill>
          </w14:textFill>
        </w:rPr>
        <w:t>账</w:t>
      </w:r>
      <w:r>
        <w:rPr>
          <w:rFonts w:hint="eastAsia" w:ascii="宋体" w:hAnsi="宋体"/>
          <w:color w:val="000000" w:themeColor="text1"/>
          <w:szCs w:val="21"/>
          <w:u w:val="single"/>
          <w14:textFill>
            <w14:solidFill>
              <w14:schemeClr w14:val="tx1"/>
            </w14:solidFill>
          </w14:textFill>
        </w:rPr>
        <w:t xml:space="preserve">号）        </w:t>
      </w:r>
    </w:p>
    <w:p w14:paraId="5E5D1945">
      <w:pPr>
        <w:spacing w:line="480" w:lineRule="auto"/>
        <w:ind w:firstLine="420" w:firstLineChars="200"/>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开 户  银 行：</w:t>
      </w:r>
      <w:r>
        <w:rPr>
          <w:rFonts w:hint="eastAsia" w:ascii="宋体" w:hAnsi="宋体"/>
          <w:color w:val="000000" w:themeColor="text1"/>
          <w:szCs w:val="21"/>
          <w:u w:val="single"/>
          <w14:textFill>
            <w14:solidFill>
              <w14:schemeClr w14:val="tx1"/>
            </w14:solidFill>
          </w14:textFill>
        </w:rPr>
        <w:t xml:space="preserve">  （  XX 银行 XX 分行 XX 支行   ）</w:t>
      </w:r>
    </w:p>
    <w:p w14:paraId="0CD08086">
      <w:pPr>
        <w:spacing w:line="48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本单位谨承诺上述资料是正确、真实的，如因上述证明与事实不符导致的一切损失，本单位保证承担赔偿等一切法律责任。</w:t>
      </w:r>
    </w:p>
    <w:p w14:paraId="526F677D">
      <w:pPr>
        <w:spacing w:line="48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投标保证金退回时，请按上述资料退回。</w:t>
      </w:r>
    </w:p>
    <w:p w14:paraId="1BE4F623">
      <w:pPr>
        <w:spacing w:line="480" w:lineRule="auto"/>
        <w:ind w:right="844" w:rightChars="402"/>
        <w:jc w:val="righ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（单位公章）</w:t>
      </w:r>
    </w:p>
    <w:p w14:paraId="6E66C868">
      <w:pPr>
        <w:spacing w:line="480" w:lineRule="auto"/>
        <w:ind w:right="628" w:rightChars="299"/>
        <w:jc w:val="righ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月 日</w:t>
      </w:r>
    </w:p>
    <w:p w14:paraId="18C516F9">
      <w:pPr>
        <w:spacing w:line="48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单位名称：</w:t>
      </w:r>
    </w:p>
    <w:p w14:paraId="5CBDF2E9">
      <w:pPr>
        <w:spacing w:line="48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单位地址：</w:t>
      </w:r>
    </w:p>
    <w:p w14:paraId="218EF80F">
      <w:pPr>
        <w:spacing w:line="48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联系人：</w:t>
      </w:r>
    </w:p>
    <w:p w14:paraId="34BC944F">
      <w:pPr>
        <w:spacing w:line="48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单位电话： 联系人手机：</w:t>
      </w:r>
    </w:p>
    <w:p w14:paraId="2071227E">
      <w:pPr>
        <w:rPr>
          <w:rFonts w:ascii="宋体" w:hAnsi="宋体"/>
          <w:color w:val="000000" w:themeColor="text1"/>
          <w:szCs w:val="21"/>
          <w14:textFill>
            <w14:solidFill>
              <w14:schemeClr w14:val="tx1"/>
            </w14:solidFill>
          </w14:textFill>
        </w:rPr>
      </w:pPr>
    </w:p>
    <w:p w14:paraId="68088943">
      <w:pPr>
        <w:spacing w:line="38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33EBA6F4">
      <w:pPr>
        <w:spacing w:line="38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附：我方投标保证金汇款凭证</w:t>
      </w:r>
    </w:p>
    <w:tbl>
      <w:tblPr>
        <w:tblStyle w:val="31"/>
        <w:tblW w:w="895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3"/>
      </w:tblGrid>
      <w:tr w14:paraId="44EB1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9" w:hRule="atLeast"/>
        </w:trPr>
        <w:tc>
          <w:tcPr>
            <w:tcW w:w="8953" w:type="dxa"/>
            <w:vAlign w:val="center"/>
          </w:tcPr>
          <w:p w14:paraId="2EDE0AE1">
            <w:pPr>
              <w:tabs>
                <w:tab w:val="left" w:pos="3885"/>
              </w:tabs>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（粘贴汇款单或转账</w:t>
            </w:r>
            <w:r>
              <w:rPr>
                <w:rFonts w:ascii="宋体" w:hAnsi="宋体"/>
                <w:color w:val="000000" w:themeColor="text1"/>
                <w:szCs w:val="21"/>
                <w14:textFill>
                  <w14:solidFill>
                    <w14:schemeClr w14:val="tx1"/>
                  </w14:solidFill>
                </w14:textFill>
              </w:rPr>
              <w:t>凭证</w:t>
            </w:r>
            <w:r>
              <w:rPr>
                <w:rFonts w:hint="eastAsia" w:ascii="宋体" w:hAnsi="宋体"/>
                <w:color w:val="000000" w:themeColor="text1"/>
                <w:szCs w:val="21"/>
                <w14:textFill>
                  <w14:solidFill>
                    <w14:schemeClr w14:val="tx1"/>
                  </w14:solidFill>
                </w14:textFill>
              </w:rPr>
              <w:t>复印件，并在骑缝上加盖投标人公章，或是直接把转账</w:t>
            </w:r>
            <w:r>
              <w:rPr>
                <w:rFonts w:ascii="宋体" w:hAnsi="宋体"/>
                <w:color w:val="000000" w:themeColor="text1"/>
                <w:szCs w:val="21"/>
                <w14:textFill>
                  <w14:solidFill>
                    <w14:schemeClr w14:val="tx1"/>
                  </w14:solidFill>
                </w14:textFill>
              </w:rPr>
              <w:t>凭证</w:t>
            </w:r>
            <w:r>
              <w:rPr>
                <w:rFonts w:hint="eastAsia" w:ascii="宋体" w:hAnsi="宋体"/>
                <w:color w:val="000000" w:themeColor="text1"/>
                <w:szCs w:val="21"/>
                <w14:textFill>
                  <w14:solidFill>
                    <w14:schemeClr w14:val="tx1"/>
                  </w14:solidFill>
                </w14:textFill>
              </w:rPr>
              <w:t>复印到此张纸上）</w:t>
            </w:r>
          </w:p>
        </w:tc>
      </w:tr>
    </w:tbl>
    <w:p w14:paraId="5C264584">
      <w:pPr>
        <w:spacing w:line="48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注：此表既要装订在投标文件中，又要按投标人须知的规定与开标一览表、投标保证金汇款底单复印件及授权委托书一同密封装入唱标信封，唱标信封单独提交。</w:t>
      </w:r>
    </w:p>
    <w:p w14:paraId="2EB3ADDC">
      <w:pPr>
        <w:rPr>
          <w:rFonts w:ascii="宋体" w:hAnsi="宋体"/>
          <w:color w:val="000000" w:themeColor="text1"/>
          <w:szCs w:val="21"/>
          <w14:textFill>
            <w14:solidFill>
              <w14:schemeClr w14:val="tx1"/>
            </w14:solidFill>
          </w14:textFill>
        </w:rPr>
      </w:pPr>
    </w:p>
    <w:p w14:paraId="7336370C">
      <w:pPr>
        <w:rPr>
          <w:rFonts w:ascii="宋体" w:hAnsi="宋体"/>
          <w:color w:val="000000" w:themeColor="text1"/>
          <w:szCs w:val="21"/>
          <w14:textFill>
            <w14:solidFill>
              <w14:schemeClr w14:val="tx1"/>
            </w14:solidFill>
          </w14:textFill>
        </w:rPr>
      </w:pPr>
    </w:p>
    <w:p w14:paraId="2D306C91">
      <w:pPr>
        <w:rPr>
          <w:rFonts w:ascii="宋体" w:hAnsi="宋体"/>
          <w:color w:val="000000" w:themeColor="text1"/>
          <w:szCs w:val="21"/>
          <w14:textFill>
            <w14:solidFill>
              <w14:schemeClr w14:val="tx1"/>
            </w14:solidFill>
          </w14:textFill>
        </w:rPr>
      </w:pPr>
    </w:p>
    <w:p w14:paraId="2900A05E">
      <w:pPr>
        <w:rPr>
          <w:rFonts w:ascii="宋体" w:hAnsi="宋体"/>
          <w:color w:val="000000" w:themeColor="text1"/>
          <w:szCs w:val="21"/>
          <w14:textFill>
            <w14:solidFill>
              <w14:schemeClr w14:val="tx1"/>
            </w14:solidFill>
          </w14:textFill>
        </w:rPr>
      </w:pPr>
    </w:p>
    <w:p w14:paraId="2AD16F7B">
      <w:pPr>
        <w:rPr>
          <w:rFonts w:ascii="宋体" w:hAnsi="宋体"/>
          <w:color w:val="000000" w:themeColor="text1"/>
          <w:szCs w:val="21"/>
          <w14:textFill>
            <w14:solidFill>
              <w14:schemeClr w14:val="tx1"/>
            </w14:solidFill>
          </w14:textFill>
        </w:rPr>
      </w:pPr>
    </w:p>
    <w:p w14:paraId="4816B0F8">
      <w:pPr>
        <w:rPr>
          <w:rFonts w:ascii="宋体" w:hAnsi="宋体"/>
          <w:color w:val="000000" w:themeColor="text1"/>
          <w:szCs w:val="21"/>
          <w14:textFill>
            <w14:solidFill>
              <w14:schemeClr w14:val="tx1"/>
            </w14:solidFill>
          </w14:textFill>
        </w:rPr>
      </w:pPr>
    </w:p>
    <w:p w14:paraId="48B1CF47">
      <w:pPr>
        <w:rPr>
          <w:rFonts w:ascii="宋体" w:hAnsi="宋体"/>
          <w:color w:val="000000" w:themeColor="text1"/>
          <w:szCs w:val="21"/>
          <w14:textFill>
            <w14:solidFill>
              <w14:schemeClr w14:val="tx1"/>
            </w14:solidFill>
          </w14:textFill>
        </w:rPr>
      </w:pPr>
    </w:p>
    <w:p w14:paraId="487E9369">
      <w:pPr>
        <w:rPr>
          <w:rFonts w:ascii="宋体" w:hAnsi="宋体"/>
          <w:color w:val="000000" w:themeColor="text1"/>
          <w:szCs w:val="21"/>
          <w14:textFill>
            <w14:solidFill>
              <w14:schemeClr w14:val="tx1"/>
            </w14:solidFill>
          </w14:textFill>
        </w:rPr>
      </w:pPr>
    </w:p>
    <w:p w14:paraId="31CD76D5">
      <w:pPr>
        <w:rPr>
          <w:rFonts w:ascii="宋体" w:hAnsi="宋体"/>
          <w:color w:val="000000" w:themeColor="text1"/>
          <w:szCs w:val="21"/>
          <w14:textFill>
            <w14:solidFill>
              <w14:schemeClr w14:val="tx1"/>
            </w14:solidFill>
          </w14:textFill>
        </w:rPr>
      </w:pPr>
    </w:p>
    <w:p w14:paraId="15C64B87">
      <w:pPr>
        <w:rPr>
          <w:rFonts w:ascii="宋体" w:hAnsi="宋体"/>
          <w:color w:val="000000" w:themeColor="text1"/>
          <w:szCs w:val="21"/>
          <w14:textFill>
            <w14:solidFill>
              <w14:schemeClr w14:val="tx1"/>
            </w14:solidFill>
          </w14:textFill>
        </w:rPr>
      </w:pPr>
    </w:p>
    <w:p w14:paraId="1AAE8DC8">
      <w:pPr>
        <w:rPr>
          <w:rFonts w:ascii="宋体" w:hAnsi="宋体"/>
          <w:color w:val="000000" w:themeColor="text1"/>
          <w:szCs w:val="21"/>
          <w14:textFill>
            <w14:solidFill>
              <w14:schemeClr w14:val="tx1"/>
            </w14:solidFill>
          </w14:textFill>
        </w:rPr>
      </w:pPr>
    </w:p>
    <w:p w14:paraId="20802208">
      <w:pPr>
        <w:rPr>
          <w:rFonts w:ascii="宋体" w:hAnsi="宋体"/>
          <w:color w:val="000000" w:themeColor="text1"/>
          <w:szCs w:val="21"/>
          <w14:textFill>
            <w14:solidFill>
              <w14:schemeClr w14:val="tx1"/>
            </w14:solidFill>
          </w14:textFill>
        </w:rPr>
      </w:pPr>
    </w:p>
    <w:p w14:paraId="69472C74">
      <w:pPr>
        <w:rPr>
          <w:rFonts w:ascii="宋体" w:hAnsi="宋体"/>
          <w:color w:val="000000" w:themeColor="text1"/>
          <w:szCs w:val="21"/>
          <w14:textFill>
            <w14:solidFill>
              <w14:schemeClr w14:val="tx1"/>
            </w14:solidFill>
          </w14:textFill>
        </w:rPr>
      </w:pPr>
    </w:p>
    <w:p w14:paraId="75B87E4C">
      <w:pPr>
        <w:rPr>
          <w:rFonts w:ascii="宋体" w:hAnsi="宋体"/>
          <w:color w:val="000000" w:themeColor="text1"/>
          <w:szCs w:val="21"/>
          <w14:textFill>
            <w14:solidFill>
              <w14:schemeClr w14:val="tx1"/>
            </w14:solidFill>
          </w14:textFill>
        </w:rPr>
      </w:pPr>
    </w:p>
    <w:p w14:paraId="625AA757">
      <w:pPr>
        <w:rPr>
          <w:rFonts w:ascii="宋体" w:hAnsi="宋体"/>
          <w:color w:val="000000" w:themeColor="text1"/>
          <w:szCs w:val="21"/>
          <w14:textFill>
            <w14:solidFill>
              <w14:schemeClr w14:val="tx1"/>
            </w14:solidFill>
          </w14:textFill>
        </w:rPr>
      </w:pPr>
    </w:p>
    <w:p w14:paraId="189076EB">
      <w:pPr>
        <w:rPr>
          <w:rFonts w:ascii="宋体" w:hAnsi="宋体"/>
          <w:color w:val="000000" w:themeColor="text1"/>
          <w:szCs w:val="21"/>
          <w14:textFill>
            <w14:solidFill>
              <w14:schemeClr w14:val="tx1"/>
            </w14:solidFill>
          </w14:textFill>
        </w:rPr>
      </w:pPr>
    </w:p>
    <w:p w14:paraId="3B0A0F55">
      <w:pPr>
        <w:rPr>
          <w:rFonts w:ascii="宋体" w:hAnsi="宋体"/>
          <w:color w:val="000000" w:themeColor="text1"/>
          <w:szCs w:val="21"/>
          <w14:textFill>
            <w14:solidFill>
              <w14:schemeClr w14:val="tx1"/>
            </w14:solidFill>
          </w14:textFill>
        </w:rPr>
      </w:pPr>
    </w:p>
    <w:p w14:paraId="41053BC3">
      <w:pPr>
        <w:rPr>
          <w:rFonts w:ascii="宋体" w:hAnsi="宋体"/>
          <w:color w:val="000000" w:themeColor="text1"/>
          <w:szCs w:val="21"/>
          <w14:textFill>
            <w14:solidFill>
              <w14:schemeClr w14:val="tx1"/>
            </w14:solidFill>
          </w14:textFill>
        </w:rPr>
      </w:pPr>
    </w:p>
    <w:p w14:paraId="73580E68">
      <w:pPr>
        <w:rPr>
          <w:rFonts w:ascii="宋体" w:hAnsi="宋体"/>
          <w:color w:val="000000" w:themeColor="text1"/>
          <w:szCs w:val="21"/>
          <w14:textFill>
            <w14:solidFill>
              <w14:schemeClr w14:val="tx1"/>
            </w14:solidFill>
          </w14:textFill>
        </w:rPr>
      </w:pPr>
    </w:p>
    <w:p w14:paraId="24EA439E">
      <w:pPr>
        <w:rPr>
          <w:rFonts w:ascii="宋体" w:hAnsi="宋体"/>
          <w:color w:val="000000" w:themeColor="text1"/>
          <w:szCs w:val="21"/>
          <w14:textFill>
            <w14:solidFill>
              <w14:schemeClr w14:val="tx1"/>
            </w14:solidFill>
          </w14:textFill>
        </w:rPr>
      </w:pPr>
    </w:p>
    <w:p w14:paraId="5671F870">
      <w:pPr>
        <w:rPr>
          <w:rFonts w:ascii="宋体" w:hAnsi="宋体"/>
          <w:color w:val="000000" w:themeColor="text1"/>
          <w:szCs w:val="21"/>
          <w14:textFill>
            <w14:solidFill>
              <w14:schemeClr w14:val="tx1"/>
            </w14:solidFill>
          </w14:textFill>
        </w:rPr>
      </w:pPr>
    </w:p>
    <w:p w14:paraId="2EE8D2E9">
      <w:pPr>
        <w:pStyle w:val="5"/>
        <w:numPr>
          <w:ilvl w:val="255"/>
          <w:numId w:val="0"/>
        </w:numPr>
        <w:tabs>
          <w:tab w:val="left" w:pos="720"/>
          <w:tab w:val="left" w:pos="3840"/>
        </w:tabs>
        <w:ind w:left="283"/>
        <w:jc w:val="both"/>
        <w:rPr>
          <w:rFonts w:ascii="宋体" w:hAnsi="宋体"/>
          <w:color w:val="000000" w:themeColor="text1"/>
          <w:sz w:val="21"/>
          <w:szCs w:val="21"/>
          <w14:textFill>
            <w14:solidFill>
              <w14:schemeClr w14:val="tx1"/>
            </w14:solidFill>
          </w14:textFill>
        </w:rPr>
      </w:pPr>
      <w:bookmarkStart w:id="278" w:name="_Toc19947"/>
      <w:bookmarkStart w:id="279" w:name="_Toc17028"/>
      <w:bookmarkStart w:id="280" w:name="_Toc29855"/>
      <w:bookmarkStart w:id="281" w:name="_Toc25861"/>
      <w:bookmarkStart w:id="282" w:name="_Toc18296"/>
      <w:bookmarkStart w:id="283" w:name="_Toc28623"/>
      <w:bookmarkStart w:id="284" w:name="_Toc14605"/>
      <w:bookmarkStart w:id="285" w:name="_Toc17037"/>
      <w:bookmarkStart w:id="286" w:name="_Toc2144"/>
      <w:bookmarkStart w:id="287" w:name="_Toc4866"/>
      <w:bookmarkStart w:id="288" w:name="_Toc1562"/>
      <w:r>
        <w:rPr>
          <w:rFonts w:hint="eastAsia" w:ascii="宋体" w:hAnsi="宋体"/>
          <w:color w:val="000000" w:themeColor="text1"/>
          <w:sz w:val="21"/>
          <w:szCs w:val="21"/>
          <w14:textFill>
            <w14:solidFill>
              <w14:schemeClr w14:val="tx1"/>
            </w14:solidFill>
          </w14:textFill>
        </w:rPr>
        <w:t>附件1</w:t>
      </w:r>
      <w:r>
        <w:rPr>
          <w:rFonts w:hint="eastAsia" w:ascii="宋体" w:hAnsi="宋体"/>
          <w:color w:val="000000" w:themeColor="text1"/>
          <w:sz w:val="21"/>
          <w:szCs w:val="21"/>
          <w:lang w:val="en-US" w:eastAsia="zh-CN"/>
          <w14:textFill>
            <w14:solidFill>
              <w14:schemeClr w14:val="tx1"/>
            </w14:solidFill>
          </w14:textFill>
        </w:rPr>
        <w:t>9.</w:t>
      </w:r>
      <w:r>
        <w:rPr>
          <w:rFonts w:hint="eastAsia" w:ascii="宋体" w:hAnsi="宋体"/>
          <w:color w:val="000000" w:themeColor="text1"/>
          <w:sz w:val="21"/>
          <w:szCs w:val="21"/>
          <w14:textFill>
            <w14:solidFill>
              <w14:schemeClr w14:val="tx1"/>
            </w14:solidFill>
          </w14:textFill>
        </w:rPr>
        <w:t>不可撤销履约保函</w:t>
      </w:r>
      <w:bookmarkEnd w:id="278"/>
      <w:bookmarkEnd w:id="279"/>
      <w:bookmarkEnd w:id="280"/>
      <w:bookmarkEnd w:id="281"/>
      <w:bookmarkEnd w:id="282"/>
      <w:bookmarkEnd w:id="283"/>
      <w:bookmarkEnd w:id="284"/>
      <w:bookmarkEnd w:id="285"/>
      <w:bookmarkEnd w:id="286"/>
      <w:bookmarkEnd w:id="287"/>
      <w:bookmarkEnd w:id="288"/>
    </w:p>
    <w:p w14:paraId="36B05FD6">
      <w:pPr>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银行编号：</w:t>
      </w:r>
    </w:p>
    <w:p w14:paraId="5A3F4676">
      <w:pP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致：</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甲方</w:t>
      </w:r>
      <w:r>
        <w:rPr>
          <w:rFonts w:hint="eastAsia" w:ascii="宋体" w:hAnsi="宋体"/>
          <w:color w:val="000000" w:themeColor="text1"/>
          <w14:textFill>
            <w14:solidFill>
              <w14:schemeClr w14:val="tx1"/>
            </w14:solidFill>
          </w14:textFill>
        </w:rPr>
        <w:t>）</w:t>
      </w:r>
    </w:p>
    <w:p w14:paraId="788B3A2E">
      <w:pPr>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鉴于</w:t>
      </w:r>
      <w:r>
        <w:rPr>
          <w:rFonts w:hint="eastAsia" w:ascii="宋体" w:hAnsi="宋体"/>
          <w:color w:val="000000" w:themeColor="text1"/>
          <w:u w:val="single"/>
          <w14:textFill>
            <w14:solidFill>
              <w14:schemeClr w14:val="tx1"/>
            </w14:solidFill>
          </w14:textFill>
        </w:rPr>
        <w:t xml:space="preserve">         （地址：          ，下称 “乙方” ）</w:t>
      </w:r>
      <w:r>
        <w:rPr>
          <w:rFonts w:hint="eastAsia" w:ascii="宋体" w:hAnsi="宋体"/>
          <w:color w:val="000000" w:themeColor="text1"/>
          <w14:textFill>
            <w14:solidFill>
              <w14:schemeClr w14:val="tx1"/>
            </w14:solidFill>
          </w14:textFill>
        </w:rPr>
        <w:t>已保证按</w:t>
      </w:r>
      <w:r>
        <w:rPr>
          <w:rFonts w:hint="eastAsia" w:ascii="宋体" w:hAnsi="宋体"/>
          <w:color w:val="000000" w:themeColor="text1"/>
          <w:u w:val="single"/>
          <w14:textFill>
            <w14:solidFill>
              <w14:schemeClr w14:val="tx1"/>
            </w14:solidFill>
          </w14:textFill>
        </w:rPr>
        <w:t xml:space="preserve">        承包合同书（合同编号：    ）</w:t>
      </w:r>
      <w:r>
        <w:rPr>
          <w:rFonts w:hint="eastAsia" w:ascii="宋体" w:hAnsi="宋体"/>
          <w:color w:val="000000" w:themeColor="text1"/>
          <w14:textFill>
            <w14:solidFill>
              <w14:schemeClr w14:val="tx1"/>
            </w14:solidFill>
          </w14:textFill>
        </w:rPr>
        <w:t>中规定的义务履行合同。</w:t>
      </w:r>
    </w:p>
    <w:p w14:paraId="457D38EE">
      <w:pPr>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根据上述合同约定，乙方应向</w:t>
      </w:r>
      <w:r>
        <w:rPr>
          <w:rFonts w:hint="eastAsia"/>
          <w:color w:val="000000" w:themeColor="text1"/>
          <w14:textFill>
            <w14:solidFill>
              <w14:schemeClr w14:val="tx1"/>
            </w14:solidFill>
          </w14:textFill>
        </w:rPr>
        <w:t>甲方</w:t>
      </w:r>
      <w:r>
        <w:rPr>
          <w:rFonts w:hint="eastAsia" w:ascii="宋体" w:hAnsi="宋体"/>
          <w:color w:val="000000" w:themeColor="text1"/>
          <w14:textFill>
            <w14:solidFill>
              <w14:schemeClr w14:val="tx1"/>
            </w14:solidFill>
          </w14:textFill>
        </w:rPr>
        <w:t>提供一份金额为合同总价的10%即</w:t>
      </w:r>
      <w:r>
        <w:rPr>
          <w:rFonts w:hint="eastAsia" w:ascii="宋体" w:hAnsi="宋体"/>
          <w:color w:val="000000" w:themeColor="text1"/>
          <w:u w:val="single"/>
          <w14:textFill>
            <w14:solidFill>
              <w14:schemeClr w14:val="tx1"/>
            </w14:solidFill>
          </w14:textFill>
        </w:rPr>
        <w:t>人民币      （RMB    元）</w:t>
      </w:r>
      <w:r>
        <w:rPr>
          <w:rFonts w:hint="eastAsia" w:ascii="宋体" w:hAnsi="宋体"/>
          <w:color w:val="000000" w:themeColor="text1"/>
          <w14:textFill>
            <w14:solidFill>
              <w14:schemeClr w14:val="tx1"/>
            </w14:solidFill>
          </w14:textFill>
        </w:rPr>
        <w:t>的</w:t>
      </w:r>
      <w:r>
        <w:rPr>
          <w:rFonts w:hint="eastAsia" w:ascii="宋体" w:hAnsi="宋体"/>
          <w:bCs/>
          <w:color w:val="000000" w:themeColor="text1"/>
          <w14:textFill>
            <w14:solidFill>
              <w14:schemeClr w14:val="tx1"/>
            </w14:solidFill>
          </w14:textFill>
        </w:rPr>
        <w:t>不可撤销</w:t>
      </w:r>
      <w:r>
        <w:rPr>
          <w:rFonts w:hint="eastAsia" w:ascii="宋体" w:hAnsi="宋体"/>
          <w:color w:val="000000" w:themeColor="text1"/>
          <w14:textFill>
            <w14:solidFill>
              <w14:schemeClr w14:val="tx1"/>
            </w14:solidFill>
          </w14:textFill>
        </w:rPr>
        <w:t>银行履约保函，作为乙方履行上述合同的担保。</w:t>
      </w:r>
    </w:p>
    <w:p w14:paraId="48B664B2">
      <w:pPr>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我方</w:t>
      </w:r>
      <w:r>
        <w:rPr>
          <w:rFonts w:hint="eastAsia" w:ascii="宋体" w:hAnsi="宋体"/>
          <w:color w:val="000000" w:themeColor="text1"/>
          <w:u w:val="single"/>
          <w14:textFill>
            <w14:solidFill>
              <w14:schemeClr w14:val="tx1"/>
            </w14:solidFill>
          </w14:textFill>
        </w:rPr>
        <w:t xml:space="preserve">            （银行名称）</w:t>
      </w:r>
      <w:r>
        <w:rPr>
          <w:rFonts w:hint="eastAsia" w:ascii="宋体" w:hAnsi="宋体"/>
          <w:color w:val="000000" w:themeColor="text1"/>
          <w14:textFill>
            <w14:solidFill>
              <w14:schemeClr w14:val="tx1"/>
            </w14:solidFill>
          </w14:textFill>
        </w:rPr>
        <w:t>，受乙方的委托，不仅作为连带责任保证人而且作为主要的责任人，无条件和不可撤销地同意在</w:t>
      </w:r>
      <w:r>
        <w:rPr>
          <w:rFonts w:hint="eastAsia"/>
          <w:color w:val="000000" w:themeColor="text1"/>
          <w14:textFill>
            <w14:solidFill>
              <w14:schemeClr w14:val="tx1"/>
            </w14:solidFill>
          </w14:textFill>
        </w:rPr>
        <w:t>甲方</w:t>
      </w:r>
      <w:r>
        <w:rPr>
          <w:rFonts w:hint="eastAsia" w:ascii="宋体" w:hAnsi="宋体"/>
          <w:color w:val="000000" w:themeColor="text1"/>
          <w14:textFill>
            <w14:solidFill>
              <w14:schemeClr w14:val="tx1"/>
            </w14:solidFill>
          </w14:textFill>
        </w:rPr>
        <w:t>提出因乙方没有履行上述合同规定，而要求扣划保证金的书面要求后，7个工作日内为</w:t>
      </w:r>
      <w:r>
        <w:rPr>
          <w:rFonts w:hint="eastAsia"/>
          <w:color w:val="000000" w:themeColor="text1"/>
          <w14:textFill>
            <w14:solidFill>
              <w14:schemeClr w14:val="tx1"/>
            </w14:solidFill>
          </w14:textFill>
        </w:rPr>
        <w:t>甲方</w:t>
      </w:r>
      <w:r>
        <w:rPr>
          <w:rFonts w:hint="eastAsia" w:ascii="宋体" w:hAnsi="宋体"/>
          <w:color w:val="000000" w:themeColor="text1"/>
          <w14:textFill>
            <w14:solidFill>
              <w14:schemeClr w14:val="tx1"/>
            </w14:solidFill>
          </w14:textFill>
        </w:rPr>
        <w:t>扣划金额不超过</w:t>
      </w:r>
      <w:r>
        <w:rPr>
          <w:rFonts w:hint="eastAsia" w:ascii="宋体" w:hAnsi="宋体"/>
          <w:color w:val="000000" w:themeColor="text1"/>
          <w:u w:val="single"/>
          <w14:textFill>
            <w14:solidFill>
              <w14:schemeClr w14:val="tx1"/>
            </w14:solidFill>
          </w14:textFill>
        </w:rPr>
        <w:t>人民币          （RMB       元）</w:t>
      </w:r>
      <w:r>
        <w:rPr>
          <w:rFonts w:hint="eastAsia" w:ascii="宋体" w:hAnsi="宋体"/>
          <w:color w:val="000000" w:themeColor="text1"/>
          <w14:textFill>
            <w14:solidFill>
              <w14:schemeClr w14:val="tx1"/>
            </w14:solidFill>
          </w14:textFill>
        </w:rPr>
        <w:t>的保证金。</w:t>
      </w:r>
    </w:p>
    <w:p w14:paraId="1296BB40">
      <w:pPr>
        <w:ind w:firstLine="420" w:firstLineChars="200"/>
        <w:rPr>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我</w:t>
      </w:r>
      <w:r>
        <w:rPr>
          <w:rFonts w:hint="eastAsia"/>
          <w:color w:val="000000" w:themeColor="text1"/>
          <w14:textFill>
            <w14:solidFill>
              <w14:schemeClr w14:val="tx1"/>
            </w14:solidFill>
          </w14:textFill>
        </w:rPr>
        <w:t>方还同意，任何甲方与乙方之间可能对合同条款的修改、规范或其他合同文件的变动补充，都不能免除我方按本保函所承担的责任。因此，有关上述变动、补充和修改无须通知我方。</w:t>
      </w:r>
    </w:p>
    <w:p w14:paraId="15E5A6A2">
      <w:p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本保函从上述合同签订之日起至项目服务期结束验收合格并完成结算后，双方签字之日起7天内保持有效。</w:t>
      </w:r>
    </w:p>
    <w:p w14:paraId="1F6A9D68">
      <w:pPr>
        <w:ind w:firstLine="2824" w:firstLineChars="1345"/>
        <w:rPr>
          <w:rFonts w:ascii="宋体" w:hAnsi="宋体"/>
          <w:color w:val="000000" w:themeColor="text1"/>
          <w14:textFill>
            <w14:solidFill>
              <w14:schemeClr w14:val="tx1"/>
            </w14:solidFill>
          </w14:textFill>
        </w:rPr>
      </w:pPr>
    </w:p>
    <w:p w14:paraId="5A0C8747">
      <w:pPr>
        <w:ind w:firstLine="5040" w:firstLineChars="24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保证人：（盖章）</w:t>
      </w:r>
      <w:r>
        <w:rPr>
          <w:rFonts w:hint="eastAsia" w:ascii="宋体" w:hAnsi="宋体"/>
          <w:color w:val="000000" w:themeColor="text1"/>
          <w:u w:val="single"/>
          <w14:textFill>
            <w14:solidFill>
              <w14:schemeClr w14:val="tx1"/>
            </w14:solidFill>
          </w14:textFill>
        </w:rPr>
        <w:t xml:space="preserve">                        </w:t>
      </w:r>
    </w:p>
    <w:p w14:paraId="1C39D452">
      <w:pPr>
        <w:ind w:firstLine="5040" w:firstLineChars="24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负责人：（签字）</w:t>
      </w:r>
      <w:r>
        <w:rPr>
          <w:rFonts w:hint="eastAsia" w:ascii="宋体" w:hAnsi="宋体"/>
          <w:color w:val="000000" w:themeColor="text1"/>
          <w:u w:val="single"/>
          <w14:textFill>
            <w14:solidFill>
              <w14:schemeClr w14:val="tx1"/>
            </w14:solidFill>
          </w14:textFill>
        </w:rPr>
        <w:t xml:space="preserve">                        </w:t>
      </w:r>
    </w:p>
    <w:p w14:paraId="3BD53F90">
      <w:pPr>
        <w:ind w:firstLine="5040" w:firstLineChars="24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联系人：</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 xml:space="preserve">   </w:t>
      </w:r>
    </w:p>
    <w:p w14:paraId="5F5CC72C">
      <w:pPr>
        <w:ind w:firstLine="5040" w:firstLineChars="24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联系电话：</w:t>
      </w:r>
      <w:r>
        <w:rPr>
          <w:rFonts w:hint="eastAsia" w:ascii="宋体" w:hAnsi="宋体"/>
          <w:color w:val="000000" w:themeColor="text1"/>
          <w:u w:val="single"/>
          <w14:textFill>
            <w14:solidFill>
              <w14:schemeClr w14:val="tx1"/>
            </w14:solidFill>
          </w14:textFill>
        </w:rPr>
        <w:t xml:space="preserve">                             </w:t>
      </w:r>
    </w:p>
    <w:p w14:paraId="1F6F9D53">
      <w:pPr>
        <w:ind w:firstLine="5040" w:firstLineChars="24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日期：</w:t>
      </w:r>
      <w:r>
        <w:rPr>
          <w:rFonts w:hint="eastAsia" w:ascii="宋体" w:hAnsi="宋体"/>
          <w:color w:val="000000" w:themeColor="text1"/>
          <w:u w:val="single"/>
          <w14:textFill>
            <w14:solidFill>
              <w14:schemeClr w14:val="tx1"/>
            </w14:solidFill>
          </w14:textFill>
        </w:rPr>
        <w:t xml:space="preserve">                               </w:t>
      </w:r>
    </w:p>
    <w:p w14:paraId="77F725D7">
      <w:pPr>
        <w:pStyle w:val="12"/>
        <w:rPr>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说明：投标人在投标时不需提交正式保函，在投标文件中盖投标人公章确认保函格式即可，乙方</w:t>
      </w:r>
      <w:r>
        <w:rPr>
          <w:rFonts w:hint="eastAsia"/>
          <w:color w:val="000000" w:themeColor="text1"/>
          <w14:textFill>
            <w14:solidFill>
              <w14:schemeClr w14:val="tx1"/>
            </w14:solidFill>
          </w14:textFill>
        </w:rPr>
        <w:t>在签订合同时</w:t>
      </w:r>
      <w:r>
        <w:rPr>
          <w:rFonts w:hint="eastAsia"/>
          <w:color w:val="000000" w:themeColor="text1"/>
          <w:szCs w:val="24"/>
          <w14:textFill>
            <w14:solidFill>
              <w14:schemeClr w14:val="tx1"/>
            </w14:solidFill>
          </w14:textFill>
        </w:rPr>
        <w:t>提交正式保函。</w:t>
      </w:r>
    </w:p>
    <w:p w14:paraId="51095186">
      <w:pPr>
        <w:rPr>
          <w:rFonts w:ascii="宋体" w:hAnsi="宋体"/>
          <w:color w:val="000000" w:themeColor="text1"/>
          <w:szCs w:val="21"/>
          <w14:textFill>
            <w14:solidFill>
              <w14:schemeClr w14:val="tx1"/>
            </w14:solidFill>
          </w14:textFill>
        </w:rPr>
      </w:pPr>
    </w:p>
    <w:p w14:paraId="1A98CEF7">
      <w:pPr>
        <w:rPr>
          <w:rFonts w:ascii="宋体" w:hAnsi="宋体"/>
          <w:color w:val="000000" w:themeColor="text1"/>
          <w:szCs w:val="21"/>
          <w14:textFill>
            <w14:solidFill>
              <w14:schemeClr w14:val="tx1"/>
            </w14:solidFill>
          </w14:textFill>
        </w:rPr>
        <w:sectPr>
          <w:pgSz w:w="11906" w:h="16838"/>
          <w:pgMar w:top="1440" w:right="1800" w:bottom="1440" w:left="1800" w:header="708" w:footer="708" w:gutter="0"/>
          <w:pgNumType w:fmt="decimal"/>
          <w:cols w:space="708" w:num="1"/>
          <w:titlePg/>
          <w:docGrid w:type="lines" w:linePitch="360" w:charSpace="0"/>
        </w:sectPr>
      </w:pPr>
    </w:p>
    <w:p w14:paraId="70ACA08C">
      <w:pPr>
        <w:pStyle w:val="5"/>
        <w:numPr>
          <w:ilvl w:val="255"/>
          <w:numId w:val="0"/>
        </w:numPr>
        <w:tabs>
          <w:tab w:val="left" w:pos="720"/>
          <w:tab w:val="left" w:pos="3840"/>
        </w:tabs>
        <w:ind w:left="283"/>
        <w:jc w:val="both"/>
        <w:rPr>
          <w:rFonts w:ascii="宋体" w:hAnsi="宋体"/>
          <w:color w:val="000000" w:themeColor="text1"/>
          <w:sz w:val="21"/>
          <w:szCs w:val="21"/>
          <w14:textFill>
            <w14:solidFill>
              <w14:schemeClr w14:val="tx1"/>
            </w14:solidFill>
          </w14:textFill>
        </w:rPr>
      </w:pPr>
      <w:bookmarkStart w:id="289" w:name="_Toc28389"/>
      <w:r>
        <w:rPr>
          <w:rFonts w:hint="eastAsia" w:ascii="宋体" w:hAnsi="宋体"/>
          <w:color w:val="000000" w:themeColor="text1"/>
          <w:sz w:val="21"/>
          <w:szCs w:val="21"/>
          <w14:textFill>
            <w14:solidFill>
              <w14:schemeClr w14:val="tx1"/>
            </w14:solidFill>
          </w14:textFill>
        </w:rPr>
        <w:t>附件</w:t>
      </w:r>
      <w:r>
        <w:rPr>
          <w:rFonts w:hint="eastAsia" w:ascii="宋体" w:hAnsi="宋体"/>
          <w:color w:val="000000" w:themeColor="text1"/>
          <w:sz w:val="21"/>
          <w:szCs w:val="21"/>
          <w:lang w:val="en-US" w:eastAsia="zh-CN"/>
          <w14:textFill>
            <w14:solidFill>
              <w14:schemeClr w14:val="tx1"/>
            </w14:solidFill>
          </w14:textFill>
        </w:rPr>
        <w:t>20</w:t>
      </w:r>
      <w:r>
        <w:rPr>
          <w:rFonts w:hint="eastAsia" w:ascii="宋体" w:hAnsi="宋体"/>
          <w:color w:val="000000" w:themeColor="text1"/>
          <w:sz w:val="21"/>
          <w:szCs w:val="21"/>
          <w14:textFill>
            <w14:solidFill>
              <w14:schemeClr w14:val="tx1"/>
            </w14:solidFill>
          </w14:textFill>
        </w:rPr>
        <w:t>.预付款保函（适用于预付款支付）</w:t>
      </w:r>
      <w:bookmarkEnd w:id="289"/>
    </w:p>
    <w:p w14:paraId="5EC08F75">
      <w:pPr>
        <w:pStyle w:val="12"/>
        <w:rPr>
          <w:color w:val="000000" w:themeColor="text1"/>
          <w:szCs w:val="24"/>
          <w14:textFill>
            <w14:solidFill>
              <w14:schemeClr w14:val="tx1"/>
            </w14:solidFill>
          </w14:textFill>
        </w:rPr>
      </w:pPr>
    </w:p>
    <w:p w14:paraId="26ADAF4F">
      <w:pPr>
        <w:jc w:val="center"/>
        <w:rPr>
          <w:rFonts w:ascii="黑体" w:eastAsia="黑体"/>
          <w:color w:val="000000" w:themeColor="text1"/>
          <w:sz w:val="28"/>
          <w:szCs w:val="28"/>
          <w14:textFill>
            <w14:solidFill>
              <w14:schemeClr w14:val="tx1"/>
            </w14:solidFill>
          </w14:textFill>
        </w:rPr>
      </w:pPr>
      <w:bookmarkStart w:id="290" w:name="_Toc6877"/>
      <w:bookmarkStart w:id="291" w:name="_Toc7374"/>
      <w:bookmarkStart w:id="292" w:name="_Toc25494"/>
      <w:bookmarkStart w:id="293" w:name="_Toc20669"/>
      <w:bookmarkStart w:id="294" w:name="_Toc29054"/>
      <w:bookmarkStart w:id="295" w:name="_Toc31418"/>
      <w:bookmarkStart w:id="296" w:name="_Toc1039"/>
      <w:bookmarkStart w:id="297" w:name="_Toc10315"/>
      <w:bookmarkStart w:id="298" w:name="_Toc5034"/>
      <w:bookmarkStart w:id="299" w:name="_Toc3295"/>
      <w:bookmarkStart w:id="300" w:name="_Toc29728"/>
      <w:bookmarkStart w:id="301" w:name="_Toc27545"/>
      <w:r>
        <w:rPr>
          <w:rFonts w:hint="eastAsia" w:ascii="黑体" w:eastAsia="黑体"/>
          <w:color w:val="000000" w:themeColor="text1"/>
          <w:sz w:val="28"/>
          <w:szCs w:val="28"/>
          <w14:textFill>
            <w14:solidFill>
              <w14:schemeClr w14:val="tx1"/>
            </w14:solidFill>
          </w14:textFill>
        </w:rPr>
        <w:t>不可撤销预付款保函</w:t>
      </w:r>
      <w:bookmarkEnd w:id="290"/>
      <w:bookmarkEnd w:id="291"/>
      <w:bookmarkEnd w:id="292"/>
      <w:bookmarkEnd w:id="293"/>
      <w:bookmarkEnd w:id="294"/>
      <w:bookmarkEnd w:id="295"/>
      <w:bookmarkEnd w:id="296"/>
      <w:bookmarkEnd w:id="297"/>
      <w:bookmarkEnd w:id="298"/>
      <w:bookmarkEnd w:id="299"/>
      <w:bookmarkEnd w:id="300"/>
      <w:bookmarkEnd w:id="301"/>
    </w:p>
    <w:p w14:paraId="11A30CC2">
      <w:pPr>
        <w:ind w:firstLine="6300"/>
        <w:rPr>
          <w:color w:val="000000" w:themeColor="text1"/>
          <w:szCs w:val="21"/>
          <w:u w:val="single"/>
          <w14:textFill>
            <w14:solidFill>
              <w14:schemeClr w14:val="tx1"/>
            </w14:solidFill>
          </w14:textFill>
        </w:rPr>
      </w:pPr>
      <w:r>
        <w:rPr>
          <w:rFonts w:hint="eastAsia"/>
          <w:color w:val="000000" w:themeColor="text1"/>
          <w:szCs w:val="21"/>
          <w14:textFill>
            <w14:solidFill>
              <w14:schemeClr w14:val="tx1"/>
            </w14:solidFill>
          </w14:textFill>
        </w:rPr>
        <w:t>银行编号：</w:t>
      </w:r>
      <w:r>
        <w:rPr>
          <w:rFonts w:hint="eastAsia"/>
          <w:color w:val="000000" w:themeColor="text1"/>
          <w:szCs w:val="21"/>
          <w:u w:val="single"/>
          <w14:textFill>
            <w14:solidFill>
              <w14:schemeClr w14:val="tx1"/>
            </w14:solidFill>
          </w14:textFill>
        </w:rPr>
        <w:t xml:space="preserve">             </w:t>
      </w:r>
    </w:p>
    <w:p w14:paraId="53B33CAA">
      <w:pPr>
        <w:ind w:firstLine="6300"/>
        <w:rPr>
          <w:color w:val="000000" w:themeColor="text1"/>
          <w:szCs w:val="21"/>
          <w14:textFill>
            <w14:solidFill>
              <w14:schemeClr w14:val="tx1"/>
            </w14:solidFill>
          </w14:textFill>
        </w:rPr>
      </w:pPr>
    </w:p>
    <w:p w14:paraId="40D85AA0">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（下称“采购人”）</w:t>
      </w:r>
    </w:p>
    <w:p w14:paraId="1AE6E95D">
      <w:pPr>
        <w:ind w:firstLine="437"/>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鉴于</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4"/>
          <w:u w:val="single"/>
          <w14:textFill>
            <w14:solidFill>
              <w14:schemeClr w14:val="tx1"/>
            </w14:solidFill>
          </w14:textFill>
        </w:rPr>
        <w:t>（地址：          ，下称 “中标人” ）</w:t>
      </w:r>
      <w:r>
        <w:rPr>
          <w:rFonts w:hint="eastAsia" w:ascii="宋体" w:hAnsi="宋体"/>
          <w:color w:val="000000" w:themeColor="text1"/>
          <w:szCs w:val="21"/>
          <w14:textFill>
            <w14:solidFill>
              <w14:schemeClr w14:val="tx1"/>
            </w14:solidFill>
          </w14:textFill>
        </w:rPr>
        <w:t>，已保证按</w:t>
      </w:r>
      <w:r>
        <w:rPr>
          <w:rFonts w:hint="eastAsia" w:ascii="宋体" w:hAnsi="宋体"/>
          <w:color w:val="000000" w:themeColor="text1"/>
          <w:szCs w:val="21"/>
          <w:u w:val="single"/>
          <w14:textFill>
            <w14:solidFill>
              <w14:schemeClr w14:val="tx1"/>
            </w14:solidFill>
          </w14:textFill>
        </w:rPr>
        <w:t xml:space="preserve">          承包合同书（合同编号：    ）</w:t>
      </w:r>
      <w:r>
        <w:rPr>
          <w:rFonts w:hint="eastAsia" w:ascii="宋体" w:hAnsi="宋体"/>
          <w:color w:val="000000" w:themeColor="text1"/>
          <w:szCs w:val="21"/>
          <w14:textFill>
            <w14:solidFill>
              <w14:schemeClr w14:val="tx1"/>
            </w14:solidFill>
          </w14:textFill>
        </w:rPr>
        <w:t>中规定的义务履行合同。</w:t>
      </w:r>
    </w:p>
    <w:p w14:paraId="611EA402">
      <w:pPr>
        <w:ind w:firstLine="437"/>
        <w:rPr>
          <w:rFonts w:ascii="宋体" w:hAnsi="宋体"/>
          <w:color w:val="000000" w:themeColor="text1"/>
          <w:szCs w:val="21"/>
          <w14:textFill>
            <w14:solidFill>
              <w14:schemeClr w14:val="tx1"/>
            </w14:solidFill>
          </w14:textFill>
        </w:rPr>
      </w:pPr>
      <w:r>
        <w:rPr>
          <w:rFonts w:hint="eastAsia" w:ascii="宋体" w:hAnsi="宋体"/>
          <w:color w:val="000000" w:themeColor="text1"/>
          <w:szCs w:val="24"/>
          <w14:textFill>
            <w14:solidFill>
              <w14:schemeClr w14:val="tx1"/>
            </w14:solidFill>
          </w14:textFill>
        </w:rPr>
        <w:t>根据上述合同（招标文件）规定，中标人应向采购人提供一份金额为合同总价的</w:t>
      </w:r>
      <w:r>
        <w:rPr>
          <w:rFonts w:hint="eastAsia" w:ascii="宋体" w:hAnsi="宋体"/>
          <w:color w:val="000000" w:themeColor="text1"/>
          <w:szCs w:val="24"/>
          <w:u w:val="single"/>
          <w14:textFill>
            <w14:solidFill>
              <w14:schemeClr w14:val="tx1"/>
            </w14:solidFill>
          </w14:textFill>
        </w:rPr>
        <w:t xml:space="preserve">   </w:t>
      </w:r>
      <w:r>
        <w:rPr>
          <w:rFonts w:hint="eastAsia" w:ascii="宋体" w:hAnsi="宋体"/>
          <w:color w:val="000000" w:themeColor="text1"/>
          <w:szCs w:val="24"/>
          <w14:textFill>
            <w14:solidFill>
              <w14:schemeClr w14:val="tx1"/>
            </w14:solidFill>
          </w14:textFill>
        </w:rPr>
        <w:t>% 即人民币</w:t>
      </w:r>
      <w:r>
        <w:rPr>
          <w:rFonts w:hint="eastAsia" w:ascii="宋体" w:hAnsi="宋体"/>
          <w:color w:val="000000" w:themeColor="text1"/>
          <w:szCs w:val="21"/>
          <w:u w:val="single"/>
          <w14:textFill>
            <w14:solidFill>
              <w14:schemeClr w14:val="tx1"/>
            </w14:solidFill>
          </w14:textFill>
        </w:rPr>
        <w:t xml:space="preserve">      （RMB      元）</w:t>
      </w:r>
      <w:r>
        <w:rPr>
          <w:rFonts w:hint="eastAsia" w:ascii="宋体" w:hAnsi="宋体"/>
          <w:color w:val="000000" w:themeColor="text1"/>
          <w:szCs w:val="21"/>
          <w14:textFill>
            <w14:solidFill>
              <w14:schemeClr w14:val="tx1"/>
            </w14:solidFill>
          </w14:textFill>
        </w:rPr>
        <w:t>的不可撤销银行预付款保函，以保证中标人履行合同的相关条款。</w:t>
      </w:r>
    </w:p>
    <w:p w14:paraId="3ABDA425">
      <w:pPr>
        <w:ind w:firstLine="437"/>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我方</w:t>
      </w:r>
      <w:r>
        <w:rPr>
          <w:rFonts w:hint="eastAsia" w:ascii="宋体" w:hAnsi="宋体"/>
          <w:color w:val="000000" w:themeColor="text1"/>
          <w:szCs w:val="21"/>
          <w:u w:val="single"/>
          <w14:textFill>
            <w14:solidFill>
              <w14:schemeClr w14:val="tx1"/>
            </w14:solidFill>
          </w14:textFill>
        </w:rPr>
        <w:t xml:space="preserve">  （银行名称）  </w:t>
      </w:r>
      <w:r>
        <w:rPr>
          <w:rFonts w:hint="eastAsia" w:ascii="宋体" w:hAnsi="宋体"/>
          <w:color w:val="000000" w:themeColor="text1"/>
          <w:szCs w:val="21"/>
          <w14:textFill>
            <w14:solidFill>
              <w14:schemeClr w14:val="tx1"/>
            </w14:solidFill>
          </w14:textFill>
        </w:rPr>
        <w:t>，受中标人的委托，作为连带责任保证人，无条件和不可撤销地同意在采购人提出因中标人没有履行上述合同规定，而要求收回上述金额内任何付款的书面要求后，于7个工作日内为采购人予以支付并保证到达采购人账户，以保证在中标人没有履行或部分履行合同条款的责任时，采购人可以向中标人收回全部或部分预付款。</w:t>
      </w:r>
    </w:p>
    <w:p w14:paraId="2A6B1CEF">
      <w:pPr>
        <w:ind w:firstLine="437"/>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我方还同意，任何采购人与中标人之间可能对合同条款的修改、规范或其他合同文件的变动补充，都不能免除我方按本保函所承担的责任。因此，有关上述变动、补充和修改无须通知我方。</w:t>
      </w:r>
    </w:p>
    <w:p w14:paraId="263E23B7">
      <w:pPr>
        <w:ind w:firstLine="437"/>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本保函有效期从保函开立之日起至采购人向中标人抵扣完所有预付款之日止。</w:t>
      </w:r>
    </w:p>
    <w:p w14:paraId="2A6DEFE3">
      <w:pPr>
        <w:rPr>
          <w:rFonts w:ascii="宋体" w:hAnsi="宋体"/>
          <w:color w:val="000000" w:themeColor="text1"/>
          <w:szCs w:val="21"/>
          <w14:textFill>
            <w14:solidFill>
              <w14:schemeClr w14:val="tx1"/>
            </w14:solidFill>
          </w14:textFill>
        </w:rPr>
      </w:pPr>
    </w:p>
    <w:p w14:paraId="4CB35A4A">
      <w:pPr>
        <w:ind w:firstLine="437"/>
        <w:rPr>
          <w:rFonts w:ascii="宋体" w:hAnsi="宋体"/>
          <w:color w:val="000000" w:themeColor="text1"/>
          <w:szCs w:val="21"/>
          <w14:textFill>
            <w14:solidFill>
              <w14:schemeClr w14:val="tx1"/>
            </w14:solidFill>
          </w14:textFill>
        </w:rPr>
      </w:pPr>
    </w:p>
    <w:p w14:paraId="6E1CBA93">
      <w:pPr>
        <w:ind w:firstLine="486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保证人：（公章）</w:t>
      </w:r>
      <w:r>
        <w:rPr>
          <w:rFonts w:hint="eastAsia" w:ascii="宋体" w:hAnsi="宋体"/>
          <w:color w:val="000000" w:themeColor="text1"/>
          <w:szCs w:val="21"/>
          <w:u w:val="single"/>
          <w14:textFill>
            <w14:solidFill>
              <w14:schemeClr w14:val="tx1"/>
            </w14:solidFill>
          </w14:textFill>
        </w:rPr>
        <w:t xml:space="preserve">                     </w:t>
      </w:r>
    </w:p>
    <w:p w14:paraId="3C5975E0">
      <w:pPr>
        <w:ind w:firstLine="4860"/>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负责人：（签字）</w:t>
      </w:r>
      <w:r>
        <w:rPr>
          <w:rFonts w:hint="eastAsia" w:ascii="宋体" w:hAnsi="宋体"/>
          <w:color w:val="000000" w:themeColor="text1"/>
          <w:szCs w:val="21"/>
          <w:u w:val="single"/>
          <w14:textFill>
            <w14:solidFill>
              <w14:schemeClr w14:val="tx1"/>
            </w14:solidFill>
          </w14:textFill>
        </w:rPr>
        <w:t xml:space="preserve">                     </w:t>
      </w:r>
    </w:p>
    <w:p w14:paraId="57E0A776">
      <w:pPr>
        <w:ind w:firstLine="4860"/>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联系电话：</w:t>
      </w:r>
      <w:r>
        <w:rPr>
          <w:rFonts w:hint="eastAsia" w:ascii="宋体" w:hAnsi="宋体"/>
          <w:color w:val="000000" w:themeColor="text1"/>
          <w:szCs w:val="21"/>
          <w:u w:val="single"/>
          <w14:textFill>
            <w14:solidFill>
              <w14:schemeClr w14:val="tx1"/>
            </w14:solidFill>
          </w14:textFill>
        </w:rPr>
        <w:t xml:space="preserve">                          </w:t>
      </w:r>
    </w:p>
    <w:p w14:paraId="4F2675E1">
      <w:pPr>
        <w:ind w:firstLine="486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地址：</w:t>
      </w:r>
      <w:r>
        <w:rPr>
          <w:rFonts w:hint="eastAsia" w:ascii="宋体" w:hAnsi="宋体"/>
          <w:color w:val="000000" w:themeColor="text1"/>
          <w:szCs w:val="21"/>
          <w:u w:val="single"/>
          <w14:textFill>
            <w14:solidFill>
              <w14:schemeClr w14:val="tx1"/>
            </w14:solidFill>
          </w14:textFill>
        </w:rPr>
        <w:t xml:space="preserve">                              </w:t>
      </w:r>
    </w:p>
    <w:p w14:paraId="2548166A">
      <w:pPr>
        <w:ind w:firstLine="4860"/>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u w:val="single"/>
          <w14:textFill>
            <w14:solidFill>
              <w14:schemeClr w14:val="tx1"/>
            </w14:solidFill>
          </w14:textFill>
        </w:rPr>
        <w:t xml:space="preserve">                              </w:t>
      </w:r>
    </w:p>
    <w:p w14:paraId="262F14FA">
      <w:pPr>
        <w:pStyle w:val="12"/>
        <w:rPr>
          <w:color w:val="000000" w:themeColor="text1"/>
          <w:szCs w:val="21"/>
          <w14:textFill>
            <w14:solidFill>
              <w14:schemeClr w14:val="tx1"/>
            </w14:solidFill>
          </w14:textFill>
        </w:rPr>
      </w:pPr>
    </w:p>
    <w:p w14:paraId="36AAF67A">
      <w:pPr>
        <w:pStyle w:val="12"/>
        <w:rPr>
          <w:color w:val="000000" w:themeColor="text1"/>
          <w:szCs w:val="21"/>
          <w14:textFill>
            <w14:solidFill>
              <w14:schemeClr w14:val="tx1"/>
            </w14:solidFill>
          </w14:textFill>
        </w:rPr>
      </w:pPr>
    </w:p>
    <w:p w14:paraId="5B1E9F14">
      <w:pPr>
        <w:ind w:firstLine="413" w:firstLineChars="196"/>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说明：投标人在投标文件中盖投标人公章确认保函内容即可，如中标再由银行出具保函。</w:t>
      </w:r>
    </w:p>
    <w:p w14:paraId="392D4F47">
      <w:pPr>
        <w:rPr>
          <w:rFonts w:ascii="宋体" w:hAnsi="宋体"/>
          <w:color w:val="000000" w:themeColor="text1"/>
          <w:szCs w:val="21"/>
          <w14:textFill>
            <w14:solidFill>
              <w14:schemeClr w14:val="tx1"/>
            </w14:solidFill>
          </w14:textFill>
        </w:rPr>
        <w:sectPr>
          <w:pgSz w:w="11906" w:h="16838"/>
          <w:pgMar w:top="1440" w:right="1800" w:bottom="1440" w:left="1800" w:header="708" w:footer="708" w:gutter="0"/>
          <w:pgNumType w:fmt="decimal"/>
          <w:cols w:space="708" w:num="1"/>
          <w:titlePg/>
          <w:docGrid w:type="lines" w:linePitch="360" w:charSpace="0"/>
        </w:sectPr>
      </w:pPr>
    </w:p>
    <w:p w14:paraId="48EFA583">
      <w:pPr>
        <w:pStyle w:val="11"/>
        <w:rPr>
          <w:color w:val="000000" w:themeColor="text1"/>
          <w14:textFill>
            <w14:solidFill>
              <w14:schemeClr w14:val="tx1"/>
            </w14:solidFill>
          </w14:textFill>
        </w:rPr>
      </w:pPr>
      <w:bookmarkStart w:id="302" w:name="_Toc1968"/>
    </w:p>
    <w:p w14:paraId="5592555B">
      <w:pPr>
        <w:jc w:val="center"/>
        <w:outlineLvl w:val="1"/>
        <w:rPr>
          <w:rFonts w:eastAsia="黑体"/>
          <w:color w:val="000000" w:themeColor="text1"/>
          <w:sz w:val="72"/>
          <w:szCs w:val="72"/>
          <w:highlight w:val="none"/>
          <w14:textFill>
            <w14:solidFill>
              <w14:schemeClr w14:val="tx1"/>
            </w14:solidFill>
          </w14:textFill>
        </w:rPr>
      </w:pPr>
      <w:bookmarkStart w:id="303" w:name="_Toc24147"/>
      <w:bookmarkStart w:id="304" w:name="_Toc15258"/>
      <w:r>
        <w:rPr>
          <w:rFonts w:hint="eastAsia" w:eastAsia="黑体"/>
          <w:color w:val="000000" w:themeColor="text1"/>
          <w:sz w:val="72"/>
          <w:szCs w:val="72"/>
          <w:highlight w:val="none"/>
          <w14:textFill>
            <w14:solidFill>
              <w14:schemeClr w14:val="tx1"/>
            </w14:solidFill>
          </w14:textFill>
        </w:rPr>
        <w:t>唱标信封</w:t>
      </w:r>
      <w:bookmarkEnd w:id="303"/>
      <w:bookmarkEnd w:id="304"/>
    </w:p>
    <w:p w14:paraId="1A113EC6">
      <w:pPr>
        <w:jc w:val="center"/>
        <w:rPr>
          <w:rFonts w:ascii="黑体" w:eastAsia="黑体"/>
          <w:color w:val="000000" w:themeColor="text1"/>
          <w:sz w:val="52"/>
          <w:szCs w:val="52"/>
          <w:highlight w:val="none"/>
          <w14:textFill>
            <w14:solidFill>
              <w14:schemeClr w14:val="tx1"/>
            </w14:solidFill>
          </w14:textFill>
        </w:rPr>
      </w:pPr>
      <w:r>
        <w:rPr>
          <w:rFonts w:hint="eastAsia" w:ascii="黑体" w:eastAsia="黑体"/>
          <w:color w:val="000000" w:themeColor="text1"/>
          <w:sz w:val="52"/>
          <w:szCs w:val="52"/>
          <w:highlight w:val="none"/>
          <w14:textFill>
            <w14:solidFill>
              <w14:schemeClr w14:val="tx1"/>
            </w14:solidFill>
          </w14:textFill>
        </w:rPr>
        <w:t>（单独装订成册，单独封装）</w:t>
      </w:r>
    </w:p>
    <w:p w14:paraId="1B9DC802">
      <w:pPr>
        <w:rPr>
          <w:color w:val="000000" w:themeColor="text1"/>
          <w:highlight w:val="none"/>
          <w14:textFill>
            <w14:solidFill>
              <w14:schemeClr w14:val="tx1"/>
            </w14:solidFill>
          </w14:textFill>
        </w:rPr>
      </w:pPr>
    </w:p>
    <w:p w14:paraId="4520078F">
      <w:pPr>
        <w:pStyle w:val="11"/>
        <w:rPr>
          <w:color w:val="000000" w:themeColor="text1"/>
          <w:highlight w:val="none"/>
          <w14:textFill>
            <w14:solidFill>
              <w14:schemeClr w14:val="tx1"/>
            </w14:solidFill>
          </w14:textFill>
        </w:rPr>
      </w:pPr>
    </w:p>
    <w:p w14:paraId="27D97893">
      <w:pPr>
        <w:pStyle w:val="29"/>
        <w:ind w:firstLine="240"/>
        <w:rPr>
          <w:color w:val="000000" w:themeColor="text1"/>
          <w:highlight w:val="none"/>
          <w14:textFill>
            <w14:solidFill>
              <w14:schemeClr w14:val="tx1"/>
            </w14:solidFill>
          </w14:textFill>
        </w:rPr>
      </w:pPr>
    </w:p>
    <w:p w14:paraId="03E4007E">
      <w:pPr>
        <w:pStyle w:val="29"/>
        <w:ind w:firstLine="240"/>
        <w:rPr>
          <w:color w:val="000000" w:themeColor="text1"/>
          <w:highlight w:val="none"/>
          <w14:textFill>
            <w14:solidFill>
              <w14:schemeClr w14:val="tx1"/>
            </w14:solidFill>
          </w14:textFill>
        </w:rPr>
      </w:pPr>
    </w:p>
    <w:p w14:paraId="14C1E448">
      <w:pPr>
        <w:rPr>
          <w:rFonts w:ascii="宋体" w:hAnsi="宋体" w:cs="宋体"/>
          <w:b/>
          <w:color w:val="000000" w:themeColor="text1"/>
          <w:spacing w:val="-6"/>
          <w:sz w:val="32"/>
          <w:szCs w:val="32"/>
          <w:highlight w:val="none"/>
          <w14:textFill>
            <w14:solidFill>
              <w14:schemeClr w14:val="tx1"/>
            </w14:solidFill>
          </w14:textFill>
        </w:rPr>
      </w:pPr>
      <w:r>
        <w:rPr>
          <w:rFonts w:hint="eastAsia" w:ascii="宋体" w:hAnsi="宋体" w:cs="宋体"/>
          <w:b/>
          <w:color w:val="000000" w:themeColor="text1"/>
          <w:spacing w:val="106"/>
          <w:sz w:val="32"/>
          <w:szCs w:val="32"/>
          <w:highlight w:val="none"/>
          <w14:textFill>
            <w14:solidFill>
              <w14:schemeClr w14:val="tx1"/>
            </w14:solidFill>
          </w14:textFill>
        </w:rPr>
        <w:t>项目名</w:t>
      </w:r>
      <w:r>
        <w:rPr>
          <w:rFonts w:hint="eastAsia" w:ascii="宋体" w:hAnsi="宋体" w:cs="宋体"/>
          <w:b/>
          <w:color w:val="000000" w:themeColor="text1"/>
          <w:spacing w:val="2"/>
          <w:sz w:val="32"/>
          <w:szCs w:val="32"/>
          <w:highlight w:val="none"/>
          <w14:textFill>
            <w14:solidFill>
              <w14:schemeClr w14:val="tx1"/>
            </w14:solidFill>
          </w14:textFill>
        </w:rPr>
        <w:t>称</w:t>
      </w:r>
      <w:r>
        <w:rPr>
          <w:rFonts w:hint="eastAsia" w:ascii="宋体" w:hAnsi="宋体" w:cs="宋体"/>
          <w:b/>
          <w:color w:val="000000" w:themeColor="text1"/>
          <w:spacing w:val="-6"/>
          <w:sz w:val="32"/>
          <w:szCs w:val="32"/>
          <w:highlight w:val="none"/>
          <w14:textFill>
            <w14:solidFill>
              <w14:schemeClr w14:val="tx1"/>
            </w14:solidFill>
          </w14:textFill>
        </w:rPr>
        <w:t>：</w:t>
      </w:r>
    </w:p>
    <w:p w14:paraId="39104823">
      <w:pP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pacing w:val="106"/>
          <w:sz w:val="32"/>
          <w:szCs w:val="32"/>
          <w:highlight w:val="none"/>
          <w14:textFill>
            <w14:solidFill>
              <w14:schemeClr w14:val="tx1"/>
            </w14:solidFill>
          </w14:textFill>
        </w:rPr>
        <w:t>项目编</w:t>
      </w:r>
      <w:r>
        <w:rPr>
          <w:rFonts w:hint="eastAsia" w:ascii="宋体" w:hAnsi="宋体" w:cs="宋体"/>
          <w:b/>
          <w:color w:val="000000" w:themeColor="text1"/>
          <w:spacing w:val="2"/>
          <w:sz w:val="32"/>
          <w:szCs w:val="32"/>
          <w:highlight w:val="none"/>
          <w14:textFill>
            <w14:solidFill>
              <w14:schemeClr w14:val="tx1"/>
            </w14:solidFill>
          </w14:textFill>
        </w:rPr>
        <w:t>号</w:t>
      </w:r>
      <w:r>
        <w:rPr>
          <w:rFonts w:hint="eastAsia" w:ascii="宋体" w:hAnsi="宋体" w:cs="宋体"/>
          <w:b/>
          <w:color w:val="000000" w:themeColor="text1"/>
          <w:sz w:val="32"/>
          <w:szCs w:val="32"/>
          <w:highlight w:val="none"/>
          <w14:textFill>
            <w14:solidFill>
              <w14:schemeClr w14:val="tx1"/>
            </w14:solidFill>
          </w14:textFill>
        </w:rPr>
        <w:t>：</w:t>
      </w:r>
    </w:p>
    <w:p w14:paraId="2272B23D">
      <w:pPr>
        <w:pStyle w:val="11"/>
        <w:ind w:left="0"/>
        <w:rPr>
          <w:b/>
          <w:color w:val="000000" w:themeColor="text1"/>
          <w:spacing w:val="106"/>
          <w:sz w:val="32"/>
          <w:szCs w:val="32"/>
          <w:highlight w:val="none"/>
          <w:lang w:val="en-US" w:bidi="ar-SA"/>
          <w14:textFill>
            <w14:solidFill>
              <w14:schemeClr w14:val="tx1"/>
            </w14:solidFill>
          </w14:textFill>
        </w:rPr>
      </w:pPr>
      <w:r>
        <w:rPr>
          <w:rFonts w:hint="eastAsia"/>
          <w:b/>
          <w:color w:val="000000" w:themeColor="text1"/>
          <w:spacing w:val="106"/>
          <w:sz w:val="32"/>
          <w:szCs w:val="32"/>
          <w:highlight w:val="none"/>
          <w:lang w:val="en-US" w:bidi="ar-SA"/>
          <w14:textFill>
            <w14:solidFill>
              <w14:schemeClr w14:val="tx1"/>
            </w14:solidFill>
          </w14:textFill>
        </w:rPr>
        <w:t>包组号（如有）：</w:t>
      </w:r>
    </w:p>
    <w:p w14:paraId="688189CE">
      <w:pP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投标人名称：</w:t>
      </w:r>
    </w:p>
    <w:p w14:paraId="33C8DF19">
      <w:pP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pacing w:val="64"/>
          <w:sz w:val="32"/>
          <w:szCs w:val="32"/>
          <w14:textFill>
            <w14:solidFill>
              <w14:schemeClr w14:val="tx1"/>
            </w14:solidFill>
          </w14:textFill>
        </w:rPr>
        <w:t xml:space="preserve">日    </w:t>
      </w:r>
      <w:r>
        <w:rPr>
          <w:rFonts w:hint="eastAsia" w:ascii="宋体" w:hAnsi="宋体" w:cs="宋体"/>
          <w:b/>
          <w:color w:val="000000" w:themeColor="text1"/>
          <w:sz w:val="32"/>
          <w:szCs w:val="32"/>
          <w14:textFill>
            <w14:solidFill>
              <w14:schemeClr w14:val="tx1"/>
            </w14:solidFill>
          </w14:textFill>
        </w:rPr>
        <w:t>期：</w:t>
      </w:r>
    </w:p>
    <w:p w14:paraId="2E2249AC">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12E4149B">
      <w:pPr>
        <w:outlineLvl w:val="1"/>
        <w:rPr>
          <w:color w:val="000000" w:themeColor="text1"/>
          <w:sz w:val="72"/>
          <w:szCs w:val="72"/>
          <w14:textFill>
            <w14:solidFill>
              <w14:schemeClr w14:val="tx1"/>
            </w14:solidFill>
          </w14:textFill>
        </w:rPr>
        <w:sectPr>
          <w:pgSz w:w="11906" w:h="16838"/>
          <w:pgMar w:top="1440" w:right="1800" w:bottom="1440" w:left="1800" w:header="708" w:footer="708" w:gutter="0"/>
          <w:pgNumType w:fmt="decimal"/>
          <w:cols w:space="708" w:num="1"/>
          <w:titlePg/>
          <w:docGrid w:type="lines" w:linePitch="360" w:charSpace="0"/>
        </w:sectPr>
      </w:pPr>
    </w:p>
    <w:bookmarkEnd w:id="302"/>
    <w:p w14:paraId="580C46D7">
      <w:pPr>
        <w:pStyle w:val="5"/>
        <w:numPr>
          <w:ilvl w:val="255"/>
          <w:numId w:val="0"/>
        </w:numPr>
        <w:tabs>
          <w:tab w:val="left" w:pos="720"/>
          <w:tab w:val="left" w:pos="3840"/>
        </w:tabs>
        <w:ind w:left="283"/>
        <w:jc w:val="both"/>
        <w:rPr>
          <w:rFonts w:ascii="宋体" w:hAnsi="宋体"/>
          <w:color w:val="000000" w:themeColor="text1"/>
          <w:sz w:val="21"/>
          <w:szCs w:val="21"/>
          <w14:textFill>
            <w14:solidFill>
              <w14:schemeClr w14:val="tx1"/>
            </w14:solidFill>
          </w14:textFill>
        </w:rPr>
      </w:pPr>
      <w:bookmarkStart w:id="305" w:name="_Toc24148"/>
      <w:r>
        <w:rPr>
          <w:rFonts w:hint="eastAsia" w:ascii="宋体" w:hAnsi="宋体"/>
          <w:color w:val="000000" w:themeColor="text1"/>
          <w:sz w:val="21"/>
          <w:szCs w:val="21"/>
          <w14:textFill>
            <w14:solidFill>
              <w14:schemeClr w14:val="tx1"/>
            </w14:solidFill>
          </w14:textFill>
        </w:rPr>
        <w:t>附件2</w:t>
      </w:r>
      <w:r>
        <w:rPr>
          <w:rFonts w:hint="eastAsia" w:ascii="宋体" w:hAnsi="宋体"/>
          <w:color w:val="000000" w:themeColor="text1"/>
          <w:sz w:val="21"/>
          <w:szCs w:val="21"/>
          <w:lang w:val="en-US" w:eastAsia="zh-CN"/>
          <w14:textFill>
            <w14:solidFill>
              <w14:schemeClr w14:val="tx1"/>
            </w14:solidFill>
          </w14:textFill>
        </w:rPr>
        <w:t>1</w:t>
      </w:r>
      <w:r>
        <w:rPr>
          <w:rFonts w:hint="eastAsia" w:ascii="宋体" w:hAnsi="宋体"/>
          <w:color w:val="000000" w:themeColor="text1"/>
          <w:sz w:val="21"/>
          <w:szCs w:val="21"/>
          <w14:textFill>
            <w14:solidFill>
              <w14:schemeClr w14:val="tx1"/>
            </w14:solidFill>
          </w14:textFill>
        </w:rPr>
        <w:t>.唱标信封内装（内容务必与投标文件正本一致）</w:t>
      </w:r>
      <w:bookmarkEnd w:id="305"/>
    </w:p>
    <w:p w14:paraId="19F53040">
      <w:pPr>
        <w:numPr>
          <w:ilvl w:val="0"/>
          <w:numId w:val="13"/>
        </w:numPr>
        <w:ind w:firstLineChars="20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开标一览表加盖公章；</w:t>
      </w:r>
    </w:p>
    <w:p w14:paraId="1AEB7C57">
      <w:pPr>
        <w:numPr>
          <w:ilvl w:val="0"/>
          <w:numId w:val="13"/>
        </w:numPr>
        <w:ind w:firstLineChars="20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法定代表人证明书加盖公章；</w:t>
      </w:r>
    </w:p>
    <w:p w14:paraId="441BB865">
      <w:pPr>
        <w:numPr>
          <w:ilvl w:val="0"/>
          <w:numId w:val="13"/>
        </w:numPr>
        <w:ind w:firstLineChars="20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法定代表人授权委托书加盖公章（法定代表人投标的除外）；</w:t>
      </w:r>
    </w:p>
    <w:p w14:paraId="3A277AE9">
      <w:pPr>
        <w:numPr>
          <w:ilvl w:val="0"/>
          <w:numId w:val="13"/>
        </w:numPr>
        <w:ind w:firstLineChars="20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投标保证金汇入情况说明（含银行汇款凭证）或投标保函加盖公章；</w:t>
      </w:r>
    </w:p>
    <w:p w14:paraId="30B6778C">
      <w:pPr>
        <w:numPr>
          <w:ilvl w:val="0"/>
          <w:numId w:val="13"/>
        </w:numPr>
        <w:ind w:firstLineChars="20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投标文件电子文件（U盘，须含盖章版PDF投标文件和WORD版投标文件各一版，文字采用WORD文档，计算表格采用 EXCEL文档。）</w:t>
      </w:r>
    </w:p>
    <w:p w14:paraId="4A246946">
      <w:pPr>
        <w:rPr>
          <w:rFonts w:ascii="宋体" w:hAnsi="宋体" w:cs="宋体"/>
          <w:color w:val="000000" w:themeColor="text1"/>
          <w:szCs w:val="21"/>
          <w14:textFill>
            <w14:solidFill>
              <w14:schemeClr w14:val="tx1"/>
            </w14:solidFill>
          </w14:textFill>
        </w:rPr>
      </w:pPr>
    </w:p>
    <w:p w14:paraId="70A8AC9C">
      <w:pPr>
        <w:pStyle w:val="11"/>
        <w:rPr>
          <w:color w:val="000000" w:themeColor="text1"/>
          <w14:textFill>
            <w14:solidFill>
              <w14:schemeClr w14:val="tx1"/>
            </w14:solidFill>
          </w14:textFill>
        </w:rPr>
      </w:pPr>
    </w:p>
    <w:sectPr>
      <w:pgSz w:w="11906" w:h="16838"/>
      <w:pgMar w:top="1440" w:right="1800" w:bottom="1440" w:left="1800" w:header="708" w:footer="708" w:gutter="0"/>
      <w:pgNumType w:fmt="decimal"/>
      <w:cols w:space="708" w:num="1"/>
      <w:titlePg/>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6CE45">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EDF78">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5DBFC0">
                          <w:pPr>
                            <w:pStyle w:val="1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25DBFC0">
                    <w:pPr>
                      <w:pStyle w:val="19"/>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C6E0F">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79FFF">
    <w:pPr>
      <w:pStyle w:val="1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AAF3D">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B5E941">
                          <w:pPr>
                            <w:pStyle w:val="1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2B5E941">
                    <w:pPr>
                      <w:pStyle w:val="1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D1D53">
    <w:pPr>
      <w:pStyle w:val="1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C7B205">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8C7B205">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19D4E">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D4995">
    <w:pPr>
      <w:pStyle w:val="20"/>
      <w:pBdr>
        <w:bottom w:val="none" w:color="auto" w:sz="0" w:space="1"/>
      </w:pBd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CC615">
    <w:pPr>
      <w:pStyle w:val="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B49DD">
    <w:pPr>
      <w:pStyle w:val="2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555E15"/>
    <w:multiLevelType w:val="singleLevel"/>
    <w:tmpl w:val="C9555E15"/>
    <w:lvl w:ilvl="0" w:tentative="0">
      <w:start w:val="1"/>
      <w:numFmt w:val="decimal"/>
      <w:lvlText w:val="(%1)"/>
      <w:lvlJc w:val="left"/>
      <w:pPr>
        <w:ind w:left="425" w:hanging="425"/>
      </w:pPr>
      <w:rPr>
        <w:rFonts w:hint="default"/>
      </w:rPr>
    </w:lvl>
  </w:abstractNum>
  <w:abstractNum w:abstractNumId="1">
    <w:nsid w:val="CFF174A5"/>
    <w:multiLevelType w:val="singleLevel"/>
    <w:tmpl w:val="CFF174A5"/>
    <w:lvl w:ilvl="0" w:tentative="0">
      <w:start w:val="1"/>
      <w:numFmt w:val="decimal"/>
      <w:suff w:val="nothing"/>
      <w:lvlText w:val="%1、"/>
      <w:lvlJc w:val="left"/>
    </w:lvl>
  </w:abstractNum>
  <w:abstractNum w:abstractNumId="2">
    <w:nsid w:val="D0047B7E"/>
    <w:multiLevelType w:val="singleLevel"/>
    <w:tmpl w:val="D0047B7E"/>
    <w:lvl w:ilvl="0" w:tentative="0">
      <w:start w:val="1"/>
      <w:numFmt w:val="decimal"/>
      <w:suff w:val="nothing"/>
      <w:lvlText w:val="%1、"/>
      <w:lvlJc w:val="left"/>
    </w:lvl>
  </w:abstractNum>
  <w:abstractNum w:abstractNumId="3">
    <w:nsid w:val="00000005"/>
    <w:multiLevelType w:val="multilevel"/>
    <w:tmpl w:val="00000005"/>
    <w:lvl w:ilvl="0" w:tentative="0">
      <w:start w:val="1"/>
      <w:numFmt w:val="decimal"/>
      <w:lvlText w:val="%1."/>
      <w:lvlJc w:val="left"/>
      <w:pPr>
        <w:tabs>
          <w:tab w:val="left" w:pos="0"/>
        </w:tabs>
        <w:ind w:left="0" w:firstLine="420"/>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25"/>
    <w:multiLevelType w:val="multilevel"/>
    <w:tmpl w:val="00000025"/>
    <w:lvl w:ilvl="0" w:tentative="0">
      <w:start w:val="1"/>
      <w:numFmt w:val="decimal"/>
      <w:lvlText w:val="%1"/>
      <w:lvlJc w:val="left"/>
      <w:pPr>
        <w:tabs>
          <w:tab w:val="left" w:pos="420"/>
        </w:tabs>
        <w:ind w:left="420" w:hanging="420"/>
      </w:pPr>
      <w:rPr>
        <w:rFonts w:hint="default"/>
        <w:u w:val="none"/>
      </w:rPr>
    </w:lvl>
    <w:lvl w:ilvl="1" w:tentative="0">
      <w:start w:val="1"/>
      <w:numFmt w:val="lowerLetter"/>
      <w:lvlText w:val="%2)"/>
      <w:lvlJc w:val="left"/>
      <w:pPr>
        <w:tabs>
          <w:tab w:val="left" w:pos="840"/>
        </w:tabs>
        <w:ind w:left="840" w:hanging="420"/>
      </w:pPr>
      <w:rPr>
        <w:rFonts w:hint="default"/>
        <w:u w:val="none"/>
      </w:rPr>
    </w:lvl>
    <w:lvl w:ilvl="2" w:tentative="0">
      <w:start w:val="1"/>
      <w:numFmt w:val="lowerRoman"/>
      <w:lvlText w:val="%3."/>
      <w:lvlJc w:val="right"/>
      <w:pPr>
        <w:tabs>
          <w:tab w:val="left" w:pos="1260"/>
        </w:tabs>
        <w:ind w:left="1260" w:hanging="420"/>
      </w:pPr>
      <w:rPr>
        <w:rFonts w:hint="default"/>
        <w:u w:val="none"/>
      </w:rPr>
    </w:lvl>
    <w:lvl w:ilvl="3" w:tentative="0">
      <w:start w:val="1"/>
      <w:numFmt w:val="decimal"/>
      <w:lvlText w:val="%4."/>
      <w:lvlJc w:val="left"/>
      <w:pPr>
        <w:tabs>
          <w:tab w:val="left" w:pos="1680"/>
        </w:tabs>
        <w:ind w:left="1680" w:hanging="420"/>
      </w:pPr>
      <w:rPr>
        <w:rFonts w:hint="default"/>
        <w:u w:val="none"/>
      </w:rPr>
    </w:lvl>
    <w:lvl w:ilvl="4" w:tentative="0">
      <w:start w:val="1"/>
      <w:numFmt w:val="lowerLetter"/>
      <w:lvlText w:val="%5)"/>
      <w:lvlJc w:val="left"/>
      <w:pPr>
        <w:tabs>
          <w:tab w:val="left" w:pos="2100"/>
        </w:tabs>
        <w:ind w:left="2100" w:hanging="420"/>
      </w:pPr>
      <w:rPr>
        <w:rFonts w:hint="default"/>
        <w:u w:val="none"/>
      </w:rPr>
    </w:lvl>
    <w:lvl w:ilvl="5" w:tentative="0">
      <w:start w:val="1"/>
      <w:numFmt w:val="lowerRoman"/>
      <w:lvlText w:val="%6."/>
      <w:lvlJc w:val="right"/>
      <w:pPr>
        <w:tabs>
          <w:tab w:val="left" w:pos="2520"/>
        </w:tabs>
        <w:ind w:left="2520" w:hanging="420"/>
      </w:pPr>
      <w:rPr>
        <w:rFonts w:hint="default"/>
        <w:u w:val="none"/>
      </w:rPr>
    </w:lvl>
    <w:lvl w:ilvl="6" w:tentative="0">
      <w:start w:val="1"/>
      <w:numFmt w:val="decimal"/>
      <w:lvlText w:val="%7."/>
      <w:lvlJc w:val="left"/>
      <w:pPr>
        <w:tabs>
          <w:tab w:val="left" w:pos="2940"/>
        </w:tabs>
        <w:ind w:left="2940" w:hanging="420"/>
      </w:pPr>
      <w:rPr>
        <w:rFonts w:hint="default"/>
        <w:u w:val="none"/>
      </w:rPr>
    </w:lvl>
    <w:lvl w:ilvl="7" w:tentative="0">
      <w:start w:val="1"/>
      <w:numFmt w:val="lowerLetter"/>
      <w:lvlText w:val="%8)"/>
      <w:lvlJc w:val="left"/>
      <w:pPr>
        <w:tabs>
          <w:tab w:val="left" w:pos="3360"/>
        </w:tabs>
        <w:ind w:left="3360" w:hanging="420"/>
      </w:pPr>
      <w:rPr>
        <w:rFonts w:hint="default"/>
        <w:u w:val="none"/>
      </w:rPr>
    </w:lvl>
    <w:lvl w:ilvl="8" w:tentative="0">
      <w:start w:val="1"/>
      <w:numFmt w:val="lowerRoman"/>
      <w:lvlText w:val="%9."/>
      <w:lvlJc w:val="right"/>
      <w:pPr>
        <w:tabs>
          <w:tab w:val="left" w:pos="3780"/>
        </w:tabs>
        <w:ind w:left="3780" w:hanging="420"/>
      </w:pPr>
      <w:rPr>
        <w:rFonts w:hint="default"/>
        <w:u w:val="none"/>
      </w:rPr>
    </w:lvl>
  </w:abstractNum>
  <w:abstractNum w:abstractNumId="5">
    <w:nsid w:val="13387DFE"/>
    <w:multiLevelType w:val="multilevel"/>
    <w:tmpl w:val="13387DFE"/>
    <w:lvl w:ilvl="0" w:tentative="0">
      <w:start w:val="1"/>
      <w:numFmt w:val="decimal"/>
      <w:lvlText w:val="%1."/>
      <w:lvlJc w:val="left"/>
      <w:pPr>
        <w:tabs>
          <w:tab w:val="left" w:pos="425"/>
        </w:tabs>
        <w:ind w:left="425" w:hanging="425"/>
      </w:pPr>
      <w:rPr>
        <w:rFonts w:hint="eastAsia" w:ascii="宋体" w:hAnsi="宋体" w:eastAsia="宋体"/>
      </w:rPr>
    </w:lvl>
    <w:lvl w:ilvl="1" w:tentative="0">
      <w:start w:val="1"/>
      <w:numFmt w:val="decimal"/>
      <w:lvlText w:val="%1.%2."/>
      <w:lvlJc w:val="left"/>
      <w:pPr>
        <w:tabs>
          <w:tab w:val="left" w:pos="567"/>
        </w:tabs>
        <w:ind w:left="567" w:hanging="567"/>
      </w:pPr>
      <w:rPr>
        <w:rFonts w:hint="eastAsia" w:ascii="宋体" w:hAnsi="宋体" w:eastAsia="宋体"/>
        <w:color w:val="auto"/>
      </w:rPr>
    </w:lvl>
    <w:lvl w:ilvl="2" w:tentative="0">
      <w:start w:val="1"/>
      <w:numFmt w:val="decimal"/>
      <w:lvlText w:val="%1.%2.%3."/>
      <w:lvlJc w:val="left"/>
      <w:pPr>
        <w:tabs>
          <w:tab w:val="left" w:pos="794"/>
        </w:tabs>
        <w:ind w:left="794" w:hanging="794"/>
      </w:pPr>
      <w:rPr>
        <w:rFonts w:hint="eastAsia" w:ascii="宋体" w:hAnsi="宋体" w:eastAsia="宋体"/>
      </w:rPr>
    </w:lvl>
    <w:lvl w:ilvl="3" w:tentative="0">
      <w:start w:val="1"/>
      <w:numFmt w:val="decimal"/>
      <w:lvlText w:val="%1.%2.%3.%4."/>
      <w:lvlJc w:val="left"/>
      <w:pPr>
        <w:tabs>
          <w:tab w:val="left" w:pos="454"/>
        </w:tabs>
        <w:ind w:left="1021" w:hanging="1021"/>
      </w:pPr>
      <w:rPr>
        <w:rFonts w:hint="eastAsia" w:ascii="宋体" w:hAnsi="宋体" w:eastAsia="宋体"/>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
    <w:nsid w:val="20D2348B"/>
    <w:multiLevelType w:val="singleLevel"/>
    <w:tmpl w:val="20D2348B"/>
    <w:lvl w:ilvl="0" w:tentative="0">
      <w:start w:val="1"/>
      <w:numFmt w:val="chineseCounting"/>
      <w:suff w:val="nothing"/>
      <w:lvlText w:val="（%1）"/>
      <w:lvlJc w:val="left"/>
      <w:rPr>
        <w:rFonts w:hint="eastAsia"/>
      </w:rPr>
    </w:lvl>
  </w:abstractNum>
  <w:abstractNum w:abstractNumId="7">
    <w:nsid w:val="3F88662E"/>
    <w:multiLevelType w:val="singleLevel"/>
    <w:tmpl w:val="3F88662E"/>
    <w:lvl w:ilvl="0" w:tentative="0">
      <w:start w:val="1"/>
      <w:numFmt w:val="decimal"/>
      <w:suff w:val="space"/>
      <w:lvlText w:val="%1)"/>
      <w:lvlJc w:val="left"/>
    </w:lvl>
  </w:abstractNum>
  <w:abstractNum w:abstractNumId="8">
    <w:nsid w:val="580745EB"/>
    <w:multiLevelType w:val="multilevel"/>
    <w:tmpl w:val="580745E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9C5D728"/>
    <w:multiLevelType w:val="singleLevel"/>
    <w:tmpl w:val="59C5D728"/>
    <w:lvl w:ilvl="0" w:tentative="0">
      <w:start w:val="1"/>
      <w:numFmt w:val="chineseCounting"/>
      <w:suff w:val="nothing"/>
      <w:lvlText w:val="%1、"/>
      <w:lvlJc w:val="left"/>
      <w:pPr>
        <w:ind w:left="0" w:firstLine="420"/>
      </w:pPr>
      <w:rPr>
        <w:rFonts w:hint="eastAsia"/>
      </w:rPr>
    </w:lvl>
  </w:abstractNum>
  <w:abstractNum w:abstractNumId="10">
    <w:nsid w:val="5C183DB0"/>
    <w:multiLevelType w:val="multilevel"/>
    <w:tmpl w:val="5C183DB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D1539A1"/>
    <w:multiLevelType w:val="multilevel"/>
    <w:tmpl w:val="5D1539A1"/>
    <w:lvl w:ilvl="0" w:tentative="0">
      <w:start w:val="1"/>
      <w:numFmt w:val="decimal"/>
      <w:lvlText w:val="（%1）"/>
      <w:lvlJc w:val="left"/>
      <w:pPr>
        <w:ind w:left="1287" w:hanging="72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2">
    <w:nsid w:val="7B12042B"/>
    <w:multiLevelType w:val="singleLevel"/>
    <w:tmpl w:val="7B12042B"/>
    <w:lvl w:ilvl="0" w:tentative="0">
      <w:start w:val="1"/>
      <w:numFmt w:val="bullet"/>
      <w:pStyle w:val="9"/>
      <w:lvlText w:val=""/>
      <w:lvlJc w:val="left"/>
      <w:pPr>
        <w:tabs>
          <w:tab w:val="left" w:pos="360"/>
        </w:tabs>
        <w:ind w:left="360" w:hanging="360"/>
      </w:pPr>
      <w:rPr>
        <w:rFonts w:hint="default" w:ascii="Wingdings" w:hAnsi="Wingdings"/>
      </w:rPr>
    </w:lvl>
  </w:abstractNum>
  <w:num w:numId="1">
    <w:abstractNumId w:val="12"/>
  </w:num>
  <w:num w:numId="2">
    <w:abstractNumId w:val="8"/>
  </w:num>
  <w:num w:numId="3">
    <w:abstractNumId w:val="11"/>
  </w:num>
  <w:num w:numId="4">
    <w:abstractNumId w:val="7"/>
  </w:num>
  <w:num w:numId="5">
    <w:abstractNumId w:val="4"/>
  </w:num>
  <w:num w:numId="6">
    <w:abstractNumId w:val="0"/>
  </w:num>
  <w:num w:numId="7">
    <w:abstractNumId w:val="5"/>
  </w:num>
  <w:num w:numId="8">
    <w:abstractNumId w:val="1"/>
  </w:num>
  <w:num w:numId="9">
    <w:abstractNumId w:val="3"/>
  </w:num>
  <w:num w:numId="10">
    <w:abstractNumId w:val="6"/>
  </w:num>
  <w:num w:numId="11">
    <w:abstractNumId w:val="2"/>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720"/>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kMDhhZTExNjFiYTBkZmI2NzQwMzM2MTQ2YTBhMTYifQ=="/>
  </w:docVars>
  <w:rsids>
    <w:rsidRoot w:val="00172A27"/>
    <w:rsid w:val="00005A66"/>
    <w:rsid w:val="00006462"/>
    <w:rsid w:val="000300E4"/>
    <w:rsid w:val="0003307E"/>
    <w:rsid w:val="000336BA"/>
    <w:rsid w:val="000359A1"/>
    <w:rsid w:val="0005185D"/>
    <w:rsid w:val="0007500F"/>
    <w:rsid w:val="0008282E"/>
    <w:rsid w:val="00084F6D"/>
    <w:rsid w:val="00093A13"/>
    <w:rsid w:val="000A363F"/>
    <w:rsid w:val="000A42A8"/>
    <w:rsid w:val="000A5063"/>
    <w:rsid w:val="000A5DBD"/>
    <w:rsid w:val="000C4524"/>
    <w:rsid w:val="000D44A6"/>
    <w:rsid w:val="000E2CB7"/>
    <w:rsid w:val="000F0E98"/>
    <w:rsid w:val="000F1444"/>
    <w:rsid w:val="001049A5"/>
    <w:rsid w:val="001120E0"/>
    <w:rsid w:val="00121ADA"/>
    <w:rsid w:val="001242F3"/>
    <w:rsid w:val="001332BB"/>
    <w:rsid w:val="00134CAD"/>
    <w:rsid w:val="001368B7"/>
    <w:rsid w:val="0013730B"/>
    <w:rsid w:val="00137853"/>
    <w:rsid w:val="00137E1C"/>
    <w:rsid w:val="00147012"/>
    <w:rsid w:val="00172A27"/>
    <w:rsid w:val="00173126"/>
    <w:rsid w:val="00173905"/>
    <w:rsid w:val="00173E04"/>
    <w:rsid w:val="00175D29"/>
    <w:rsid w:val="001833A1"/>
    <w:rsid w:val="001844F4"/>
    <w:rsid w:val="00185039"/>
    <w:rsid w:val="001852D7"/>
    <w:rsid w:val="001A06D8"/>
    <w:rsid w:val="001A2D42"/>
    <w:rsid w:val="001A2EF7"/>
    <w:rsid w:val="001B1F14"/>
    <w:rsid w:val="001B41CF"/>
    <w:rsid w:val="001B5860"/>
    <w:rsid w:val="001C1135"/>
    <w:rsid w:val="001C15AE"/>
    <w:rsid w:val="001C4661"/>
    <w:rsid w:val="001C5689"/>
    <w:rsid w:val="001C6E4B"/>
    <w:rsid w:val="001F0070"/>
    <w:rsid w:val="001F4B02"/>
    <w:rsid w:val="001F6BC7"/>
    <w:rsid w:val="002065A7"/>
    <w:rsid w:val="0021149E"/>
    <w:rsid w:val="00213021"/>
    <w:rsid w:val="00216BE9"/>
    <w:rsid w:val="00221E7A"/>
    <w:rsid w:val="0022503E"/>
    <w:rsid w:val="00225BB4"/>
    <w:rsid w:val="00226313"/>
    <w:rsid w:val="002373BB"/>
    <w:rsid w:val="00240F5F"/>
    <w:rsid w:val="00247224"/>
    <w:rsid w:val="00247AE0"/>
    <w:rsid w:val="00260AC1"/>
    <w:rsid w:val="0026312D"/>
    <w:rsid w:val="0027078E"/>
    <w:rsid w:val="0028395F"/>
    <w:rsid w:val="00284156"/>
    <w:rsid w:val="00285643"/>
    <w:rsid w:val="002867A1"/>
    <w:rsid w:val="002901F8"/>
    <w:rsid w:val="002920A4"/>
    <w:rsid w:val="002B4087"/>
    <w:rsid w:val="002B5F6C"/>
    <w:rsid w:val="002C6C78"/>
    <w:rsid w:val="002D1594"/>
    <w:rsid w:val="002D3F9C"/>
    <w:rsid w:val="002D503C"/>
    <w:rsid w:val="002D7E27"/>
    <w:rsid w:val="002E17E5"/>
    <w:rsid w:val="002E6B7E"/>
    <w:rsid w:val="002F0FC9"/>
    <w:rsid w:val="0030669E"/>
    <w:rsid w:val="003101A3"/>
    <w:rsid w:val="00320CEA"/>
    <w:rsid w:val="00323B43"/>
    <w:rsid w:val="00326831"/>
    <w:rsid w:val="003274CE"/>
    <w:rsid w:val="003361E9"/>
    <w:rsid w:val="003430F6"/>
    <w:rsid w:val="00353842"/>
    <w:rsid w:val="0035595E"/>
    <w:rsid w:val="00381C26"/>
    <w:rsid w:val="0038564C"/>
    <w:rsid w:val="00387CE4"/>
    <w:rsid w:val="00393B1D"/>
    <w:rsid w:val="003A1D97"/>
    <w:rsid w:val="003C18EB"/>
    <w:rsid w:val="003C1E4E"/>
    <w:rsid w:val="003C32D3"/>
    <w:rsid w:val="003C3B19"/>
    <w:rsid w:val="003C412B"/>
    <w:rsid w:val="003C415C"/>
    <w:rsid w:val="003D36FB"/>
    <w:rsid w:val="003D37D8"/>
    <w:rsid w:val="003E0802"/>
    <w:rsid w:val="003E18E7"/>
    <w:rsid w:val="003E2B8C"/>
    <w:rsid w:val="003F46B4"/>
    <w:rsid w:val="003F4822"/>
    <w:rsid w:val="00401C64"/>
    <w:rsid w:val="00401CC0"/>
    <w:rsid w:val="00410AB5"/>
    <w:rsid w:val="00410F11"/>
    <w:rsid w:val="00411067"/>
    <w:rsid w:val="004203B9"/>
    <w:rsid w:val="004322A2"/>
    <w:rsid w:val="004358AB"/>
    <w:rsid w:val="00451EB4"/>
    <w:rsid w:val="00460B31"/>
    <w:rsid w:val="00462105"/>
    <w:rsid w:val="00475A80"/>
    <w:rsid w:val="00475BB4"/>
    <w:rsid w:val="00490B9E"/>
    <w:rsid w:val="00497577"/>
    <w:rsid w:val="004A05D7"/>
    <w:rsid w:val="004A2B28"/>
    <w:rsid w:val="004A69F1"/>
    <w:rsid w:val="004B3550"/>
    <w:rsid w:val="004B3F06"/>
    <w:rsid w:val="004C7FD6"/>
    <w:rsid w:val="004D08C0"/>
    <w:rsid w:val="004D1669"/>
    <w:rsid w:val="004D1736"/>
    <w:rsid w:val="004D51A2"/>
    <w:rsid w:val="004D5AFB"/>
    <w:rsid w:val="004E04FD"/>
    <w:rsid w:val="004F1BB7"/>
    <w:rsid w:val="0050759C"/>
    <w:rsid w:val="00510827"/>
    <w:rsid w:val="005267F1"/>
    <w:rsid w:val="005269A9"/>
    <w:rsid w:val="00532034"/>
    <w:rsid w:val="00545D9A"/>
    <w:rsid w:val="00546A42"/>
    <w:rsid w:val="0055408D"/>
    <w:rsid w:val="0057492D"/>
    <w:rsid w:val="0058523E"/>
    <w:rsid w:val="00590819"/>
    <w:rsid w:val="00593D68"/>
    <w:rsid w:val="005A208B"/>
    <w:rsid w:val="005A555E"/>
    <w:rsid w:val="005A7612"/>
    <w:rsid w:val="005B58A6"/>
    <w:rsid w:val="005C57E1"/>
    <w:rsid w:val="005C702E"/>
    <w:rsid w:val="005D01B8"/>
    <w:rsid w:val="005D066B"/>
    <w:rsid w:val="005D2D85"/>
    <w:rsid w:val="005D52E7"/>
    <w:rsid w:val="005F021D"/>
    <w:rsid w:val="005F20A4"/>
    <w:rsid w:val="005F4EAE"/>
    <w:rsid w:val="005F573A"/>
    <w:rsid w:val="005F660B"/>
    <w:rsid w:val="005F7EB1"/>
    <w:rsid w:val="00604B81"/>
    <w:rsid w:val="0061246F"/>
    <w:rsid w:val="00613417"/>
    <w:rsid w:val="00613B25"/>
    <w:rsid w:val="0061545F"/>
    <w:rsid w:val="006175DE"/>
    <w:rsid w:val="006215AC"/>
    <w:rsid w:val="00621821"/>
    <w:rsid w:val="00622362"/>
    <w:rsid w:val="00622497"/>
    <w:rsid w:val="006276AD"/>
    <w:rsid w:val="006347A6"/>
    <w:rsid w:val="006378D4"/>
    <w:rsid w:val="00641E8C"/>
    <w:rsid w:val="0064416A"/>
    <w:rsid w:val="006476E3"/>
    <w:rsid w:val="00650DDC"/>
    <w:rsid w:val="00652983"/>
    <w:rsid w:val="0065365D"/>
    <w:rsid w:val="006546D0"/>
    <w:rsid w:val="006576FD"/>
    <w:rsid w:val="00664F6B"/>
    <w:rsid w:val="006731D2"/>
    <w:rsid w:val="00680EB0"/>
    <w:rsid w:val="00682986"/>
    <w:rsid w:val="00691701"/>
    <w:rsid w:val="00691AE0"/>
    <w:rsid w:val="0069491E"/>
    <w:rsid w:val="006B004E"/>
    <w:rsid w:val="006B3E6C"/>
    <w:rsid w:val="006B4832"/>
    <w:rsid w:val="006B7878"/>
    <w:rsid w:val="006C14BD"/>
    <w:rsid w:val="006C28E5"/>
    <w:rsid w:val="006C67A9"/>
    <w:rsid w:val="006D393E"/>
    <w:rsid w:val="006D43C5"/>
    <w:rsid w:val="006D4AD8"/>
    <w:rsid w:val="006E0B58"/>
    <w:rsid w:val="006E0C4B"/>
    <w:rsid w:val="00704F7B"/>
    <w:rsid w:val="007110BA"/>
    <w:rsid w:val="00711465"/>
    <w:rsid w:val="00716E96"/>
    <w:rsid w:val="00723B11"/>
    <w:rsid w:val="007343A7"/>
    <w:rsid w:val="00734BB2"/>
    <w:rsid w:val="00737823"/>
    <w:rsid w:val="0075028E"/>
    <w:rsid w:val="007528A6"/>
    <w:rsid w:val="007608B9"/>
    <w:rsid w:val="007724B4"/>
    <w:rsid w:val="0077462B"/>
    <w:rsid w:val="007902ED"/>
    <w:rsid w:val="007916E7"/>
    <w:rsid w:val="00797C5D"/>
    <w:rsid w:val="00797D2F"/>
    <w:rsid w:val="007A34B9"/>
    <w:rsid w:val="007A3EF1"/>
    <w:rsid w:val="007A4DB3"/>
    <w:rsid w:val="007A6F47"/>
    <w:rsid w:val="007A7779"/>
    <w:rsid w:val="007C4F46"/>
    <w:rsid w:val="007C7297"/>
    <w:rsid w:val="007D1B4F"/>
    <w:rsid w:val="007D2F9E"/>
    <w:rsid w:val="007D3175"/>
    <w:rsid w:val="007D48BF"/>
    <w:rsid w:val="007D5C45"/>
    <w:rsid w:val="007E2543"/>
    <w:rsid w:val="007E4A26"/>
    <w:rsid w:val="007E7A17"/>
    <w:rsid w:val="007F01B0"/>
    <w:rsid w:val="007F259D"/>
    <w:rsid w:val="007F2CD8"/>
    <w:rsid w:val="007F4DC5"/>
    <w:rsid w:val="00806380"/>
    <w:rsid w:val="0081104F"/>
    <w:rsid w:val="0081319A"/>
    <w:rsid w:val="00822299"/>
    <w:rsid w:val="0083486A"/>
    <w:rsid w:val="00837E35"/>
    <w:rsid w:val="00841378"/>
    <w:rsid w:val="00842B87"/>
    <w:rsid w:val="00845BEB"/>
    <w:rsid w:val="008472E6"/>
    <w:rsid w:val="008518B4"/>
    <w:rsid w:val="00853463"/>
    <w:rsid w:val="008548BD"/>
    <w:rsid w:val="0086026F"/>
    <w:rsid w:val="008640F5"/>
    <w:rsid w:val="0087704E"/>
    <w:rsid w:val="008907DA"/>
    <w:rsid w:val="008A0587"/>
    <w:rsid w:val="008A7273"/>
    <w:rsid w:val="008B55B9"/>
    <w:rsid w:val="008B7726"/>
    <w:rsid w:val="008C05BA"/>
    <w:rsid w:val="008D429E"/>
    <w:rsid w:val="008D5A10"/>
    <w:rsid w:val="008E319F"/>
    <w:rsid w:val="008E619C"/>
    <w:rsid w:val="008F6E0E"/>
    <w:rsid w:val="00906F49"/>
    <w:rsid w:val="00907417"/>
    <w:rsid w:val="00914604"/>
    <w:rsid w:val="00916A34"/>
    <w:rsid w:val="0092092D"/>
    <w:rsid w:val="00923533"/>
    <w:rsid w:val="00930A38"/>
    <w:rsid w:val="00934170"/>
    <w:rsid w:val="00942948"/>
    <w:rsid w:val="009474B5"/>
    <w:rsid w:val="00953E98"/>
    <w:rsid w:val="00960F22"/>
    <w:rsid w:val="00972D86"/>
    <w:rsid w:val="009736BF"/>
    <w:rsid w:val="0097392B"/>
    <w:rsid w:val="00976066"/>
    <w:rsid w:val="00980A66"/>
    <w:rsid w:val="009904F7"/>
    <w:rsid w:val="009910F6"/>
    <w:rsid w:val="009A07B1"/>
    <w:rsid w:val="009A6B4A"/>
    <w:rsid w:val="009A7058"/>
    <w:rsid w:val="009C19DE"/>
    <w:rsid w:val="009C23A6"/>
    <w:rsid w:val="009C5206"/>
    <w:rsid w:val="009C6AD9"/>
    <w:rsid w:val="009E398C"/>
    <w:rsid w:val="009E6F05"/>
    <w:rsid w:val="009F644E"/>
    <w:rsid w:val="009F6A05"/>
    <w:rsid w:val="00A01BE2"/>
    <w:rsid w:val="00A10906"/>
    <w:rsid w:val="00A12E66"/>
    <w:rsid w:val="00A13E78"/>
    <w:rsid w:val="00A14EEF"/>
    <w:rsid w:val="00A23304"/>
    <w:rsid w:val="00A275C2"/>
    <w:rsid w:val="00A3295D"/>
    <w:rsid w:val="00A4012F"/>
    <w:rsid w:val="00A4190E"/>
    <w:rsid w:val="00A42E91"/>
    <w:rsid w:val="00A50383"/>
    <w:rsid w:val="00A61230"/>
    <w:rsid w:val="00A668C8"/>
    <w:rsid w:val="00A74ED3"/>
    <w:rsid w:val="00A813C5"/>
    <w:rsid w:val="00A824E6"/>
    <w:rsid w:val="00A832CD"/>
    <w:rsid w:val="00A858DC"/>
    <w:rsid w:val="00A94D14"/>
    <w:rsid w:val="00AA0EAD"/>
    <w:rsid w:val="00AB19CE"/>
    <w:rsid w:val="00AB2133"/>
    <w:rsid w:val="00AB3969"/>
    <w:rsid w:val="00AC0E7A"/>
    <w:rsid w:val="00AC187B"/>
    <w:rsid w:val="00AE310E"/>
    <w:rsid w:val="00AE4FC5"/>
    <w:rsid w:val="00AF1B1B"/>
    <w:rsid w:val="00AF5F1F"/>
    <w:rsid w:val="00B027A4"/>
    <w:rsid w:val="00B04202"/>
    <w:rsid w:val="00B236B3"/>
    <w:rsid w:val="00B26806"/>
    <w:rsid w:val="00B31B24"/>
    <w:rsid w:val="00B4287F"/>
    <w:rsid w:val="00B4315F"/>
    <w:rsid w:val="00B43306"/>
    <w:rsid w:val="00B60DAB"/>
    <w:rsid w:val="00B61CB1"/>
    <w:rsid w:val="00B63189"/>
    <w:rsid w:val="00B67B5C"/>
    <w:rsid w:val="00B7194E"/>
    <w:rsid w:val="00B73575"/>
    <w:rsid w:val="00B7380A"/>
    <w:rsid w:val="00B763B0"/>
    <w:rsid w:val="00B91005"/>
    <w:rsid w:val="00B92951"/>
    <w:rsid w:val="00B93045"/>
    <w:rsid w:val="00B93169"/>
    <w:rsid w:val="00B950B6"/>
    <w:rsid w:val="00BA4130"/>
    <w:rsid w:val="00BB2CAF"/>
    <w:rsid w:val="00BB79B5"/>
    <w:rsid w:val="00BC3E74"/>
    <w:rsid w:val="00BD630F"/>
    <w:rsid w:val="00BD7C1B"/>
    <w:rsid w:val="00BE0825"/>
    <w:rsid w:val="00BE2EE6"/>
    <w:rsid w:val="00BF17FD"/>
    <w:rsid w:val="00BF2820"/>
    <w:rsid w:val="00BF41D4"/>
    <w:rsid w:val="00BF5AFB"/>
    <w:rsid w:val="00C16734"/>
    <w:rsid w:val="00C17B47"/>
    <w:rsid w:val="00C25C77"/>
    <w:rsid w:val="00C303E7"/>
    <w:rsid w:val="00C319C2"/>
    <w:rsid w:val="00C53CE5"/>
    <w:rsid w:val="00C612F8"/>
    <w:rsid w:val="00C62E44"/>
    <w:rsid w:val="00C63BD8"/>
    <w:rsid w:val="00C65954"/>
    <w:rsid w:val="00C7126B"/>
    <w:rsid w:val="00C72C24"/>
    <w:rsid w:val="00C73468"/>
    <w:rsid w:val="00C74986"/>
    <w:rsid w:val="00C80EC4"/>
    <w:rsid w:val="00C8568E"/>
    <w:rsid w:val="00CA32B5"/>
    <w:rsid w:val="00CB57AD"/>
    <w:rsid w:val="00CC009D"/>
    <w:rsid w:val="00CC584A"/>
    <w:rsid w:val="00CC5E4E"/>
    <w:rsid w:val="00CD0EAB"/>
    <w:rsid w:val="00CE2AF3"/>
    <w:rsid w:val="00CE621D"/>
    <w:rsid w:val="00CE66E8"/>
    <w:rsid w:val="00D05388"/>
    <w:rsid w:val="00D114CD"/>
    <w:rsid w:val="00D14476"/>
    <w:rsid w:val="00D232FF"/>
    <w:rsid w:val="00D279AA"/>
    <w:rsid w:val="00D31215"/>
    <w:rsid w:val="00D34544"/>
    <w:rsid w:val="00D34841"/>
    <w:rsid w:val="00D4444E"/>
    <w:rsid w:val="00D44A97"/>
    <w:rsid w:val="00D45C0C"/>
    <w:rsid w:val="00D508A5"/>
    <w:rsid w:val="00D5104B"/>
    <w:rsid w:val="00D555D8"/>
    <w:rsid w:val="00D60778"/>
    <w:rsid w:val="00D63EB2"/>
    <w:rsid w:val="00D64D28"/>
    <w:rsid w:val="00D6604D"/>
    <w:rsid w:val="00D677F1"/>
    <w:rsid w:val="00D74601"/>
    <w:rsid w:val="00D83E46"/>
    <w:rsid w:val="00D847B6"/>
    <w:rsid w:val="00D93958"/>
    <w:rsid w:val="00D951D3"/>
    <w:rsid w:val="00DA1DB9"/>
    <w:rsid w:val="00DA6169"/>
    <w:rsid w:val="00DA7B28"/>
    <w:rsid w:val="00DB5480"/>
    <w:rsid w:val="00DB6317"/>
    <w:rsid w:val="00DC2FC5"/>
    <w:rsid w:val="00DC5AD9"/>
    <w:rsid w:val="00DC691F"/>
    <w:rsid w:val="00DD02DE"/>
    <w:rsid w:val="00DD07B7"/>
    <w:rsid w:val="00DD113C"/>
    <w:rsid w:val="00DD324C"/>
    <w:rsid w:val="00DE0BEB"/>
    <w:rsid w:val="00DE4856"/>
    <w:rsid w:val="00DF485B"/>
    <w:rsid w:val="00E0295D"/>
    <w:rsid w:val="00E042BC"/>
    <w:rsid w:val="00E132FE"/>
    <w:rsid w:val="00E21B77"/>
    <w:rsid w:val="00E23352"/>
    <w:rsid w:val="00E40CAD"/>
    <w:rsid w:val="00E40DC7"/>
    <w:rsid w:val="00E4215F"/>
    <w:rsid w:val="00E61D2E"/>
    <w:rsid w:val="00E62B7F"/>
    <w:rsid w:val="00E7066D"/>
    <w:rsid w:val="00E726BC"/>
    <w:rsid w:val="00E72821"/>
    <w:rsid w:val="00E75C82"/>
    <w:rsid w:val="00E81DDC"/>
    <w:rsid w:val="00E81F67"/>
    <w:rsid w:val="00E83650"/>
    <w:rsid w:val="00E83A31"/>
    <w:rsid w:val="00E93BF5"/>
    <w:rsid w:val="00E97CC0"/>
    <w:rsid w:val="00EA22B8"/>
    <w:rsid w:val="00EA2524"/>
    <w:rsid w:val="00EA33E7"/>
    <w:rsid w:val="00EC092D"/>
    <w:rsid w:val="00EC0DF8"/>
    <w:rsid w:val="00EC7F91"/>
    <w:rsid w:val="00ED378B"/>
    <w:rsid w:val="00EE08F9"/>
    <w:rsid w:val="00EE70B3"/>
    <w:rsid w:val="00EF24AA"/>
    <w:rsid w:val="00EF728A"/>
    <w:rsid w:val="00EF7D0D"/>
    <w:rsid w:val="00F00FF7"/>
    <w:rsid w:val="00F02093"/>
    <w:rsid w:val="00F068E3"/>
    <w:rsid w:val="00F10B5F"/>
    <w:rsid w:val="00F218C1"/>
    <w:rsid w:val="00F321EB"/>
    <w:rsid w:val="00F32B00"/>
    <w:rsid w:val="00F346CF"/>
    <w:rsid w:val="00F3610C"/>
    <w:rsid w:val="00F36839"/>
    <w:rsid w:val="00F52A5F"/>
    <w:rsid w:val="00F55954"/>
    <w:rsid w:val="00F57308"/>
    <w:rsid w:val="00F61962"/>
    <w:rsid w:val="00F62865"/>
    <w:rsid w:val="00F64022"/>
    <w:rsid w:val="00F64660"/>
    <w:rsid w:val="00F74FF3"/>
    <w:rsid w:val="00F97062"/>
    <w:rsid w:val="00F9745D"/>
    <w:rsid w:val="00FA07A9"/>
    <w:rsid w:val="00FA54B2"/>
    <w:rsid w:val="00FC0FCB"/>
    <w:rsid w:val="00FC529F"/>
    <w:rsid w:val="00FC66E1"/>
    <w:rsid w:val="00FC7B53"/>
    <w:rsid w:val="00FD48CC"/>
    <w:rsid w:val="00FE62D1"/>
    <w:rsid w:val="00FE7B94"/>
    <w:rsid w:val="00FF0736"/>
    <w:rsid w:val="00FF2515"/>
    <w:rsid w:val="00FF26BF"/>
    <w:rsid w:val="010A2CBD"/>
    <w:rsid w:val="013C51B0"/>
    <w:rsid w:val="01651C23"/>
    <w:rsid w:val="018023CE"/>
    <w:rsid w:val="01881AD6"/>
    <w:rsid w:val="019127B6"/>
    <w:rsid w:val="01B71A01"/>
    <w:rsid w:val="01DC03CE"/>
    <w:rsid w:val="01E36F4E"/>
    <w:rsid w:val="0208150E"/>
    <w:rsid w:val="02287D63"/>
    <w:rsid w:val="024179E7"/>
    <w:rsid w:val="0246437B"/>
    <w:rsid w:val="02985CD5"/>
    <w:rsid w:val="02A741FD"/>
    <w:rsid w:val="02C16E5D"/>
    <w:rsid w:val="02D964CF"/>
    <w:rsid w:val="02DE5ECF"/>
    <w:rsid w:val="032E6AB8"/>
    <w:rsid w:val="03707410"/>
    <w:rsid w:val="039170C0"/>
    <w:rsid w:val="039240A3"/>
    <w:rsid w:val="03A0770F"/>
    <w:rsid w:val="03A27726"/>
    <w:rsid w:val="03A448B8"/>
    <w:rsid w:val="03B34A78"/>
    <w:rsid w:val="03C01631"/>
    <w:rsid w:val="03C656A9"/>
    <w:rsid w:val="03F33148"/>
    <w:rsid w:val="042F3419"/>
    <w:rsid w:val="04491596"/>
    <w:rsid w:val="047B4012"/>
    <w:rsid w:val="04822497"/>
    <w:rsid w:val="04974587"/>
    <w:rsid w:val="049A0C65"/>
    <w:rsid w:val="04A07C4B"/>
    <w:rsid w:val="04DF1036"/>
    <w:rsid w:val="04E24985"/>
    <w:rsid w:val="050C01DF"/>
    <w:rsid w:val="05316537"/>
    <w:rsid w:val="053A5A77"/>
    <w:rsid w:val="0599183C"/>
    <w:rsid w:val="05A97DEC"/>
    <w:rsid w:val="05B23978"/>
    <w:rsid w:val="05C81981"/>
    <w:rsid w:val="05FC20B9"/>
    <w:rsid w:val="060043AE"/>
    <w:rsid w:val="060C3203"/>
    <w:rsid w:val="06281344"/>
    <w:rsid w:val="062D4EC8"/>
    <w:rsid w:val="069B4E4A"/>
    <w:rsid w:val="06A26008"/>
    <w:rsid w:val="06BC41F2"/>
    <w:rsid w:val="06F415CC"/>
    <w:rsid w:val="070E26CD"/>
    <w:rsid w:val="07197D08"/>
    <w:rsid w:val="071E5C55"/>
    <w:rsid w:val="07222BC4"/>
    <w:rsid w:val="075C1FE5"/>
    <w:rsid w:val="077005AB"/>
    <w:rsid w:val="078F4581"/>
    <w:rsid w:val="07A715F3"/>
    <w:rsid w:val="07BF027F"/>
    <w:rsid w:val="07F06C60"/>
    <w:rsid w:val="08031A31"/>
    <w:rsid w:val="080E2872"/>
    <w:rsid w:val="08420CAE"/>
    <w:rsid w:val="089A5AE8"/>
    <w:rsid w:val="09061A75"/>
    <w:rsid w:val="09182241"/>
    <w:rsid w:val="09325D4D"/>
    <w:rsid w:val="095F1030"/>
    <w:rsid w:val="09855177"/>
    <w:rsid w:val="09A17D47"/>
    <w:rsid w:val="09EE5125"/>
    <w:rsid w:val="0A3D7585"/>
    <w:rsid w:val="0A462748"/>
    <w:rsid w:val="0A4D0C81"/>
    <w:rsid w:val="0A723E95"/>
    <w:rsid w:val="0A733243"/>
    <w:rsid w:val="0AA534D5"/>
    <w:rsid w:val="0AA650EB"/>
    <w:rsid w:val="0AA7129C"/>
    <w:rsid w:val="0AF47339"/>
    <w:rsid w:val="0B121934"/>
    <w:rsid w:val="0B1F4D52"/>
    <w:rsid w:val="0B22594B"/>
    <w:rsid w:val="0B27506F"/>
    <w:rsid w:val="0B3061AD"/>
    <w:rsid w:val="0B9610F4"/>
    <w:rsid w:val="0BBF77A4"/>
    <w:rsid w:val="0BD16C8D"/>
    <w:rsid w:val="0BDF26F7"/>
    <w:rsid w:val="0C027DB2"/>
    <w:rsid w:val="0C2B4952"/>
    <w:rsid w:val="0C516C55"/>
    <w:rsid w:val="0C5D161C"/>
    <w:rsid w:val="0C7B2220"/>
    <w:rsid w:val="0CB67D83"/>
    <w:rsid w:val="0CCF79BE"/>
    <w:rsid w:val="0CD20599"/>
    <w:rsid w:val="0CE53018"/>
    <w:rsid w:val="0D0B5B12"/>
    <w:rsid w:val="0D133046"/>
    <w:rsid w:val="0D153F28"/>
    <w:rsid w:val="0D305390"/>
    <w:rsid w:val="0D3A0F98"/>
    <w:rsid w:val="0D5D37FD"/>
    <w:rsid w:val="0D6A4502"/>
    <w:rsid w:val="0D7415CA"/>
    <w:rsid w:val="0D890E47"/>
    <w:rsid w:val="0DC64A00"/>
    <w:rsid w:val="0DCF786E"/>
    <w:rsid w:val="0DEB5FFA"/>
    <w:rsid w:val="0DF75C46"/>
    <w:rsid w:val="0DFC60BA"/>
    <w:rsid w:val="0E045D30"/>
    <w:rsid w:val="0E1C06B2"/>
    <w:rsid w:val="0E35000C"/>
    <w:rsid w:val="0E69691B"/>
    <w:rsid w:val="0E7900C2"/>
    <w:rsid w:val="0EBB5484"/>
    <w:rsid w:val="0EBD5AA3"/>
    <w:rsid w:val="0F085784"/>
    <w:rsid w:val="0F5723EF"/>
    <w:rsid w:val="0F7C5FF6"/>
    <w:rsid w:val="0FC63FBD"/>
    <w:rsid w:val="0FDD003F"/>
    <w:rsid w:val="0FF63282"/>
    <w:rsid w:val="0FF87EA4"/>
    <w:rsid w:val="0FFF7484"/>
    <w:rsid w:val="10007DD4"/>
    <w:rsid w:val="100B77ED"/>
    <w:rsid w:val="10305890"/>
    <w:rsid w:val="103D5A1A"/>
    <w:rsid w:val="106C564D"/>
    <w:rsid w:val="10767478"/>
    <w:rsid w:val="107B7B8F"/>
    <w:rsid w:val="107C67CE"/>
    <w:rsid w:val="10912D03"/>
    <w:rsid w:val="109D68CB"/>
    <w:rsid w:val="10A949B8"/>
    <w:rsid w:val="10CB4D26"/>
    <w:rsid w:val="11144AFE"/>
    <w:rsid w:val="11200D07"/>
    <w:rsid w:val="116A3F32"/>
    <w:rsid w:val="11786AB5"/>
    <w:rsid w:val="118049D4"/>
    <w:rsid w:val="118561F8"/>
    <w:rsid w:val="11914FAF"/>
    <w:rsid w:val="11A8021A"/>
    <w:rsid w:val="11B21219"/>
    <w:rsid w:val="11B4024C"/>
    <w:rsid w:val="11DA73AF"/>
    <w:rsid w:val="11FC1ECD"/>
    <w:rsid w:val="12457C5E"/>
    <w:rsid w:val="124D097B"/>
    <w:rsid w:val="12511265"/>
    <w:rsid w:val="126561B4"/>
    <w:rsid w:val="127A3FFC"/>
    <w:rsid w:val="127D0E25"/>
    <w:rsid w:val="127E0B34"/>
    <w:rsid w:val="1283614B"/>
    <w:rsid w:val="12856FF3"/>
    <w:rsid w:val="129671FB"/>
    <w:rsid w:val="12A576FF"/>
    <w:rsid w:val="12C60D80"/>
    <w:rsid w:val="130523B3"/>
    <w:rsid w:val="13097496"/>
    <w:rsid w:val="13154AD2"/>
    <w:rsid w:val="131F7A3A"/>
    <w:rsid w:val="132645D0"/>
    <w:rsid w:val="134312FF"/>
    <w:rsid w:val="13455ABC"/>
    <w:rsid w:val="1370322B"/>
    <w:rsid w:val="13BA0460"/>
    <w:rsid w:val="13BB41AE"/>
    <w:rsid w:val="13C24F9B"/>
    <w:rsid w:val="13C45A18"/>
    <w:rsid w:val="13C9247B"/>
    <w:rsid w:val="13C92A4D"/>
    <w:rsid w:val="13DE55D1"/>
    <w:rsid w:val="13E0285C"/>
    <w:rsid w:val="143B2E0B"/>
    <w:rsid w:val="147C1943"/>
    <w:rsid w:val="148054E9"/>
    <w:rsid w:val="14892735"/>
    <w:rsid w:val="14906D6C"/>
    <w:rsid w:val="14CC769D"/>
    <w:rsid w:val="14D764D5"/>
    <w:rsid w:val="14F43330"/>
    <w:rsid w:val="152509D7"/>
    <w:rsid w:val="15436F05"/>
    <w:rsid w:val="155541C5"/>
    <w:rsid w:val="15691FE3"/>
    <w:rsid w:val="158B5DDD"/>
    <w:rsid w:val="15A41986"/>
    <w:rsid w:val="15B11221"/>
    <w:rsid w:val="15BC6801"/>
    <w:rsid w:val="15C16EB3"/>
    <w:rsid w:val="15CB76C9"/>
    <w:rsid w:val="15D359D7"/>
    <w:rsid w:val="160E7A2C"/>
    <w:rsid w:val="16111028"/>
    <w:rsid w:val="161F7731"/>
    <w:rsid w:val="163C77BE"/>
    <w:rsid w:val="16573587"/>
    <w:rsid w:val="1679588C"/>
    <w:rsid w:val="168C2855"/>
    <w:rsid w:val="16903443"/>
    <w:rsid w:val="16994962"/>
    <w:rsid w:val="16A233CF"/>
    <w:rsid w:val="16A71041"/>
    <w:rsid w:val="16AA24BF"/>
    <w:rsid w:val="171D3FE1"/>
    <w:rsid w:val="1742794A"/>
    <w:rsid w:val="17680CAB"/>
    <w:rsid w:val="176E4128"/>
    <w:rsid w:val="1783371F"/>
    <w:rsid w:val="178D7563"/>
    <w:rsid w:val="17B61794"/>
    <w:rsid w:val="17C52CBF"/>
    <w:rsid w:val="17C93012"/>
    <w:rsid w:val="17E62B67"/>
    <w:rsid w:val="180F4499"/>
    <w:rsid w:val="182201B4"/>
    <w:rsid w:val="18221ECE"/>
    <w:rsid w:val="18303840"/>
    <w:rsid w:val="183C3D90"/>
    <w:rsid w:val="18504A07"/>
    <w:rsid w:val="1859036F"/>
    <w:rsid w:val="18681814"/>
    <w:rsid w:val="18B0649B"/>
    <w:rsid w:val="18C8297B"/>
    <w:rsid w:val="18D418FC"/>
    <w:rsid w:val="18FC7745"/>
    <w:rsid w:val="19027053"/>
    <w:rsid w:val="191677A6"/>
    <w:rsid w:val="19353F17"/>
    <w:rsid w:val="19DD405E"/>
    <w:rsid w:val="1A460CF5"/>
    <w:rsid w:val="1A7A6BB4"/>
    <w:rsid w:val="1A7F297D"/>
    <w:rsid w:val="1A9B268C"/>
    <w:rsid w:val="1A9D6244"/>
    <w:rsid w:val="1AAF6004"/>
    <w:rsid w:val="1AB16AC1"/>
    <w:rsid w:val="1ABF1CEA"/>
    <w:rsid w:val="1B014DDE"/>
    <w:rsid w:val="1B0320FB"/>
    <w:rsid w:val="1B034A52"/>
    <w:rsid w:val="1B45344E"/>
    <w:rsid w:val="1B591D2B"/>
    <w:rsid w:val="1B5D76FB"/>
    <w:rsid w:val="1B683578"/>
    <w:rsid w:val="1B8C0040"/>
    <w:rsid w:val="1BBA4E52"/>
    <w:rsid w:val="1BD9519A"/>
    <w:rsid w:val="1BDE2F66"/>
    <w:rsid w:val="1C2A22B3"/>
    <w:rsid w:val="1C750ECE"/>
    <w:rsid w:val="1CA56AF4"/>
    <w:rsid w:val="1CE1575A"/>
    <w:rsid w:val="1D196139"/>
    <w:rsid w:val="1D2E2708"/>
    <w:rsid w:val="1D5E02D1"/>
    <w:rsid w:val="1D7B74A7"/>
    <w:rsid w:val="1D7F0ED0"/>
    <w:rsid w:val="1DA31EB7"/>
    <w:rsid w:val="1DA55D97"/>
    <w:rsid w:val="1DBB6100"/>
    <w:rsid w:val="1DBE6816"/>
    <w:rsid w:val="1DC67725"/>
    <w:rsid w:val="1DCB4FF1"/>
    <w:rsid w:val="1DDC11E4"/>
    <w:rsid w:val="1DF5452A"/>
    <w:rsid w:val="1E010AF7"/>
    <w:rsid w:val="1E1C405A"/>
    <w:rsid w:val="1E2E29E0"/>
    <w:rsid w:val="1E301173"/>
    <w:rsid w:val="1E884D18"/>
    <w:rsid w:val="1ED8781E"/>
    <w:rsid w:val="1EDD3235"/>
    <w:rsid w:val="1EE7283A"/>
    <w:rsid w:val="1F0C1276"/>
    <w:rsid w:val="1F1102B0"/>
    <w:rsid w:val="1F2F1047"/>
    <w:rsid w:val="1F43381C"/>
    <w:rsid w:val="1F781DD2"/>
    <w:rsid w:val="1F7D6A3D"/>
    <w:rsid w:val="1FA4148D"/>
    <w:rsid w:val="1FC10FAB"/>
    <w:rsid w:val="1FC65577"/>
    <w:rsid w:val="1FD82385"/>
    <w:rsid w:val="20010EEA"/>
    <w:rsid w:val="20121621"/>
    <w:rsid w:val="201636E2"/>
    <w:rsid w:val="202E3F6D"/>
    <w:rsid w:val="2032134B"/>
    <w:rsid w:val="20325F7E"/>
    <w:rsid w:val="204778E7"/>
    <w:rsid w:val="204E554F"/>
    <w:rsid w:val="20546774"/>
    <w:rsid w:val="20590035"/>
    <w:rsid w:val="20851B47"/>
    <w:rsid w:val="209A2C3D"/>
    <w:rsid w:val="20E5011E"/>
    <w:rsid w:val="20FC799E"/>
    <w:rsid w:val="21286DA7"/>
    <w:rsid w:val="2134683B"/>
    <w:rsid w:val="21C82E72"/>
    <w:rsid w:val="21DE0801"/>
    <w:rsid w:val="21DE339D"/>
    <w:rsid w:val="22154DDD"/>
    <w:rsid w:val="221D4DB5"/>
    <w:rsid w:val="22336873"/>
    <w:rsid w:val="22396826"/>
    <w:rsid w:val="225471A3"/>
    <w:rsid w:val="225E34DC"/>
    <w:rsid w:val="227D1295"/>
    <w:rsid w:val="229B678A"/>
    <w:rsid w:val="22AB3B7D"/>
    <w:rsid w:val="22AF3A08"/>
    <w:rsid w:val="22BF00A5"/>
    <w:rsid w:val="22F92F75"/>
    <w:rsid w:val="239634D6"/>
    <w:rsid w:val="23BB4E7D"/>
    <w:rsid w:val="23C172D6"/>
    <w:rsid w:val="23CB1286"/>
    <w:rsid w:val="23D77537"/>
    <w:rsid w:val="23E6195D"/>
    <w:rsid w:val="23F04F64"/>
    <w:rsid w:val="242654AA"/>
    <w:rsid w:val="24814CBE"/>
    <w:rsid w:val="24AC168B"/>
    <w:rsid w:val="24BB6664"/>
    <w:rsid w:val="24EC64CB"/>
    <w:rsid w:val="250E1318"/>
    <w:rsid w:val="25103738"/>
    <w:rsid w:val="253F46D8"/>
    <w:rsid w:val="254D0389"/>
    <w:rsid w:val="25884C5D"/>
    <w:rsid w:val="258C3BEC"/>
    <w:rsid w:val="25A03144"/>
    <w:rsid w:val="25B2479F"/>
    <w:rsid w:val="25C15C5D"/>
    <w:rsid w:val="25D329B9"/>
    <w:rsid w:val="25E5427A"/>
    <w:rsid w:val="26276A31"/>
    <w:rsid w:val="26366F9D"/>
    <w:rsid w:val="263B1230"/>
    <w:rsid w:val="2642752B"/>
    <w:rsid w:val="26485508"/>
    <w:rsid w:val="26554808"/>
    <w:rsid w:val="265E685B"/>
    <w:rsid w:val="26607D95"/>
    <w:rsid w:val="26700955"/>
    <w:rsid w:val="26A16AE9"/>
    <w:rsid w:val="26A605D9"/>
    <w:rsid w:val="26AD0500"/>
    <w:rsid w:val="26B121A3"/>
    <w:rsid w:val="26E464C3"/>
    <w:rsid w:val="272E3097"/>
    <w:rsid w:val="272E6F74"/>
    <w:rsid w:val="273B7A3B"/>
    <w:rsid w:val="277E6655"/>
    <w:rsid w:val="2780046C"/>
    <w:rsid w:val="27933DEA"/>
    <w:rsid w:val="27B36A67"/>
    <w:rsid w:val="27D9633F"/>
    <w:rsid w:val="280B2E27"/>
    <w:rsid w:val="281E404F"/>
    <w:rsid w:val="28302479"/>
    <w:rsid w:val="2846581F"/>
    <w:rsid w:val="284A5CA4"/>
    <w:rsid w:val="286550ED"/>
    <w:rsid w:val="286602C8"/>
    <w:rsid w:val="28665C95"/>
    <w:rsid w:val="28736F5F"/>
    <w:rsid w:val="28B01D1E"/>
    <w:rsid w:val="28C2628C"/>
    <w:rsid w:val="28CC3373"/>
    <w:rsid w:val="28F47F99"/>
    <w:rsid w:val="28F579BA"/>
    <w:rsid w:val="290B3EB9"/>
    <w:rsid w:val="292728C1"/>
    <w:rsid w:val="294E392A"/>
    <w:rsid w:val="2950768C"/>
    <w:rsid w:val="297A5FC4"/>
    <w:rsid w:val="29B51252"/>
    <w:rsid w:val="29E14657"/>
    <w:rsid w:val="29E474B8"/>
    <w:rsid w:val="29ED574B"/>
    <w:rsid w:val="29FA2D3E"/>
    <w:rsid w:val="29FE5CE6"/>
    <w:rsid w:val="2A743AE8"/>
    <w:rsid w:val="2A8D4F8F"/>
    <w:rsid w:val="2A917B34"/>
    <w:rsid w:val="2A9308A8"/>
    <w:rsid w:val="2A9F5AB8"/>
    <w:rsid w:val="2AB10C99"/>
    <w:rsid w:val="2AD74E8C"/>
    <w:rsid w:val="2AE3766F"/>
    <w:rsid w:val="2AEC612E"/>
    <w:rsid w:val="2B0268A7"/>
    <w:rsid w:val="2B060F9E"/>
    <w:rsid w:val="2B0E56AB"/>
    <w:rsid w:val="2B51141C"/>
    <w:rsid w:val="2B590601"/>
    <w:rsid w:val="2B710DB7"/>
    <w:rsid w:val="2B7408CF"/>
    <w:rsid w:val="2B79620B"/>
    <w:rsid w:val="2B7E4054"/>
    <w:rsid w:val="2BBA6A76"/>
    <w:rsid w:val="2BCC03D1"/>
    <w:rsid w:val="2BDF1FBA"/>
    <w:rsid w:val="2C0C6D59"/>
    <w:rsid w:val="2C5B0D4B"/>
    <w:rsid w:val="2C8903AA"/>
    <w:rsid w:val="2C987C56"/>
    <w:rsid w:val="2CA156F3"/>
    <w:rsid w:val="2CC11460"/>
    <w:rsid w:val="2CC15BAA"/>
    <w:rsid w:val="2CC72A61"/>
    <w:rsid w:val="2CDC3153"/>
    <w:rsid w:val="2CDF621C"/>
    <w:rsid w:val="2CE136D7"/>
    <w:rsid w:val="2CFE7A11"/>
    <w:rsid w:val="2CFF149A"/>
    <w:rsid w:val="2D201865"/>
    <w:rsid w:val="2D2B6EDE"/>
    <w:rsid w:val="2D4B5CEA"/>
    <w:rsid w:val="2D4C5B4C"/>
    <w:rsid w:val="2D542188"/>
    <w:rsid w:val="2D652658"/>
    <w:rsid w:val="2D964A56"/>
    <w:rsid w:val="2DC16E0A"/>
    <w:rsid w:val="2DC80C49"/>
    <w:rsid w:val="2DCA6355"/>
    <w:rsid w:val="2E030E17"/>
    <w:rsid w:val="2E166748"/>
    <w:rsid w:val="2E2054A0"/>
    <w:rsid w:val="2E482374"/>
    <w:rsid w:val="2E491580"/>
    <w:rsid w:val="2E556F01"/>
    <w:rsid w:val="2E8345A7"/>
    <w:rsid w:val="2E8E20B4"/>
    <w:rsid w:val="2EAA7BAE"/>
    <w:rsid w:val="2EC1207D"/>
    <w:rsid w:val="2ED06066"/>
    <w:rsid w:val="2ED1223D"/>
    <w:rsid w:val="2F000139"/>
    <w:rsid w:val="2F1B303D"/>
    <w:rsid w:val="2F3F11F4"/>
    <w:rsid w:val="2F5E0754"/>
    <w:rsid w:val="2F67338E"/>
    <w:rsid w:val="2F9F42DC"/>
    <w:rsid w:val="2FBB4121"/>
    <w:rsid w:val="2FBC2844"/>
    <w:rsid w:val="2FBE3786"/>
    <w:rsid w:val="2FC32F68"/>
    <w:rsid w:val="2FD6418B"/>
    <w:rsid w:val="2FF37AB3"/>
    <w:rsid w:val="30210B8A"/>
    <w:rsid w:val="30224DC7"/>
    <w:rsid w:val="303B4C3F"/>
    <w:rsid w:val="3073310C"/>
    <w:rsid w:val="309D6BE6"/>
    <w:rsid w:val="30AA1790"/>
    <w:rsid w:val="30EE385E"/>
    <w:rsid w:val="30F85AFE"/>
    <w:rsid w:val="31031402"/>
    <w:rsid w:val="31170995"/>
    <w:rsid w:val="31264A30"/>
    <w:rsid w:val="312651F8"/>
    <w:rsid w:val="31862EE3"/>
    <w:rsid w:val="31884E67"/>
    <w:rsid w:val="31A0275E"/>
    <w:rsid w:val="31A22012"/>
    <w:rsid w:val="31A67308"/>
    <w:rsid w:val="31B91526"/>
    <w:rsid w:val="31BA7402"/>
    <w:rsid w:val="31EF0041"/>
    <w:rsid w:val="320107F5"/>
    <w:rsid w:val="324175CB"/>
    <w:rsid w:val="326A0524"/>
    <w:rsid w:val="327B7EDF"/>
    <w:rsid w:val="32AB70C5"/>
    <w:rsid w:val="32EF2122"/>
    <w:rsid w:val="32F17F41"/>
    <w:rsid w:val="332038B4"/>
    <w:rsid w:val="33247607"/>
    <w:rsid w:val="333014B0"/>
    <w:rsid w:val="335D0AF5"/>
    <w:rsid w:val="336917EF"/>
    <w:rsid w:val="336B2EA4"/>
    <w:rsid w:val="336B3E67"/>
    <w:rsid w:val="3370088C"/>
    <w:rsid w:val="33872039"/>
    <w:rsid w:val="339A687B"/>
    <w:rsid w:val="33DC2F78"/>
    <w:rsid w:val="3428227C"/>
    <w:rsid w:val="343230D5"/>
    <w:rsid w:val="3439428E"/>
    <w:rsid w:val="34571EF7"/>
    <w:rsid w:val="347918A5"/>
    <w:rsid w:val="34802E4C"/>
    <w:rsid w:val="349D37D5"/>
    <w:rsid w:val="34A61BDE"/>
    <w:rsid w:val="34BB7B5F"/>
    <w:rsid w:val="34F3796C"/>
    <w:rsid w:val="3522586C"/>
    <w:rsid w:val="35572473"/>
    <w:rsid w:val="35602226"/>
    <w:rsid w:val="356B72E7"/>
    <w:rsid w:val="356D2AC8"/>
    <w:rsid w:val="3572424F"/>
    <w:rsid w:val="35734CF3"/>
    <w:rsid w:val="35866014"/>
    <w:rsid w:val="359E5CE0"/>
    <w:rsid w:val="35D275C3"/>
    <w:rsid w:val="35E50FBB"/>
    <w:rsid w:val="362B215D"/>
    <w:rsid w:val="366666CA"/>
    <w:rsid w:val="367070F4"/>
    <w:rsid w:val="367801A9"/>
    <w:rsid w:val="36807FCC"/>
    <w:rsid w:val="36AD519D"/>
    <w:rsid w:val="36B57705"/>
    <w:rsid w:val="36B93E53"/>
    <w:rsid w:val="36DC1DD3"/>
    <w:rsid w:val="36F3711D"/>
    <w:rsid w:val="36FC25DD"/>
    <w:rsid w:val="37090CD6"/>
    <w:rsid w:val="37122320"/>
    <w:rsid w:val="3754697A"/>
    <w:rsid w:val="37636A21"/>
    <w:rsid w:val="377C03A4"/>
    <w:rsid w:val="37A103ED"/>
    <w:rsid w:val="37A367C3"/>
    <w:rsid w:val="37BD33EE"/>
    <w:rsid w:val="37E02B23"/>
    <w:rsid w:val="37E345A6"/>
    <w:rsid w:val="37EA5E6E"/>
    <w:rsid w:val="37EC6A58"/>
    <w:rsid w:val="37FB2268"/>
    <w:rsid w:val="37FF016F"/>
    <w:rsid w:val="382A6E2D"/>
    <w:rsid w:val="386E4145"/>
    <w:rsid w:val="387C5ABE"/>
    <w:rsid w:val="38B66D0C"/>
    <w:rsid w:val="38D41643"/>
    <w:rsid w:val="38EB6119"/>
    <w:rsid w:val="39044996"/>
    <w:rsid w:val="392C6D9B"/>
    <w:rsid w:val="393B020C"/>
    <w:rsid w:val="39506E15"/>
    <w:rsid w:val="39552120"/>
    <w:rsid w:val="396678D9"/>
    <w:rsid w:val="39790BE6"/>
    <w:rsid w:val="397A0ADB"/>
    <w:rsid w:val="39844799"/>
    <w:rsid w:val="39954B2B"/>
    <w:rsid w:val="39DA2245"/>
    <w:rsid w:val="39E66E3B"/>
    <w:rsid w:val="39FD4CC2"/>
    <w:rsid w:val="3A51228C"/>
    <w:rsid w:val="3A545E48"/>
    <w:rsid w:val="3A552E60"/>
    <w:rsid w:val="3A5D642F"/>
    <w:rsid w:val="3A744447"/>
    <w:rsid w:val="3A78219D"/>
    <w:rsid w:val="3A995C5C"/>
    <w:rsid w:val="3AB210FC"/>
    <w:rsid w:val="3ADB7381"/>
    <w:rsid w:val="3AF04A37"/>
    <w:rsid w:val="3B043A1D"/>
    <w:rsid w:val="3B1E01C3"/>
    <w:rsid w:val="3B3E5B8A"/>
    <w:rsid w:val="3B793A48"/>
    <w:rsid w:val="3B7E3699"/>
    <w:rsid w:val="3B85393E"/>
    <w:rsid w:val="3BCA4B8A"/>
    <w:rsid w:val="3BCD72F7"/>
    <w:rsid w:val="3BFC2F5F"/>
    <w:rsid w:val="3C37146A"/>
    <w:rsid w:val="3C3D3625"/>
    <w:rsid w:val="3C414142"/>
    <w:rsid w:val="3C5B725E"/>
    <w:rsid w:val="3C84047F"/>
    <w:rsid w:val="3C88055A"/>
    <w:rsid w:val="3C9E57AB"/>
    <w:rsid w:val="3CAF79B9"/>
    <w:rsid w:val="3CB35097"/>
    <w:rsid w:val="3CEA4BE6"/>
    <w:rsid w:val="3CF737A2"/>
    <w:rsid w:val="3D10295A"/>
    <w:rsid w:val="3D184041"/>
    <w:rsid w:val="3D370C2A"/>
    <w:rsid w:val="3D414FC0"/>
    <w:rsid w:val="3D4F12A7"/>
    <w:rsid w:val="3D7B5F78"/>
    <w:rsid w:val="3D7D049C"/>
    <w:rsid w:val="3DE20EAE"/>
    <w:rsid w:val="3DEF3701"/>
    <w:rsid w:val="3E0572FD"/>
    <w:rsid w:val="3E0720FE"/>
    <w:rsid w:val="3E2819F6"/>
    <w:rsid w:val="3E287A22"/>
    <w:rsid w:val="3E5A7FE7"/>
    <w:rsid w:val="3E7D40EF"/>
    <w:rsid w:val="3E85043F"/>
    <w:rsid w:val="3E955A6A"/>
    <w:rsid w:val="3E964D81"/>
    <w:rsid w:val="3EF66B2E"/>
    <w:rsid w:val="3F217914"/>
    <w:rsid w:val="3FD10810"/>
    <w:rsid w:val="3FD70BB0"/>
    <w:rsid w:val="3FFB55AC"/>
    <w:rsid w:val="40017152"/>
    <w:rsid w:val="401C5F9D"/>
    <w:rsid w:val="401C690C"/>
    <w:rsid w:val="401D7195"/>
    <w:rsid w:val="405C1C05"/>
    <w:rsid w:val="407A652F"/>
    <w:rsid w:val="40825D97"/>
    <w:rsid w:val="40836C36"/>
    <w:rsid w:val="40870EA3"/>
    <w:rsid w:val="40922E01"/>
    <w:rsid w:val="409928E7"/>
    <w:rsid w:val="40997CFE"/>
    <w:rsid w:val="40C34607"/>
    <w:rsid w:val="40CE3DC0"/>
    <w:rsid w:val="40D7455A"/>
    <w:rsid w:val="40E743E5"/>
    <w:rsid w:val="40EB4012"/>
    <w:rsid w:val="41075C9E"/>
    <w:rsid w:val="410A1661"/>
    <w:rsid w:val="412D5EA0"/>
    <w:rsid w:val="415A62F5"/>
    <w:rsid w:val="416D78C7"/>
    <w:rsid w:val="41734CBA"/>
    <w:rsid w:val="417F4E1A"/>
    <w:rsid w:val="418B0C8A"/>
    <w:rsid w:val="41A82190"/>
    <w:rsid w:val="41DE5999"/>
    <w:rsid w:val="41E1181A"/>
    <w:rsid w:val="41E32A20"/>
    <w:rsid w:val="41F50A53"/>
    <w:rsid w:val="41FA3241"/>
    <w:rsid w:val="420F7A65"/>
    <w:rsid w:val="4216611A"/>
    <w:rsid w:val="42321B6A"/>
    <w:rsid w:val="423E300F"/>
    <w:rsid w:val="425656C8"/>
    <w:rsid w:val="4257273C"/>
    <w:rsid w:val="42687ACE"/>
    <w:rsid w:val="4270145E"/>
    <w:rsid w:val="429E6041"/>
    <w:rsid w:val="42BF4B02"/>
    <w:rsid w:val="42FD694D"/>
    <w:rsid w:val="43034DFA"/>
    <w:rsid w:val="437D6687"/>
    <w:rsid w:val="438351F5"/>
    <w:rsid w:val="438D35EA"/>
    <w:rsid w:val="439324D5"/>
    <w:rsid w:val="43BC1E57"/>
    <w:rsid w:val="43D23F8D"/>
    <w:rsid w:val="43D43F1D"/>
    <w:rsid w:val="43FA5777"/>
    <w:rsid w:val="44023422"/>
    <w:rsid w:val="44184A2D"/>
    <w:rsid w:val="441C1611"/>
    <w:rsid w:val="443C440B"/>
    <w:rsid w:val="44514F52"/>
    <w:rsid w:val="44761C8F"/>
    <w:rsid w:val="449722E3"/>
    <w:rsid w:val="449D7B09"/>
    <w:rsid w:val="44AD0C78"/>
    <w:rsid w:val="44AE3FD4"/>
    <w:rsid w:val="44D0586F"/>
    <w:rsid w:val="44FA2D53"/>
    <w:rsid w:val="453C4912"/>
    <w:rsid w:val="454650DA"/>
    <w:rsid w:val="45687813"/>
    <w:rsid w:val="4571374F"/>
    <w:rsid w:val="458B1BB0"/>
    <w:rsid w:val="45A41560"/>
    <w:rsid w:val="45AD31D6"/>
    <w:rsid w:val="45B93426"/>
    <w:rsid w:val="45CF1361"/>
    <w:rsid w:val="464C6420"/>
    <w:rsid w:val="46552F9B"/>
    <w:rsid w:val="467A0297"/>
    <w:rsid w:val="468B7125"/>
    <w:rsid w:val="46B506EF"/>
    <w:rsid w:val="46C4691F"/>
    <w:rsid w:val="46CB53EF"/>
    <w:rsid w:val="46EE513F"/>
    <w:rsid w:val="470F5A71"/>
    <w:rsid w:val="473154FF"/>
    <w:rsid w:val="47685427"/>
    <w:rsid w:val="476C4065"/>
    <w:rsid w:val="4779499C"/>
    <w:rsid w:val="477B6530"/>
    <w:rsid w:val="47801172"/>
    <w:rsid w:val="479D1D34"/>
    <w:rsid w:val="47B609C0"/>
    <w:rsid w:val="47EC3B04"/>
    <w:rsid w:val="47EC6277"/>
    <w:rsid w:val="48021483"/>
    <w:rsid w:val="481A219B"/>
    <w:rsid w:val="482D31EA"/>
    <w:rsid w:val="48447D02"/>
    <w:rsid w:val="485970A0"/>
    <w:rsid w:val="486A6E89"/>
    <w:rsid w:val="48823516"/>
    <w:rsid w:val="48877686"/>
    <w:rsid w:val="488B498B"/>
    <w:rsid w:val="48B176C2"/>
    <w:rsid w:val="48B65C71"/>
    <w:rsid w:val="48D550F0"/>
    <w:rsid w:val="48FB1909"/>
    <w:rsid w:val="491F266E"/>
    <w:rsid w:val="49246220"/>
    <w:rsid w:val="492E6A57"/>
    <w:rsid w:val="495839AA"/>
    <w:rsid w:val="49700A6F"/>
    <w:rsid w:val="49771AFE"/>
    <w:rsid w:val="49802948"/>
    <w:rsid w:val="4986089F"/>
    <w:rsid w:val="498B5309"/>
    <w:rsid w:val="499F0AAB"/>
    <w:rsid w:val="49C154CE"/>
    <w:rsid w:val="49C33FF5"/>
    <w:rsid w:val="49DB11EC"/>
    <w:rsid w:val="49E31DD1"/>
    <w:rsid w:val="49E63926"/>
    <w:rsid w:val="49F004AB"/>
    <w:rsid w:val="4A0030EE"/>
    <w:rsid w:val="4A0568D6"/>
    <w:rsid w:val="4A0C4F3C"/>
    <w:rsid w:val="4A162478"/>
    <w:rsid w:val="4A171EC9"/>
    <w:rsid w:val="4A1A1689"/>
    <w:rsid w:val="4A484D41"/>
    <w:rsid w:val="4A6D15F8"/>
    <w:rsid w:val="4A7617B6"/>
    <w:rsid w:val="4A8C4FB8"/>
    <w:rsid w:val="4A9A25BD"/>
    <w:rsid w:val="4A9E0551"/>
    <w:rsid w:val="4AB542AE"/>
    <w:rsid w:val="4AF72FEA"/>
    <w:rsid w:val="4B1477B3"/>
    <w:rsid w:val="4B1F062C"/>
    <w:rsid w:val="4B243D9D"/>
    <w:rsid w:val="4B281425"/>
    <w:rsid w:val="4B49547C"/>
    <w:rsid w:val="4B6F66A1"/>
    <w:rsid w:val="4B85213F"/>
    <w:rsid w:val="4B8C2DEB"/>
    <w:rsid w:val="4BFA3C9F"/>
    <w:rsid w:val="4BFA7F6C"/>
    <w:rsid w:val="4C107F48"/>
    <w:rsid w:val="4C3117D0"/>
    <w:rsid w:val="4C3277BC"/>
    <w:rsid w:val="4C5C442D"/>
    <w:rsid w:val="4C6D42A9"/>
    <w:rsid w:val="4C716A38"/>
    <w:rsid w:val="4CC0351C"/>
    <w:rsid w:val="4CC353EB"/>
    <w:rsid w:val="4CE64E14"/>
    <w:rsid w:val="4CE95EE5"/>
    <w:rsid w:val="4CF36F3C"/>
    <w:rsid w:val="4D007BC8"/>
    <w:rsid w:val="4D0602E5"/>
    <w:rsid w:val="4D1470BD"/>
    <w:rsid w:val="4D154882"/>
    <w:rsid w:val="4D1C3C50"/>
    <w:rsid w:val="4D603399"/>
    <w:rsid w:val="4D6A7284"/>
    <w:rsid w:val="4D6E30E1"/>
    <w:rsid w:val="4D867EE1"/>
    <w:rsid w:val="4DBC4C65"/>
    <w:rsid w:val="4DC9105D"/>
    <w:rsid w:val="4DE2009B"/>
    <w:rsid w:val="4DF86974"/>
    <w:rsid w:val="4DFE779E"/>
    <w:rsid w:val="4E0F235E"/>
    <w:rsid w:val="4E157689"/>
    <w:rsid w:val="4E471216"/>
    <w:rsid w:val="4E533FA5"/>
    <w:rsid w:val="4E550010"/>
    <w:rsid w:val="4E5F14CB"/>
    <w:rsid w:val="4E6808B0"/>
    <w:rsid w:val="4E780BC4"/>
    <w:rsid w:val="4EBA42F2"/>
    <w:rsid w:val="4EC00DDD"/>
    <w:rsid w:val="4ED908C5"/>
    <w:rsid w:val="4EF265BE"/>
    <w:rsid w:val="4EFB1C45"/>
    <w:rsid w:val="4F0C2A48"/>
    <w:rsid w:val="4F26273B"/>
    <w:rsid w:val="4F2D3A8A"/>
    <w:rsid w:val="4F32478A"/>
    <w:rsid w:val="4F3705F8"/>
    <w:rsid w:val="4F881DD2"/>
    <w:rsid w:val="4F913A9A"/>
    <w:rsid w:val="4F9714A0"/>
    <w:rsid w:val="4FAA3F91"/>
    <w:rsid w:val="4FAC3540"/>
    <w:rsid w:val="4FCF1583"/>
    <w:rsid w:val="4FD23E66"/>
    <w:rsid w:val="4FD44D1B"/>
    <w:rsid w:val="4FDC066D"/>
    <w:rsid w:val="4FFA7625"/>
    <w:rsid w:val="50132D1C"/>
    <w:rsid w:val="50453E7E"/>
    <w:rsid w:val="50594CF7"/>
    <w:rsid w:val="507D2599"/>
    <w:rsid w:val="5096229D"/>
    <w:rsid w:val="509E157D"/>
    <w:rsid w:val="50A6165E"/>
    <w:rsid w:val="50AB0956"/>
    <w:rsid w:val="50DC4184"/>
    <w:rsid w:val="50FB6146"/>
    <w:rsid w:val="512F4CA0"/>
    <w:rsid w:val="51361FFF"/>
    <w:rsid w:val="513D4C38"/>
    <w:rsid w:val="514C3EA7"/>
    <w:rsid w:val="51AC4D00"/>
    <w:rsid w:val="51FF3C99"/>
    <w:rsid w:val="522A20E4"/>
    <w:rsid w:val="52363D4D"/>
    <w:rsid w:val="524A2AC9"/>
    <w:rsid w:val="52521A20"/>
    <w:rsid w:val="528604EC"/>
    <w:rsid w:val="529E2C3A"/>
    <w:rsid w:val="52AC4ABC"/>
    <w:rsid w:val="52C201B9"/>
    <w:rsid w:val="52E57A12"/>
    <w:rsid w:val="52F20B62"/>
    <w:rsid w:val="531C4FCC"/>
    <w:rsid w:val="53827E49"/>
    <w:rsid w:val="538A6BB9"/>
    <w:rsid w:val="539964FD"/>
    <w:rsid w:val="539C1B81"/>
    <w:rsid w:val="539D7755"/>
    <w:rsid w:val="53A447B1"/>
    <w:rsid w:val="53AE750F"/>
    <w:rsid w:val="53D224B3"/>
    <w:rsid w:val="53F81D96"/>
    <w:rsid w:val="541D5DE8"/>
    <w:rsid w:val="541F57C4"/>
    <w:rsid w:val="544B5214"/>
    <w:rsid w:val="546F523C"/>
    <w:rsid w:val="54782FBD"/>
    <w:rsid w:val="5483138F"/>
    <w:rsid w:val="5488523A"/>
    <w:rsid w:val="549A6BFA"/>
    <w:rsid w:val="54C341E7"/>
    <w:rsid w:val="54D933CD"/>
    <w:rsid w:val="551751CF"/>
    <w:rsid w:val="551D5F3C"/>
    <w:rsid w:val="5522558F"/>
    <w:rsid w:val="55244D7F"/>
    <w:rsid w:val="55305397"/>
    <w:rsid w:val="55362287"/>
    <w:rsid w:val="55432F3C"/>
    <w:rsid w:val="55A37FFD"/>
    <w:rsid w:val="55AE22F1"/>
    <w:rsid w:val="55C3227E"/>
    <w:rsid w:val="55CE1AA9"/>
    <w:rsid w:val="55F6381F"/>
    <w:rsid w:val="55FA2961"/>
    <w:rsid w:val="5602250F"/>
    <w:rsid w:val="564220BA"/>
    <w:rsid w:val="565E7F4F"/>
    <w:rsid w:val="565F3DA6"/>
    <w:rsid w:val="56914056"/>
    <w:rsid w:val="56B61E36"/>
    <w:rsid w:val="56C36589"/>
    <w:rsid w:val="56CD6072"/>
    <w:rsid w:val="570D55B0"/>
    <w:rsid w:val="57293C95"/>
    <w:rsid w:val="572A6381"/>
    <w:rsid w:val="572B41B4"/>
    <w:rsid w:val="57365868"/>
    <w:rsid w:val="573C1959"/>
    <w:rsid w:val="57554571"/>
    <w:rsid w:val="57F65317"/>
    <w:rsid w:val="57FC2169"/>
    <w:rsid w:val="58024015"/>
    <w:rsid w:val="58096275"/>
    <w:rsid w:val="5819544F"/>
    <w:rsid w:val="582D6D32"/>
    <w:rsid w:val="582E6EF7"/>
    <w:rsid w:val="584E30E6"/>
    <w:rsid w:val="58546EFD"/>
    <w:rsid w:val="5881703E"/>
    <w:rsid w:val="58E26731"/>
    <w:rsid w:val="58EB1371"/>
    <w:rsid w:val="59091D98"/>
    <w:rsid w:val="590E4A97"/>
    <w:rsid w:val="591250FF"/>
    <w:rsid w:val="5920012C"/>
    <w:rsid w:val="593700E7"/>
    <w:rsid w:val="595578DE"/>
    <w:rsid w:val="597B384D"/>
    <w:rsid w:val="59996DA8"/>
    <w:rsid w:val="59C30F1B"/>
    <w:rsid w:val="59CE4759"/>
    <w:rsid w:val="59D90B78"/>
    <w:rsid w:val="5A814766"/>
    <w:rsid w:val="5A8C20D0"/>
    <w:rsid w:val="5ABC29E4"/>
    <w:rsid w:val="5AC7121C"/>
    <w:rsid w:val="5AD90B8D"/>
    <w:rsid w:val="5AE12927"/>
    <w:rsid w:val="5AE35472"/>
    <w:rsid w:val="5AF41CF3"/>
    <w:rsid w:val="5AF87CC9"/>
    <w:rsid w:val="5B020182"/>
    <w:rsid w:val="5B07329F"/>
    <w:rsid w:val="5B3A7F90"/>
    <w:rsid w:val="5B4E1A44"/>
    <w:rsid w:val="5B873201"/>
    <w:rsid w:val="5B967767"/>
    <w:rsid w:val="5B9D1624"/>
    <w:rsid w:val="5BBF73E2"/>
    <w:rsid w:val="5BEE5378"/>
    <w:rsid w:val="5C0C2FF6"/>
    <w:rsid w:val="5C1241CC"/>
    <w:rsid w:val="5C286807"/>
    <w:rsid w:val="5C34339E"/>
    <w:rsid w:val="5C355656"/>
    <w:rsid w:val="5C370E72"/>
    <w:rsid w:val="5C446BC8"/>
    <w:rsid w:val="5C4B56E1"/>
    <w:rsid w:val="5C7146B1"/>
    <w:rsid w:val="5C7C2768"/>
    <w:rsid w:val="5CAD3BC1"/>
    <w:rsid w:val="5CAE62DC"/>
    <w:rsid w:val="5CB23AE6"/>
    <w:rsid w:val="5CC5060F"/>
    <w:rsid w:val="5CED5863"/>
    <w:rsid w:val="5D0D6DF5"/>
    <w:rsid w:val="5D4A5E05"/>
    <w:rsid w:val="5D580A8A"/>
    <w:rsid w:val="5D7E6D71"/>
    <w:rsid w:val="5D893B14"/>
    <w:rsid w:val="5DB42C29"/>
    <w:rsid w:val="5E1219F7"/>
    <w:rsid w:val="5E18541D"/>
    <w:rsid w:val="5E291636"/>
    <w:rsid w:val="5E48511F"/>
    <w:rsid w:val="5E655B72"/>
    <w:rsid w:val="5E8B0770"/>
    <w:rsid w:val="5EA06921"/>
    <w:rsid w:val="5EBA259F"/>
    <w:rsid w:val="5EE1082B"/>
    <w:rsid w:val="5EE97BB4"/>
    <w:rsid w:val="5EF55BC9"/>
    <w:rsid w:val="5EF808F3"/>
    <w:rsid w:val="5F085DDA"/>
    <w:rsid w:val="5F2E2D52"/>
    <w:rsid w:val="5F54198B"/>
    <w:rsid w:val="5F6C74C2"/>
    <w:rsid w:val="5F9D1350"/>
    <w:rsid w:val="5FA44AD1"/>
    <w:rsid w:val="5FBE370A"/>
    <w:rsid w:val="5FC61F2E"/>
    <w:rsid w:val="5FC83407"/>
    <w:rsid w:val="5FD56E87"/>
    <w:rsid w:val="5FF0558C"/>
    <w:rsid w:val="60015A45"/>
    <w:rsid w:val="601A27F4"/>
    <w:rsid w:val="60292845"/>
    <w:rsid w:val="606F2632"/>
    <w:rsid w:val="6071543B"/>
    <w:rsid w:val="607921FE"/>
    <w:rsid w:val="607E12CC"/>
    <w:rsid w:val="608F62AE"/>
    <w:rsid w:val="60B9251B"/>
    <w:rsid w:val="60E236C1"/>
    <w:rsid w:val="60E37983"/>
    <w:rsid w:val="61260B6B"/>
    <w:rsid w:val="612B3ABB"/>
    <w:rsid w:val="612E1A5D"/>
    <w:rsid w:val="612F07E0"/>
    <w:rsid w:val="614E5D7E"/>
    <w:rsid w:val="61816046"/>
    <w:rsid w:val="61BD04E4"/>
    <w:rsid w:val="61C81AB1"/>
    <w:rsid w:val="620B0059"/>
    <w:rsid w:val="62387413"/>
    <w:rsid w:val="62391564"/>
    <w:rsid w:val="624A22BE"/>
    <w:rsid w:val="6263230B"/>
    <w:rsid w:val="626E235A"/>
    <w:rsid w:val="626F60D5"/>
    <w:rsid w:val="62816669"/>
    <w:rsid w:val="6282086D"/>
    <w:rsid w:val="629007F7"/>
    <w:rsid w:val="62AB4D99"/>
    <w:rsid w:val="62B36CD7"/>
    <w:rsid w:val="62BA0953"/>
    <w:rsid w:val="62D03A7C"/>
    <w:rsid w:val="62F42FAE"/>
    <w:rsid w:val="62F648FE"/>
    <w:rsid w:val="63167A4F"/>
    <w:rsid w:val="631D2BD6"/>
    <w:rsid w:val="635356F3"/>
    <w:rsid w:val="637D5B70"/>
    <w:rsid w:val="63825E77"/>
    <w:rsid w:val="63A10995"/>
    <w:rsid w:val="63C23EFA"/>
    <w:rsid w:val="63D255DA"/>
    <w:rsid w:val="63EB2168"/>
    <w:rsid w:val="63F854C1"/>
    <w:rsid w:val="63FB5857"/>
    <w:rsid w:val="64076B79"/>
    <w:rsid w:val="640B7654"/>
    <w:rsid w:val="64116D46"/>
    <w:rsid w:val="643A070A"/>
    <w:rsid w:val="64410A96"/>
    <w:rsid w:val="644C573D"/>
    <w:rsid w:val="64507EFB"/>
    <w:rsid w:val="65032F85"/>
    <w:rsid w:val="651304A7"/>
    <w:rsid w:val="65136B50"/>
    <w:rsid w:val="6531690D"/>
    <w:rsid w:val="65320485"/>
    <w:rsid w:val="655A12F3"/>
    <w:rsid w:val="657E2A35"/>
    <w:rsid w:val="65A94E9D"/>
    <w:rsid w:val="65B96B3F"/>
    <w:rsid w:val="65BE1071"/>
    <w:rsid w:val="65C60A92"/>
    <w:rsid w:val="65DB19DF"/>
    <w:rsid w:val="660451CE"/>
    <w:rsid w:val="664B3BEB"/>
    <w:rsid w:val="665346B7"/>
    <w:rsid w:val="667C7CCE"/>
    <w:rsid w:val="66A12460"/>
    <w:rsid w:val="66BE2423"/>
    <w:rsid w:val="66DD6702"/>
    <w:rsid w:val="66E856F1"/>
    <w:rsid w:val="66FB0BAD"/>
    <w:rsid w:val="671B1623"/>
    <w:rsid w:val="671E6EBA"/>
    <w:rsid w:val="6731269C"/>
    <w:rsid w:val="675352AA"/>
    <w:rsid w:val="6759400B"/>
    <w:rsid w:val="675E528D"/>
    <w:rsid w:val="676C598C"/>
    <w:rsid w:val="67966EFB"/>
    <w:rsid w:val="679E7FA1"/>
    <w:rsid w:val="67A32389"/>
    <w:rsid w:val="67B768D0"/>
    <w:rsid w:val="67C779FD"/>
    <w:rsid w:val="67C85DAF"/>
    <w:rsid w:val="68281CFE"/>
    <w:rsid w:val="682A2352"/>
    <w:rsid w:val="682A2630"/>
    <w:rsid w:val="682E4A5B"/>
    <w:rsid w:val="682E7AFD"/>
    <w:rsid w:val="68707071"/>
    <w:rsid w:val="687A4379"/>
    <w:rsid w:val="687B015C"/>
    <w:rsid w:val="687E3889"/>
    <w:rsid w:val="6884222C"/>
    <w:rsid w:val="68A957C8"/>
    <w:rsid w:val="68AD17BB"/>
    <w:rsid w:val="68D6620B"/>
    <w:rsid w:val="68D94D22"/>
    <w:rsid w:val="68F06F2B"/>
    <w:rsid w:val="69011241"/>
    <w:rsid w:val="692B2E4A"/>
    <w:rsid w:val="696A0B34"/>
    <w:rsid w:val="69821807"/>
    <w:rsid w:val="698D6A17"/>
    <w:rsid w:val="699026E3"/>
    <w:rsid w:val="699E0BED"/>
    <w:rsid w:val="699F0522"/>
    <w:rsid w:val="69D37590"/>
    <w:rsid w:val="69F954C1"/>
    <w:rsid w:val="6A1E1E73"/>
    <w:rsid w:val="6A2031B6"/>
    <w:rsid w:val="6A2F57D7"/>
    <w:rsid w:val="6A3924BB"/>
    <w:rsid w:val="6A3C1D40"/>
    <w:rsid w:val="6A6432E1"/>
    <w:rsid w:val="6AA23DFF"/>
    <w:rsid w:val="6AAA6F38"/>
    <w:rsid w:val="6AC61F6F"/>
    <w:rsid w:val="6AD34E53"/>
    <w:rsid w:val="6AD83EA1"/>
    <w:rsid w:val="6ADE74F0"/>
    <w:rsid w:val="6B1D62E8"/>
    <w:rsid w:val="6B723594"/>
    <w:rsid w:val="6B805156"/>
    <w:rsid w:val="6B945E48"/>
    <w:rsid w:val="6B974A7B"/>
    <w:rsid w:val="6BD50977"/>
    <w:rsid w:val="6BE450D3"/>
    <w:rsid w:val="6BE60C84"/>
    <w:rsid w:val="6C4F0900"/>
    <w:rsid w:val="6C6C32E1"/>
    <w:rsid w:val="6C6E3E15"/>
    <w:rsid w:val="6C813C7E"/>
    <w:rsid w:val="6C8B1F5D"/>
    <w:rsid w:val="6CA85D3A"/>
    <w:rsid w:val="6CAA3931"/>
    <w:rsid w:val="6CE2512E"/>
    <w:rsid w:val="6CEA06D7"/>
    <w:rsid w:val="6CF70607"/>
    <w:rsid w:val="6D325918"/>
    <w:rsid w:val="6D3933CA"/>
    <w:rsid w:val="6D401810"/>
    <w:rsid w:val="6D6261FE"/>
    <w:rsid w:val="6D7B222A"/>
    <w:rsid w:val="6D7B61EC"/>
    <w:rsid w:val="6D8E03AA"/>
    <w:rsid w:val="6DBB089F"/>
    <w:rsid w:val="6DC63038"/>
    <w:rsid w:val="6DDC5608"/>
    <w:rsid w:val="6DE30DE0"/>
    <w:rsid w:val="6DE6130A"/>
    <w:rsid w:val="6E09491E"/>
    <w:rsid w:val="6E0D3655"/>
    <w:rsid w:val="6E1A437E"/>
    <w:rsid w:val="6E3A144E"/>
    <w:rsid w:val="6E5606D3"/>
    <w:rsid w:val="6E5F4465"/>
    <w:rsid w:val="6E814BE6"/>
    <w:rsid w:val="6E8B1663"/>
    <w:rsid w:val="6E8C54DA"/>
    <w:rsid w:val="6EB752BD"/>
    <w:rsid w:val="6EF11E03"/>
    <w:rsid w:val="6EF1241D"/>
    <w:rsid w:val="6EF82916"/>
    <w:rsid w:val="6F0B2DE7"/>
    <w:rsid w:val="6F111C62"/>
    <w:rsid w:val="6F2176E5"/>
    <w:rsid w:val="6F3A2A5F"/>
    <w:rsid w:val="6F4F7F03"/>
    <w:rsid w:val="6F5523A2"/>
    <w:rsid w:val="6F592303"/>
    <w:rsid w:val="6F5F5B74"/>
    <w:rsid w:val="6F682400"/>
    <w:rsid w:val="6F9600A4"/>
    <w:rsid w:val="6F98032D"/>
    <w:rsid w:val="6F9B1C65"/>
    <w:rsid w:val="6FA44937"/>
    <w:rsid w:val="6FAD3FB9"/>
    <w:rsid w:val="6FDC5A8D"/>
    <w:rsid w:val="6FE82C9C"/>
    <w:rsid w:val="6FFB146E"/>
    <w:rsid w:val="70160742"/>
    <w:rsid w:val="7030610F"/>
    <w:rsid w:val="70612DB4"/>
    <w:rsid w:val="706516C3"/>
    <w:rsid w:val="70660714"/>
    <w:rsid w:val="70896E68"/>
    <w:rsid w:val="708A4844"/>
    <w:rsid w:val="70C94DCA"/>
    <w:rsid w:val="70E05E9D"/>
    <w:rsid w:val="71073061"/>
    <w:rsid w:val="711A201F"/>
    <w:rsid w:val="71215AE9"/>
    <w:rsid w:val="712864E5"/>
    <w:rsid w:val="71396ACC"/>
    <w:rsid w:val="713F3C28"/>
    <w:rsid w:val="715B60E9"/>
    <w:rsid w:val="716F0EE9"/>
    <w:rsid w:val="7196674D"/>
    <w:rsid w:val="719E245E"/>
    <w:rsid w:val="71BA3FE5"/>
    <w:rsid w:val="71EA1FED"/>
    <w:rsid w:val="71F57082"/>
    <w:rsid w:val="72165C6B"/>
    <w:rsid w:val="722021E3"/>
    <w:rsid w:val="72290340"/>
    <w:rsid w:val="722C6DDA"/>
    <w:rsid w:val="72515945"/>
    <w:rsid w:val="729243CB"/>
    <w:rsid w:val="72E661B1"/>
    <w:rsid w:val="730313F6"/>
    <w:rsid w:val="730E4732"/>
    <w:rsid w:val="73370D24"/>
    <w:rsid w:val="73397FB3"/>
    <w:rsid w:val="73472C84"/>
    <w:rsid w:val="7359268C"/>
    <w:rsid w:val="735F327A"/>
    <w:rsid w:val="7366631C"/>
    <w:rsid w:val="736C263C"/>
    <w:rsid w:val="73723640"/>
    <w:rsid w:val="737311F5"/>
    <w:rsid w:val="739503EB"/>
    <w:rsid w:val="73954FC2"/>
    <w:rsid w:val="73A05B28"/>
    <w:rsid w:val="73C07D69"/>
    <w:rsid w:val="73C979D4"/>
    <w:rsid w:val="73DC335B"/>
    <w:rsid w:val="740B60EC"/>
    <w:rsid w:val="745E7D35"/>
    <w:rsid w:val="7465362D"/>
    <w:rsid w:val="7475188D"/>
    <w:rsid w:val="749E16A8"/>
    <w:rsid w:val="74B42AE4"/>
    <w:rsid w:val="74C54993"/>
    <w:rsid w:val="74EB68F6"/>
    <w:rsid w:val="750A429D"/>
    <w:rsid w:val="752739E7"/>
    <w:rsid w:val="75474B47"/>
    <w:rsid w:val="75533AB0"/>
    <w:rsid w:val="75614792"/>
    <w:rsid w:val="75761866"/>
    <w:rsid w:val="75784473"/>
    <w:rsid w:val="75B10995"/>
    <w:rsid w:val="75B161B3"/>
    <w:rsid w:val="75DC6C44"/>
    <w:rsid w:val="75F05CC0"/>
    <w:rsid w:val="760F4530"/>
    <w:rsid w:val="762F6A19"/>
    <w:rsid w:val="76341B33"/>
    <w:rsid w:val="76736B32"/>
    <w:rsid w:val="76807C04"/>
    <w:rsid w:val="76AF35EE"/>
    <w:rsid w:val="76C27A74"/>
    <w:rsid w:val="76C726A5"/>
    <w:rsid w:val="76E3765E"/>
    <w:rsid w:val="76FC2AFA"/>
    <w:rsid w:val="77527424"/>
    <w:rsid w:val="77653671"/>
    <w:rsid w:val="77707007"/>
    <w:rsid w:val="778546CC"/>
    <w:rsid w:val="778B6B46"/>
    <w:rsid w:val="77A337B9"/>
    <w:rsid w:val="77B551B3"/>
    <w:rsid w:val="77B56730"/>
    <w:rsid w:val="77B92EBE"/>
    <w:rsid w:val="77C04A8B"/>
    <w:rsid w:val="77D85DB3"/>
    <w:rsid w:val="77EB1B74"/>
    <w:rsid w:val="782A3EA3"/>
    <w:rsid w:val="78490703"/>
    <w:rsid w:val="78A50513"/>
    <w:rsid w:val="78C43087"/>
    <w:rsid w:val="78D37FAF"/>
    <w:rsid w:val="78EF7AB5"/>
    <w:rsid w:val="790D6849"/>
    <w:rsid w:val="795767E3"/>
    <w:rsid w:val="79586707"/>
    <w:rsid w:val="796518DD"/>
    <w:rsid w:val="79724BEF"/>
    <w:rsid w:val="797264AC"/>
    <w:rsid w:val="79AA0532"/>
    <w:rsid w:val="79FA22BC"/>
    <w:rsid w:val="79FE1DDD"/>
    <w:rsid w:val="7A075767"/>
    <w:rsid w:val="7A0C15B3"/>
    <w:rsid w:val="7A212062"/>
    <w:rsid w:val="7A2522C9"/>
    <w:rsid w:val="7A282A11"/>
    <w:rsid w:val="7A3A59B8"/>
    <w:rsid w:val="7A5D0F75"/>
    <w:rsid w:val="7A715CD2"/>
    <w:rsid w:val="7A921E9A"/>
    <w:rsid w:val="7A9E53BF"/>
    <w:rsid w:val="7AA914B9"/>
    <w:rsid w:val="7ABF2475"/>
    <w:rsid w:val="7AC21562"/>
    <w:rsid w:val="7AD474A4"/>
    <w:rsid w:val="7AFC38DE"/>
    <w:rsid w:val="7B303E8C"/>
    <w:rsid w:val="7B7D6B6D"/>
    <w:rsid w:val="7B865D50"/>
    <w:rsid w:val="7B8D34C3"/>
    <w:rsid w:val="7B971D84"/>
    <w:rsid w:val="7BAB0CB7"/>
    <w:rsid w:val="7BB4028F"/>
    <w:rsid w:val="7BC1107E"/>
    <w:rsid w:val="7BF32F03"/>
    <w:rsid w:val="7BF50D2C"/>
    <w:rsid w:val="7C066F4E"/>
    <w:rsid w:val="7C1724A5"/>
    <w:rsid w:val="7C8561DF"/>
    <w:rsid w:val="7CA54112"/>
    <w:rsid w:val="7CA553D9"/>
    <w:rsid w:val="7CAB27F5"/>
    <w:rsid w:val="7CAF438A"/>
    <w:rsid w:val="7CCE726D"/>
    <w:rsid w:val="7CD71EA3"/>
    <w:rsid w:val="7CE50CE4"/>
    <w:rsid w:val="7CE94EE1"/>
    <w:rsid w:val="7CF877E9"/>
    <w:rsid w:val="7D134762"/>
    <w:rsid w:val="7D244CB3"/>
    <w:rsid w:val="7D2E5ABF"/>
    <w:rsid w:val="7D4A45B8"/>
    <w:rsid w:val="7D535AC7"/>
    <w:rsid w:val="7D964A74"/>
    <w:rsid w:val="7DFB43EA"/>
    <w:rsid w:val="7E007625"/>
    <w:rsid w:val="7E0737C8"/>
    <w:rsid w:val="7E131C51"/>
    <w:rsid w:val="7E176B90"/>
    <w:rsid w:val="7E2142A2"/>
    <w:rsid w:val="7E240411"/>
    <w:rsid w:val="7E48335A"/>
    <w:rsid w:val="7E797DE5"/>
    <w:rsid w:val="7E7B0BF2"/>
    <w:rsid w:val="7E8D75B6"/>
    <w:rsid w:val="7E8E672B"/>
    <w:rsid w:val="7EA27DDF"/>
    <w:rsid w:val="7EC67BB0"/>
    <w:rsid w:val="7ED809AD"/>
    <w:rsid w:val="7EF760EE"/>
    <w:rsid w:val="7F2536B5"/>
    <w:rsid w:val="7F2C3CE7"/>
    <w:rsid w:val="7F5931D8"/>
    <w:rsid w:val="7F5A01CA"/>
    <w:rsid w:val="7F75661B"/>
    <w:rsid w:val="7FB17429"/>
    <w:rsid w:val="7FC237CA"/>
    <w:rsid w:val="7FF127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qFormat="1"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line="360" w:lineRule="auto"/>
    </w:pPr>
    <w:rPr>
      <w:rFonts w:ascii="Tahoma" w:hAnsi="Tahoma" w:eastAsia="宋体" w:cstheme="minorBidi"/>
      <w:sz w:val="21"/>
      <w:szCs w:val="22"/>
      <w:lang w:val="en-US" w:eastAsia="zh-CN" w:bidi="ar-SA"/>
    </w:rPr>
  </w:style>
  <w:style w:type="paragraph" w:styleId="2">
    <w:name w:val="heading 1"/>
    <w:basedOn w:val="1"/>
    <w:next w:val="1"/>
    <w:link w:val="75"/>
    <w:qFormat/>
    <w:uiPriority w:val="9"/>
    <w:pPr>
      <w:keepNext/>
      <w:keepLines/>
      <w:spacing w:before="340" w:after="330" w:line="576" w:lineRule="auto"/>
      <w:outlineLvl w:val="0"/>
    </w:pPr>
    <w:rPr>
      <w:b/>
      <w:kern w:val="44"/>
      <w:sz w:val="44"/>
    </w:rPr>
  </w:style>
  <w:style w:type="paragraph" w:styleId="3">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2"/>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4"/>
    <w:unhideWhenUsed/>
    <w:qFormat/>
    <w:uiPriority w:val="9"/>
    <w:pPr>
      <w:keepNext/>
      <w:keepLines/>
      <w:outlineLvl w:val="3"/>
    </w:pPr>
    <w:rPr>
      <w:rFonts w:asciiTheme="majorHAnsi" w:hAnsiTheme="majorHAnsi" w:cstheme="majorBidi"/>
      <w:b/>
      <w:bCs/>
      <w:sz w:val="24"/>
      <w:szCs w:val="28"/>
    </w:rPr>
  </w:style>
  <w:style w:type="paragraph" w:styleId="6">
    <w:name w:val="heading 5"/>
    <w:basedOn w:val="1"/>
    <w:next w:val="1"/>
    <w:link w:val="74"/>
    <w:semiHidden/>
    <w:unhideWhenUsed/>
    <w:qFormat/>
    <w:uiPriority w:val="9"/>
    <w:pPr>
      <w:keepNext/>
      <w:keepLines/>
      <w:spacing w:before="280" w:after="290" w:line="372" w:lineRule="auto"/>
      <w:outlineLvl w:val="4"/>
    </w:pPr>
    <w:rPr>
      <w:b/>
      <w:sz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widowControl w:val="0"/>
      <w:adjustRightInd/>
      <w:snapToGrid/>
      <w:spacing w:line="240" w:lineRule="auto"/>
      <w:ind w:left="2520" w:leftChars="1200"/>
      <w:jc w:val="both"/>
    </w:pPr>
    <w:rPr>
      <w:rFonts w:asciiTheme="minorHAnsi" w:hAnsiTheme="minorHAnsi" w:eastAsiaTheme="minorEastAsia"/>
      <w:kern w:val="2"/>
    </w:rPr>
  </w:style>
  <w:style w:type="paragraph" w:styleId="8">
    <w:name w:val="Normal Indent"/>
    <w:basedOn w:val="1"/>
    <w:qFormat/>
    <w:uiPriority w:val="0"/>
    <w:pPr>
      <w:adjustRightInd/>
      <w:ind w:firstLine="420" w:firstLineChars="200"/>
    </w:pPr>
    <w:rPr>
      <w:rFonts w:ascii="Times New Roman" w:hAnsi="Calibri" w:cs="Times New Roman"/>
      <w:sz w:val="20"/>
      <w:szCs w:val="20"/>
    </w:rPr>
  </w:style>
  <w:style w:type="paragraph" w:styleId="9">
    <w:name w:val="List Bullet"/>
    <w:basedOn w:val="1"/>
    <w:semiHidden/>
    <w:unhideWhenUsed/>
    <w:qFormat/>
    <w:uiPriority w:val="99"/>
    <w:pPr>
      <w:numPr>
        <w:ilvl w:val="0"/>
        <w:numId w:val="1"/>
      </w:numPr>
    </w:pPr>
  </w:style>
  <w:style w:type="paragraph" w:styleId="10">
    <w:name w:val="annotation text"/>
    <w:basedOn w:val="1"/>
    <w:link w:val="63"/>
    <w:unhideWhenUsed/>
    <w:qFormat/>
    <w:uiPriority w:val="99"/>
  </w:style>
  <w:style w:type="paragraph" w:styleId="11">
    <w:name w:val="Body Text"/>
    <w:basedOn w:val="1"/>
    <w:next w:val="12"/>
    <w:link w:val="66"/>
    <w:qFormat/>
    <w:uiPriority w:val="1"/>
    <w:pPr>
      <w:spacing w:before="161"/>
      <w:ind w:left="120"/>
    </w:pPr>
    <w:rPr>
      <w:rFonts w:ascii="宋体" w:hAnsi="宋体" w:cs="宋体"/>
      <w:sz w:val="24"/>
      <w:lang w:val="zh-CN" w:bidi="zh-CN"/>
    </w:rPr>
  </w:style>
  <w:style w:type="paragraph" w:styleId="12">
    <w:name w:val="Body Text Indent"/>
    <w:basedOn w:val="1"/>
    <w:next w:val="13"/>
    <w:qFormat/>
    <w:uiPriority w:val="0"/>
    <w:pPr>
      <w:ind w:left="359" w:leftChars="171" w:firstLine="179" w:firstLineChars="85"/>
    </w:pPr>
    <w:rPr>
      <w:rFonts w:ascii="宋体" w:hAnsi="宋体"/>
      <w:b/>
      <w:bCs/>
      <w:szCs w:val="26"/>
    </w:rPr>
  </w:style>
  <w:style w:type="paragraph" w:styleId="13">
    <w:name w:val="envelope return"/>
    <w:basedOn w:val="1"/>
    <w:unhideWhenUsed/>
    <w:qFormat/>
    <w:uiPriority w:val="99"/>
  </w:style>
  <w:style w:type="paragraph" w:styleId="14">
    <w:name w:val="toc 5"/>
    <w:basedOn w:val="1"/>
    <w:next w:val="1"/>
    <w:unhideWhenUsed/>
    <w:qFormat/>
    <w:uiPriority w:val="39"/>
    <w:pPr>
      <w:widowControl w:val="0"/>
      <w:adjustRightInd/>
      <w:snapToGrid/>
      <w:spacing w:line="240" w:lineRule="auto"/>
      <w:ind w:left="1680" w:leftChars="800"/>
      <w:jc w:val="both"/>
    </w:pPr>
    <w:rPr>
      <w:rFonts w:asciiTheme="minorHAnsi" w:hAnsiTheme="minorHAnsi" w:eastAsiaTheme="minorEastAsia"/>
      <w:kern w:val="2"/>
    </w:rPr>
  </w:style>
  <w:style w:type="paragraph" w:styleId="15">
    <w:name w:val="toc 3"/>
    <w:basedOn w:val="1"/>
    <w:next w:val="1"/>
    <w:unhideWhenUsed/>
    <w:qFormat/>
    <w:uiPriority w:val="39"/>
    <w:pPr>
      <w:tabs>
        <w:tab w:val="right" w:leader="dot" w:pos="8296"/>
      </w:tabs>
      <w:ind w:left="838" w:leftChars="381"/>
    </w:pPr>
    <w:rPr>
      <w:szCs w:val="21"/>
    </w:rPr>
  </w:style>
  <w:style w:type="paragraph" w:styleId="16">
    <w:name w:val="Plain Text"/>
    <w:basedOn w:val="1"/>
    <w:link w:val="55"/>
    <w:qFormat/>
    <w:uiPriority w:val="0"/>
    <w:pPr>
      <w:widowControl w:val="0"/>
      <w:adjustRightInd/>
      <w:snapToGrid/>
      <w:jc w:val="both"/>
    </w:pPr>
    <w:rPr>
      <w:rFonts w:ascii="宋体" w:hAnsi="Courier New" w:cs="Times New Roman"/>
      <w:b/>
      <w:kern w:val="2"/>
      <w:szCs w:val="20"/>
    </w:rPr>
  </w:style>
  <w:style w:type="paragraph" w:styleId="17">
    <w:name w:val="toc 8"/>
    <w:basedOn w:val="1"/>
    <w:next w:val="1"/>
    <w:unhideWhenUsed/>
    <w:qFormat/>
    <w:uiPriority w:val="39"/>
    <w:pPr>
      <w:widowControl w:val="0"/>
      <w:adjustRightInd/>
      <w:snapToGrid/>
      <w:spacing w:line="240" w:lineRule="auto"/>
      <w:ind w:left="2940" w:leftChars="1400"/>
      <w:jc w:val="both"/>
    </w:pPr>
    <w:rPr>
      <w:rFonts w:asciiTheme="minorHAnsi" w:hAnsiTheme="minorHAnsi" w:eastAsiaTheme="minorEastAsia"/>
      <w:kern w:val="2"/>
    </w:rPr>
  </w:style>
  <w:style w:type="paragraph" w:styleId="18">
    <w:name w:val="Balloon Text"/>
    <w:basedOn w:val="1"/>
    <w:link w:val="58"/>
    <w:semiHidden/>
    <w:unhideWhenUsed/>
    <w:qFormat/>
    <w:uiPriority w:val="99"/>
    <w:rPr>
      <w:sz w:val="18"/>
      <w:szCs w:val="18"/>
    </w:rPr>
  </w:style>
  <w:style w:type="paragraph" w:styleId="19">
    <w:name w:val="footer"/>
    <w:basedOn w:val="1"/>
    <w:link w:val="57"/>
    <w:unhideWhenUsed/>
    <w:qFormat/>
    <w:uiPriority w:val="99"/>
    <w:pPr>
      <w:tabs>
        <w:tab w:val="center" w:pos="4153"/>
        <w:tab w:val="right" w:pos="8306"/>
      </w:tabs>
    </w:pPr>
    <w:rPr>
      <w:sz w:val="18"/>
      <w:szCs w:val="18"/>
    </w:rPr>
  </w:style>
  <w:style w:type="paragraph" w:styleId="20">
    <w:name w:val="header"/>
    <w:basedOn w:val="1"/>
    <w:link w:val="56"/>
    <w:unhideWhenUsed/>
    <w:qFormat/>
    <w:uiPriority w:val="99"/>
    <w:pPr>
      <w:pBdr>
        <w:bottom w:val="single" w:color="auto" w:sz="6" w:space="1"/>
      </w:pBdr>
      <w:tabs>
        <w:tab w:val="center" w:pos="4153"/>
        <w:tab w:val="right" w:pos="8306"/>
      </w:tabs>
      <w:jc w:val="center"/>
    </w:pPr>
    <w:rPr>
      <w:sz w:val="18"/>
      <w:szCs w:val="18"/>
    </w:rPr>
  </w:style>
  <w:style w:type="paragraph" w:styleId="21">
    <w:name w:val="toc 1"/>
    <w:basedOn w:val="1"/>
    <w:next w:val="1"/>
    <w:unhideWhenUsed/>
    <w:qFormat/>
    <w:uiPriority w:val="39"/>
  </w:style>
  <w:style w:type="paragraph" w:styleId="22">
    <w:name w:val="toc 4"/>
    <w:basedOn w:val="1"/>
    <w:next w:val="1"/>
    <w:unhideWhenUsed/>
    <w:qFormat/>
    <w:uiPriority w:val="39"/>
    <w:pPr>
      <w:tabs>
        <w:tab w:val="right" w:leader="dot" w:pos="8296"/>
      </w:tabs>
      <w:spacing w:after="120"/>
      <w:ind w:left="1320" w:leftChars="600"/>
    </w:pPr>
  </w:style>
  <w:style w:type="paragraph" w:styleId="23">
    <w:name w:val="footnote text"/>
    <w:basedOn w:val="1"/>
    <w:semiHidden/>
    <w:unhideWhenUsed/>
    <w:qFormat/>
    <w:uiPriority w:val="99"/>
    <w:rPr>
      <w:sz w:val="18"/>
    </w:rPr>
  </w:style>
  <w:style w:type="paragraph" w:styleId="24">
    <w:name w:val="toc 6"/>
    <w:basedOn w:val="1"/>
    <w:next w:val="1"/>
    <w:qFormat/>
    <w:uiPriority w:val="39"/>
    <w:pPr>
      <w:ind w:left="1200"/>
    </w:pPr>
    <w:rPr>
      <w:rFonts w:ascii="Calibri" w:cs="Calibri"/>
      <w:sz w:val="18"/>
      <w:szCs w:val="18"/>
    </w:rPr>
  </w:style>
  <w:style w:type="paragraph" w:styleId="25">
    <w:name w:val="toc 2"/>
    <w:basedOn w:val="1"/>
    <w:next w:val="1"/>
    <w:unhideWhenUsed/>
    <w:qFormat/>
    <w:uiPriority w:val="39"/>
    <w:pPr>
      <w:tabs>
        <w:tab w:val="right" w:leader="dot" w:pos="8296"/>
      </w:tabs>
      <w:ind w:left="440" w:leftChars="200"/>
      <w:jc w:val="center"/>
    </w:pPr>
    <w:rPr>
      <w:rFonts w:ascii="宋体" w:hAnsi="宋体"/>
      <w:sz w:val="30"/>
      <w:szCs w:val="30"/>
    </w:rPr>
  </w:style>
  <w:style w:type="paragraph" w:styleId="26">
    <w:name w:val="toc 9"/>
    <w:basedOn w:val="1"/>
    <w:next w:val="1"/>
    <w:unhideWhenUsed/>
    <w:qFormat/>
    <w:uiPriority w:val="39"/>
    <w:pPr>
      <w:widowControl w:val="0"/>
      <w:adjustRightInd/>
      <w:snapToGrid/>
      <w:spacing w:line="240" w:lineRule="auto"/>
      <w:ind w:left="3360" w:leftChars="1600"/>
      <w:jc w:val="both"/>
    </w:pPr>
    <w:rPr>
      <w:rFonts w:asciiTheme="minorHAnsi" w:hAnsiTheme="minorHAnsi" w:eastAsiaTheme="minorEastAsia"/>
      <w:kern w:val="2"/>
    </w:rPr>
  </w:style>
  <w:style w:type="paragraph" w:styleId="27">
    <w:name w:val="Normal (Web)"/>
    <w:basedOn w:val="1"/>
    <w:link w:val="60"/>
    <w:qFormat/>
    <w:uiPriority w:val="0"/>
    <w:pPr>
      <w:widowControl w:val="0"/>
      <w:adjustRightInd/>
      <w:snapToGrid/>
      <w:jc w:val="both"/>
    </w:pPr>
    <w:rPr>
      <w:rFonts w:asciiTheme="minorHAnsi" w:hAnsiTheme="minorHAnsi"/>
      <w:kern w:val="2"/>
      <w:sz w:val="24"/>
      <w:szCs w:val="24"/>
    </w:rPr>
  </w:style>
  <w:style w:type="paragraph" w:styleId="28">
    <w:name w:val="annotation subject"/>
    <w:basedOn w:val="10"/>
    <w:next w:val="10"/>
    <w:link w:val="64"/>
    <w:semiHidden/>
    <w:unhideWhenUsed/>
    <w:qFormat/>
    <w:uiPriority w:val="99"/>
    <w:rPr>
      <w:b/>
      <w:bCs/>
    </w:rPr>
  </w:style>
  <w:style w:type="paragraph" w:styleId="29">
    <w:name w:val="Body Text First Indent"/>
    <w:basedOn w:val="11"/>
    <w:next w:val="1"/>
    <w:qFormat/>
    <w:uiPriority w:val="0"/>
    <w:pPr>
      <w:spacing w:after="120"/>
      <w:ind w:firstLine="420" w:firstLineChars="100"/>
    </w:pPr>
    <w:rPr>
      <w:bCs/>
      <w:szCs w:val="21"/>
    </w:rPr>
  </w:style>
  <w:style w:type="paragraph" w:styleId="30">
    <w:name w:val="Body Text First Indent 2"/>
    <w:basedOn w:val="12"/>
    <w:unhideWhenUsed/>
    <w:qFormat/>
    <w:uiPriority w:val="0"/>
    <w:pPr>
      <w:autoSpaceDE w:val="0"/>
      <w:autoSpaceDN w:val="0"/>
      <w:spacing w:after="120"/>
      <w:ind w:left="420" w:leftChars="200" w:firstLine="420" w:firstLineChars="200"/>
    </w:pPr>
    <w:rPr>
      <w:rFonts w:hAnsi="Times New Roman"/>
      <w:sz w:val="24"/>
      <w:szCs w:val="24"/>
    </w:rPr>
  </w:style>
  <w:style w:type="table" w:styleId="32">
    <w:name w:val="Table Grid"/>
    <w:basedOn w:val="3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qFormat/>
    <w:uiPriority w:val="0"/>
  </w:style>
  <w:style w:type="character" w:styleId="35">
    <w:name w:val="Emphasis"/>
    <w:basedOn w:val="33"/>
    <w:qFormat/>
    <w:uiPriority w:val="20"/>
    <w:rPr>
      <w:i/>
      <w:iCs/>
    </w:rPr>
  </w:style>
  <w:style w:type="character" w:styleId="36">
    <w:name w:val="Hyperlink"/>
    <w:qFormat/>
    <w:uiPriority w:val="99"/>
    <w:rPr>
      <w:rFonts w:hint="eastAsia" w:ascii="宋体" w:hAnsi="宋体" w:eastAsia="宋体" w:cs="宋体"/>
      <w:b/>
      <w:color w:val="0031C1"/>
      <w:kern w:val="0"/>
      <w:sz w:val="18"/>
      <w:szCs w:val="18"/>
      <w:u w:val="none"/>
      <w:lang w:eastAsia="en-US"/>
    </w:rPr>
  </w:style>
  <w:style w:type="character" w:styleId="37">
    <w:name w:val="annotation reference"/>
    <w:basedOn w:val="33"/>
    <w:semiHidden/>
    <w:unhideWhenUsed/>
    <w:qFormat/>
    <w:uiPriority w:val="99"/>
    <w:rPr>
      <w:sz w:val="21"/>
      <w:szCs w:val="21"/>
    </w:rPr>
  </w:style>
  <w:style w:type="character" w:styleId="38">
    <w:name w:val="footnote reference"/>
    <w:basedOn w:val="33"/>
    <w:semiHidden/>
    <w:unhideWhenUsed/>
    <w:qFormat/>
    <w:uiPriority w:val="99"/>
    <w:rPr>
      <w:vertAlign w:val="superscript"/>
    </w:rPr>
  </w:style>
  <w:style w:type="paragraph" w:customStyle="1" w:styleId="39">
    <w:name w:val="样式 正文首行缩进 + 首行缩进:  1 字符"/>
    <w:basedOn w:val="1"/>
    <w:next w:val="1"/>
    <w:qFormat/>
    <w:uiPriority w:val="0"/>
    <w:pPr>
      <w:ind w:firstLine="200" w:firstLineChars="200"/>
    </w:pPr>
    <w:rPr>
      <w:rFonts w:cs="宋体"/>
      <w:szCs w:val="20"/>
    </w:rPr>
  </w:style>
  <w:style w:type="paragraph" w:customStyle="1" w:styleId="40">
    <w:name w:val="首行缩进"/>
    <w:basedOn w:val="1"/>
    <w:qFormat/>
    <w:uiPriority w:val="0"/>
    <w:pPr>
      <w:adjustRightInd/>
      <w:spacing w:line="300" w:lineRule="auto"/>
      <w:ind w:firstLine="420" w:firstLineChars="200"/>
      <w:jc w:val="both"/>
    </w:pPr>
    <w:rPr>
      <w:rFonts w:ascii="Calibri" w:hAnsi="Calibri" w:eastAsia="方正书宋简体" w:cs="Times New Roman"/>
      <w:sz w:val="20"/>
    </w:rPr>
  </w:style>
  <w:style w:type="character" w:customStyle="1" w:styleId="41">
    <w:name w:val="标题 2 字符"/>
    <w:basedOn w:val="33"/>
    <w:link w:val="3"/>
    <w:qFormat/>
    <w:uiPriority w:val="9"/>
    <w:rPr>
      <w:rFonts w:asciiTheme="majorHAnsi" w:hAnsiTheme="majorHAnsi" w:eastAsiaTheme="majorEastAsia" w:cstheme="majorBidi"/>
      <w:b/>
      <w:bCs/>
      <w:sz w:val="32"/>
      <w:szCs w:val="32"/>
    </w:rPr>
  </w:style>
  <w:style w:type="character" w:customStyle="1" w:styleId="42">
    <w:name w:val="标题 3 字符"/>
    <w:basedOn w:val="33"/>
    <w:link w:val="4"/>
    <w:qFormat/>
    <w:uiPriority w:val="9"/>
    <w:rPr>
      <w:rFonts w:ascii="Tahoma" w:hAnsi="Tahoma"/>
      <w:b/>
      <w:bCs/>
      <w:sz w:val="32"/>
      <w:szCs w:val="32"/>
    </w:rPr>
  </w:style>
  <w:style w:type="paragraph" w:styleId="43">
    <w:name w:val="List Paragraph"/>
    <w:basedOn w:val="1"/>
    <w:link w:val="65"/>
    <w:qFormat/>
    <w:uiPriority w:val="0"/>
    <w:pPr>
      <w:ind w:firstLine="420" w:firstLineChars="200"/>
    </w:pPr>
  </w:style>
  <w:style w:type="character" w:customStyle="1" w:styleId="44">
    <w:name w:val="标题 4 字符"/>
    <w:basedOn w:val="33"/>
    <w:link w:val="5"/>
    <w:qFormat/>
    <w:uiPriority w:val="9"/>
    <w:rPr>
      <w:rFonts w:eastAsia="宋体" w:asciiTheme="majorHAnsi" w:hAnsiTheme="majorHAnsi" w:cstheme="majorBidi"/>
      <w:b/>
      <w:bCs/>
      <w:sz w:val="24"/>
      <w:szCs w:val="28"/>
    </w:rPr>
  </w:style>
  <w:style w:type="character" w:customStyle="1" w:styleId="45">
    <w:name w:val="正文缩进2格 Char"/>
    <w:link w:val="46"/>
    <w:qFormat/>
    <w:uiPriority w:val="0"/>
    <w:rPr>
      <w:rFonts w:ascii="仿宋_GB2312" w:hAnsi="宋体" w:eastAsia="仿宋_GB2312"/>
      <w:kern w:val="2"/>
      <w:sz w:val="31"/>
    </w:rPr>
  </w:style>
  <w:style w:type="paragraph" w:customStyle="1" w:styleId="46">
    <w:name w:val="正文缩进2格"/>
    <w:basedOn w:val="1"/>
    <w:link w:val="45"/>
    <w:qFormat/>
    <w:uiPriority w:val="0"/>
    <w:pPr>
      <w:widowControl w:val="0"/>
      <w:adjustRightInd/>
      <w:snapToGrid/>
      <w:spacing w:line="600" w:lineRule="exact"/>
      <w:ind w:firstLine="639" w:firstLineChars="206"/>
      <w:jc w:val="both"/>
    </w:pPr>
    <w:rPr>
      <w:rFonts w:ascii="仿宋_GB2312" w:hAnsi="宋体" w:eastAsia="仿宋_GB2312"/>
      <w:kern w:val="2"/>
      <w:sz w:val="31"/>
    </w:rPr>
  </w:style>
  <w:style w:type="paragraph" w:customStyle="1" w:styleId="47">
    <w:name w:val="正文缩进4格"/>
    <w:basedOn w:val="46"/>
    <w:qFormat/>
    <w:uiPriority w:val="0"/>
    <w:pPr>
      <w:ind w:left="2" w:firstLine="538" w:firstLineChars="192"/>
    </w:pPr>
    <w:rPr>
      <w:color w:val="0000FF"/>
      <w:sz w:val="28"/>
    </w:rPr>
  </w:style>
  <w:style w:type="character" w:customStyle="1" w:styleId="48">
    <w:name w:val="正文缩进2格 Char Char"/>
    <w:qFormat/>
    <w:uiPriority w:val="0"/>
    <w:rPr>
      <w:rFonts w:ascii="仿宋_GB2312" w:hAnsi="宋体" w:eastAsia="仿宋_GB2312" w:cs="Times New Roman"/>
      <w:b/>
      <w:kern w:val="2"/>
      <w:sz w:val="31"/>
      <w:szCs w:val="28"/>
      <w:lang w:val="en-US" w:eastAsia="zh-CN" w:bidi="ar-SA"/>
    </w:rPr>
  </w:style>
  <w:style w:type="paragraph" w:customStyle="1" w:styleId="49">
    <w:name w:val="_Style 3"/>
    <w:basedOn w:val="1"/>
    <w:qFormat/>
    <w:uiPriority w:val="0"/>
    <w:pPr>
      <w:widowControl w:val="0"/>
      <w:adjustRightInd/>
      <w:snapToGrid/>
      <w:ind w:firstLine="420" w:firstLineChars="200"/>
      <w:jc w:val="both"/>
    </w:pPr>
    <w:rPr>
      <w:rFonts w:ascii="Times New Roman" w:hAnsi="Times New Roman" w:cs="Times New Roman"/>
      <w:kern w:val="2"/>
      <w:szCs w:val="24"/>
    </w:rPr>
  </w:style>
  <w:style w:type="character" w:customStyle="1" w:styleId="50">
    <w:name w:val="标题1"/>
    <w:qFormat/>
    <w:uiPriority w:val="0"/>
    <w:rPr>
      <w:rFonts w:ascii="Times New Roman" w:hAnsi="Times New Roman" w:eastAsia="宋体" w:cs="Times New Roman"/>
      <w:b/>
      <w:kern w:val="0"/>
      <w:sz w:val="24"/>
      <w:szCs w:val="20"/>
      <w:lang w:eastAsia="en-US"/>
    </w:rPr>
  </w:style>
  <w:style w:type="character" w:customStyle="1" w:styleId="51">
    <w:name w:val="标题 3.1 Char"/>
    <w:link w:val="52"/>
    <w:qFormat/>
    <w:uiPriority w:val="0"/>
    <w:rPr>
      <w:rFonts w:ascii="宋体" w:hAnsi="宋体" w:eastAsia="宋体"/>
      <w:b/>
      <w:color w:val="FF0000"/>
      <w:kern w:val="2"/>
      <w:sz w:val="32"/>
    </w:rPr>
  </w:style>
  <w:style w:type="paragraph" w:customStyle="1" w:styleId="52">
    <w:name w:val="标题 3.1"/>
    <w:basedOn w:val="4"/>
    <w:link w:val="51"/>
    <w:qFormat/>
    <w:uiPriority w:val="0"/>
    <w:pPr>
      <w:widowControl w:val="0"/>
      <w:tabs>
        <w:tab w:val="left" w:pos="1440"/>
        <w:tab w:val="left" w:pos="1620"/>
      </w:tabs>
      <w:adjustRightInd/>
      <w:snapToGrid/>
      <w:spacing w:line="600" w:lineRule="exact"/>
      <w:jc w:val="both"/>
    </w:pPr>
    <w:rPr>
      <w:rFonts w:ascii="宋体" w:hAnsi="宋体"/>
      <w:bCs w:val="0"/>
      <w:color w:val="FF0000"/>
      <w:kern w:val="2"/>
      <w:szCs w:val="22"/>
    </w:rPr>
  </w:style>
  <w:style w:type="character" w:customStyle="1" w:styleId="53">
    <w:name w:val="样式 楷体_GB2312 小四"/>
    <w:qFormat/>
    <w:uiPriority w:val="0"/>
    <w:rPr>
      <w:rFonts w:ascii="楷体_GB2312" w:hAnsi="楷体_GB2312" w:eastAsia="仿宋_GB2312"/>
      <w:sz w:val="24"/>
    </w:rPr>
  </w:style>
  <w:style w:type="character" w:customStyle="1" w:styleId="54">
    <w:name w:val="纯文本 Char"/>
    <w:qFormat/>
    <w:uiPriority w:val="0"/>
    <w:rPr>
      <w:rFonts w:ascii="宋体" w:hAnsi="Courier New" w:eastAsia="宋体" w:cs="Times New Roman"/>
      <w:b/>
      <w:kern w:val="2"/>
      <w:sz w:val="21"/>
      <w:szCs w:val="20"/>
    </w:rPr>
  </w:style>
  <w:style w:type="character" w:customStyle="1" w:styleId="55">
    <w:name w:val="纯文本 字符"/>
    <w:basedOn w:val="33"/>
    <w:link w:val="16"/>
    <w:semiHidden/>
    <w:qFormat/>
    <w:uiPriority w:val="99"/>
    <w:rPr>
      <w:rFonts w:ascii="宋体" w:hAnsi="Courier New" w:eastAsia="宋体" w:cs="Courier New"/>
      <w:sz w:val="21"/>
      <w:szCs w:val="21"/>
    </w:rPr>
  </w:style>
  <w:style w:type="character" w:customStyle="1" w:styleId="56">
    <w:name w:val="页眉 字符"/>
    <w:basedOn w:val="33"/>
    <w:link w:val="20"/>
    <w:qFormat/>
    <w:uiPriority w:val="99"/>
    <w:rPr>
      <w:rFonts w:ascii="Tahoma" w:hAnsi="Tahoma"/>
      <w:sz w:val="18"/>
      <w:szCs w:val="18"/>
    </w:rPr>
  </w:style>
  <w:style w:type="character" w:customStyle="1" w:styleId="57">
    <w:name w:val="页脚 字符"/>
    <w:basedOn w:val="33"/>
    <w:link w:val="19"/>
    <w:qFormat/>
    <w:uiPriority w:val="99"/>
    <w:rPr>
      <w:rFonts w:ascii="Tahoma" w:hAnsi="Tahoma"/>
      <w:sz w:val="18"/>
      <w:szCs w:val="18"/>
    </w:rPr>
  </w:style>
  <w:style w:type="character" w:customStyle="1" w:styleId="58">
    <w:name w:val="批注框文本 字符"/>
    <w:basedOn w:val="33"/>
    <w:link w:val="18"/>
    <w:semiHidden/>
    <w:qFormat/>
    <w:uiPriority w:val="99"/>
    <w:rPr>
      <w:rFonts w:ascii="Tahoma" w:hAnsi="Tahoma"/>
      <w:sz w:val="18"/>
      <w:szCs w:val="18"/>
    </w:rPr>
  </w:style>
  <w:style w:type="paragraph" w:customStyle="1" w:styleId="59">
    <w:name w:val="Char Char2 Char"/>
    <w:basedOn w:val="1"/>
    <w:qFormat/>
    <w:uiPriority w:val="0"/>
    <w:pPr>
      <w:widowControl w:val="0"/>
      <w:adjustRightInd/>
      <w:snapToGrid/>
      <w:jc w:val="both"/>
    </w:pPr>
    <w:rPr>
      <w:rFonts w:ascii="宋体" w:hAnsi="宋体" w:cs="Times New Roman"/>
      <w:b/>
      <w:kern w:val="2"/>
      <w:sz w:val="28"/>
      <w:szCs w:val="28"/>
    </w:rPr>
  </w:style>
  <w:style w:type="character" w:customStyle="1" w:styleId="60">
    <w:name w:val="普通(网站) 字符"/>
    <w:link w:val="27"/>
    <w:qFormat/>
    <w:uiPriority w:val="0"/>
    <w:rPr>
      <w:rFonts w:eastAsia="宋体"/>
      <w:kern w:val="2"/>
      <w:sz w:val="24"/>
      <w:szCs w:val="24"/>
    </w:rPr>
  </w:style>
  <w:style w:type="paragraph" w:customStyle="1" w:styleId="61">
    <w:name w:val="列出段落1"/>
    <w:basedOn w:val="1"/>
    <w:qFormat/>
    <w:uiPriority w:val="99"/>
    <w:pPr>
      <w:widowControl w:val="0"/>
      <w:adjustRightInd/>
      <w:snapToGrid/>
      <w:ind w:firstLine="420" w:firstLineChars="200"/>
      <w:jc w:val="both"/>
    </w:pPr>
    <w:rPr>
      <w:rFonts w:ascii="Times New Roman" w:hAnsi="Times New Roman" w:cs="Times New Roman"/>
      <w:kern w:val="2"/>
      <w:sz w:val="24"/>
      <w:szCs w:val="24"/>
    </w:rPr>
  </w:style>
  <w:style w:type="character" w:customStyle="1" w:styleId="62">
    <w:name w:val="p141"/>
    <w:qFormat/>
    <w:uiPriority w:val="0"/>
    <w:rPr>
      <w:sz w:val="21"/>
      <w:szCs w:val="21"/>
    </w:rPr>
  </w:style>
  <w:style w:type="character" w:customStyle="1" w:styleId="63">
    <w:name w:val="批注文字 字符"/>
    <w:basedOn w:val="33"/>
    <w:link w:val="10"/>
    <w:qFormat/>
    <w:uiPriority w:val="99"/>
    <w:rPr>
      <w:rFonts w:ascii="Tahoma" w:hAnsi="Tahoma" w:eastAsia="微软雅黑" w:cstheme="minorBidi"/>
      <w:sz w:val="22"/>
      <w:szCs w:val="22"/>
    </w:rPr>
  </w:style>
  <w:style w:type="character" w:customStyle="1" w:styleId="64">
    <w:name w:val="批注主题 字符"/>
    <w:basedOn w:val="63"/>
    <w:link w:val="28"/>
    <w:semiHidden/>
    <w:qFormat/>
    <w:uiPriority w:val="99"/>
    <w:rPr>
      <w:rFonts w:ascii="Tahoma" w:hAnsi="Tahoma" w:eastAsia="微软雅黑" w:cstheme="minorBidi"/>
      <w:b/>
      <w:bCs/>
      <w:sz w:val="22"/>
      <w:szCs w:val="22"/>
    </w:rPr>
  </w:style>
  <w:style w:type="character" w:customStyle="1" w:styleId="65">
    <w:name w:val="列表段落 字符"/>
    <w:link w:val="43"/>
    <w:qFormat/>
    <w:uiPriority w:val="0"/>
    <w:rPr>
      <w:rFonts w:ascii="Tahoma" w:hAnsi="Tahoma" w:eastAsia="微软雅黑" w:cstheme="minorBidi"/>
      <w:sz w:val="22"/>
      <w:szCs w:val="22"/>
    </w:rPr>
  </w:style>
  <w:style w:type="character" w:customStyle="1" w:styleId="66">
    <w:name w:val="正文文本 字符"/>
    <w:basedOn w:val="33"/>
    <w:link w:val="11"/>
    <w:qFormat/>
    <w:uiPriority w:val="1"/>
    <w:rPr>
      <w:rFonts w:ascii="宋体" w:hAnsi="宋体" w:cs="宋体"/>
      <w:sz w:val="24"/>
      <w:szCs w:val="22"/>
      <w:lang w:val="zh-CN" w:bidi="zh-CN"/>
    </w:rPr>
  </w:style>
  <w:style w:type="paragraph" w:customStyle="1" w:styleId="6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8">
    <w:name w:val="_Style 1"/>
    <w:basedOn w:val="1"/>
    <w:qFormat/>
    <w:uiPriority w:val="0"/>
    <w:pPr>
      <w:ind w:firstLine="420" w:firstLineChars="200"/>
    </w:pPr>
  </w:style>
  <w:style w:type="paragraph" w:customStyle="1" w:styleId="69">
    <w:name w:val="列出段落2"/>
    <w:basedOn w:val="1"/>
    <w:qFormat/>
    <w:uiPriority w:val="0"/>
    <w:pPr>
      <w:ind w:firstLine="420" w:firstLineChars="200"/>
    </w:pPr>
  </w:style>
  <w:style w:type="paragraph" w:customStyle="1" w:styleId="70">
    <w:name w:val="p0"/>
    <w:basedOn w:val="1"/>
    <w:qFormat/>
    <w:uiPriority w:val="0"/>
    <w:rPr>
      <w:szCs w:val="21"/>
    </w:rPr>
  </w:style>
  <w:style w:type="paragraph" w:customStyle="1" w:styleId="71">
    <w:name w:val="正文文本缩进 21"/>
    <w:basedOn w:val="1"/>
    <w:qFormat/>
    <w:uiPriority w:val="0"/>
    <w:pPr>
      <w:spacing w:line="480" w:lineRule="auto"/>
      <w:ind w:firstLine="540"/>
    </w:pPr>
    <w:rPr>
      <w:rFonts w:ascii="Calibri" w:hAnsi="Calibri"/>
      <w:sz w:val="20"/>
      <w:szCs w:val="20"/>
    </w:rPr>
  </w:style>
  <w:style w:type="paragraph" w:customStyle="1" w:styleId="72">
    <w:name w:val="_Style 2"/>
    <w:basedOn w:val="1"/>
    <w:qFormat/>
    <w:uiPriority w:val="0"/>
    <w:pPr>
      <w:ind w:firstLine="420" w:firstLineChars="200"/>
    </w:pPr>
  </w:style>
  <w:style w:type="paragraph" w:customStyle="1" w:styleId="73">
    <w:name w:val="msolistparagraph"/>
    <w:basedOn w:val="1"/>
    <w:qFormat/>
    <w:uiPriority w:val="0"/>
    <w:pPr>
      <w:ind w:firstLine="420" w:firstLineChars="200"/>
    </w:pPr>
    <w:rPr>
      <w:rFonts w:hint="eastAsia" w:hAnsi="宋体"/>
    </w:rPr>
  </w:style>
  <w:style w:type="character" w:customStyle="1" w:styleId="74">
    <w:name w:val="标题 5 字符"/>
    <w:link w:val="6"/>
    <w:qFormat/>
    <w:uiPriority w:val="0"/>
    <w:rPr>
      <w:b/>
      <w:sz w:val="28"/>
    </w:rPr>
  </w:style>
  <w:style w:type="character" w:customStyle="1" w:styleId="75">
    <w:name w:val="标题 1 字符"/>
    <w:link w:val="2"/>
    <w:qFormat/>
    <w:uiPriority w:val="9"/>
    <w:rPr>
      <w:b/>
      <w:kern w:val="44"/>
      <w:sz w:val="44"/>
    </w:rPr>
  </w:style>
  <w:style w:type="paragraph" w:customStyle="1" w:styleId="76">
    <w:name w:val="修订1"/>
    <w:hidden/>
    <w:semiHidden/>
    <w:qFormat/>
    <w:uiPriority w:val="99"/>
    <w:rPr>
      <w:rFonts w:ascii="Tahoma" w:hAnsi="Tahoma" w:eastAsia="宋体" w:cstheme="minorBidi"/>
      <w:sz w:val="21"/>
      <w:szCs w:val="22"/>
      <w:lang w:val="en-US" w:eastAsia="zh-CN" w:bidi="ar-SA"/>
    </w:rPr>
  </w:style>
  <w:style w:type="paragraph" w:customStyle="1" w:styleId="77">
    <w:name w:val="表格文字"/>
    <w:basedOn w:val="1"/>
    <w:qFormat/>
    <w:uiPriority w:val="0"/>
    <w:pPr>
      <w:adjustRightInd/>
      <w:spacing w:before="25" w:after="25"/>
    </w:pPr>
    <w:rPr>
      <w:rFonts w:ascii="Times New Roman"/>
      <w:bCs/>
      <w:spacing w:val="10"/>
      <w:szCs w:val="20"/>
    </w:rPr>
  </w:style>
  <w:style w:type="paragraph" w:customStyle="1" w:styleId="78">
    <w:name w:val="纯文本1"/>
    <w:basedOn w:val="79"/>
    <w:qFormat/>
    <w:uiPriority w:val="0"/>
    <w:rPr>
      <w:rFonts w:ascii="宋体" w:hAnsi="Courier New"/>
      <w:szCs w:val="20"/>
    </w:rPr>
  </w:style>
  <w:style w:type="paragraph" w:customStyle="1" w:styleId="79">
    <w:name w:val="正文 New"/>
    <w:qFormat/>
    <w:uiPriority w:val="99"/>
    <w:pPr>
      <w:widowControl w:val="0"/>
      <w:spacing w:line="360" w:lineRule="auto"/>
      <w:jc w:val="both"/>
    </w:pPr>
    <w:rPr>
      <w:rFonts w:ascii="Times New Roman" w:hAnsi="Times New Roman" w:eastAsia="宋体" w:cs="黑体"/>
      <w:kern w:val="2"/>
      <w:sz w:val="21"/>
      <w:szCs w:val="22"/>
      <w:lang w:val="en-US" w:eastAsia="zh-CN" w:bidi="ar-SA"/>
    </w:rPr>
  </w:style>
  <w:style w:type="paragraph" w:customStyle="1" w:styleId="80">
    <w:name w:val="正文2"/>
    <w:qFormat/>
    <w:uiPriority w:val="0"/>
    <w:pPr>
      <w:jc w:val="both"/>
    </w:pPr>
    <w:rPr>
      <w:rFonts w:ascii="Times New Roman" w:hAnsi="Times New Roman" w:eastAsia="宋体" w:cs="Times New Roman"/>
      <w:kern w:val="2"/>
      <w:sz w:val="21"/>
      <w:szCs w:val="21"/>
      <w:lang w:val="en-US" w:eastAsia="zh-CN" w:bidi="ar-SA"/>
    </w:rPr>
  </w:style>
  <w:style w:type="table" w:customStyle="1" w:styleId="81">
    <w:name w:val="Table Normal"/>
    <w:semiHidden/>
    <w:unhideWhenUsed/>
    <w:qFormat/>
    <w:uiPriority w:val="2"/>
    <w:tblPr>
      <w:tblCellMar>
        <w:top w:w="0" w:type="dxa"/>
        <w:left w:w="0" w:type="dxa"/>
        <w:bottom w:w="0" w:type="dxa"/>
        <w:right w:w="0" w:type="dxa"/>
      </w:tblCellMar>
    </w:tblPr>
  </w:style>
  <w:style w:type="paragraph" w:customStyle="1" w:styleId="82">
    <w:name w:val="Table Paragraph"/>
    <w:basedOn w:val="1"/>
    <w:qFormat/>
    <w:uiPriority w:val="1"/>
  </w:style>
  <w:style w:type="paragraph" w:customStyle="1" w:styleId="83">
    <w:name w:val="正文文本缩进1"/>
    <w:basedOn w:val="79"/>
    <w:qFormat/>
    <w:uiPriority w:val="0"/>
    <w:pPr>
      <w:spacing w:after="120"/>
      <w:ind w:left="420" w:leftChars="200"/>
    </w:pPr>
  </w:style>
  <w:style w:type="paragraph" w:customStyle="1" w:styleId="84">
    <w:name w:val="正文 New New"/>
    <w:qFormat/>
    <w:uiPriority w:val="0"/>
    <w:pPr>
      <w:widowControl w:val="0"/>
      <w:jc w:val="both"/>
    </w:pPr>
    <w:rPr>
      <w:rFonts w:ascii="Times New Roman" w:hAnsi="Times New Roman" w:eastAsia="宋体" w:cs="Times New Roman"/>
      <w:szCs w:val="24"/>
      <w:lang w:val="en-US" w:eastAsia="zh-CN" w:bidi="ar-SA"/>
    </w:rPr>
  </w:style>
  <w:style w:type="paragraph" w:customStyle="1" w:styleId="85">
    <w:name w:val="纯文本2"/>
    <w:basedOn w:val="79"/>
    <w:qFormat/>
    <w:uiPriority w:val="0"/>
    <w:rPr>
      <w:rFonts w:ascii="宋体" w:hAnsi="Courier New"/>
      <w:szCs w:val="20"/>
    </w:rPr>
  </w:style>
  <w:style w:type="character" w:customStyle="1" w:styleId="86">
    <w:name w:val="font141"/>
    <w:qFormat/>
    <w:uiPriority w:val="0"/>
    <w:rPr>
      <w:rFonts w:hint="default" w:ascii="Times New Roman" w:hAnsi="Times New Roman" w:cs="Times New Roman"/>
      <w:color w:val="000000"/>
      <w:sz w:val="18"/>
      <w:szCs w:val="18"/>
      <w:u w:val="none"/>
    </w:rPr>
  </w:style>
  <w:style w:type="character" w:customStyle="1" w:styleId="87">
    <w:name w:val="font7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2FDE4B-77BC-4B7C-94B1-DC883D12665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113</Pages>
  <Words>21671</Words>
  <Characters>22719</Characters>
  <Lines>66</Lines>
  <Paragraphs>65</Paragraphs>
  <TotalTime>7</TotalTime>
  <ScaleCrop>false</ScaleCrop>
  <LinksUpToDate>false</LinksUpToDate>
  <CharactersWithSpaces>23066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2022-10-28T09:19:00Z</dcterms:created>
  <dc:creator>MyPC</dc:creator>
  <cp:lastModifiedBy>456</cp:lastModifiedBy>
  <cp:lastPrinted>2022-12-01T06:09:00Z</cp:lastPrinted>
  <dcterms:modified xsi:type="dcterms:W3CDTF">2026-05-29T02:38:55Z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7A6A13A1988749D2BBEBD108FE200611_13</vt:lpwstr>
  </property>
  <property fmtid="{D5CDD505-2E9C-101B-9397-08002B2CF9AE}" pid="4" name="KSOTemplateDocerSaveRecord">
    <vt:lpwstr>eyJoZGlkIjoiMjA3ODQ0Zjk5MTc3OWJiYmUyZTM2NjllYTAzNzZlNTAiLCJ1c2VySWQiOiIyODI2MTk1NTAifQ==</vt:lpwstr>
  </property>
</Properties>
</file>