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3D7E87">
      <w:pPr>
        <w:shd w:val="clear"/>
        <w:jc w:val="right"/>
        <w:rPr>
          <w:rFonts w:hint="eastAsia" w:ascii="宋体" w:hAnsi="宋体" w:eastAsia="宋体" w:cs="宋体"/>
          <w:color w:val="auto"/>
          <w:szCs w:val="21"/>
          <w:highlight w:val="none"/>
        </w:rPr>
      </w:pPr>
    </w:p>
    <w:p w14:paraId="7E05F96A">
      <w:pPr>
        <w:pStyle w:val="44"/>
        <w:shd w:val="clear"/>
        <w:ind w:firstLine="400"/>
        <w:rPr>
          <w:rFonts w:hint="eastAsia" w:ascii="宋体" w:hAnsi="宋体" w:eastAsia="宋体" w:cs="宋体"/>
          <w:color w:val="auto"/>
          <w:highlight w:val="none"/>
        </w:rPr>
      </w:pPr>
    </w:p>
    <w:p w14:paraId="5D9F7695">
      <w:pPr>
        <w:shd w:val="clear"/>
        <w:rPr>
          <w:rFonts w:hint="eastAsia" w:ascii="宋体" w:hAnsi="宋体" w:eastAsia="宋体" w:cs="宋体"/>
          <w:color w:val="auto"/>
          <w:highlight w:val="none"/>
        </w:rPr>
      </w:pPr>
    </w:p>
    <w:p w14:paraId="53AF2FFA">
      <w:pPr>
        <w:shd w:val="clear"/>
        <w:rPr>
          <w:rFonts w:hint="eastAsia" w:ascii="宋体" w:hAnsi="宋体" w:eastAsia="宋体" w:cs="宋体"/>
          <w:color w:val="auto"/>
          <w:highlight w:val="none"/>
        </w:rPr>
      </w:pPr>
    </w:p>
    <w:p w14:paraId="0630EB0E">
      <w:pPr>
        <w:shd w:val="clear"/>
        <w:rPr>
          <w:rFonts w:hint="eastAsia" w:ascii="宋体" w:hAnsi="宋体" w:eastAsia="宋体" w:cs="宋体"/>
          <w:color w:val="auto"/>
          <w:highlight w:val="none"/>
        </w:rPr>
      </w:pPr>
    </w:p>
    <w:p w14:paraId="7F6100AB">
      <w:pPr>
        <w:shd w:val="clear"/>
        <w:ind w:right="-28"/>
        <w:jc w:val="center"/>
        <w:textAlignment w:val="bottom"/>
        <w:rPr>
          <w:rFonts w:hint="eastAsia" w:ascii="宋体" w:hAnsi="宋体" w:eastAsia="宋体" w:cs="宋体"/>
          <w:bCs/>
          <w:color w:val="auto"/>
          <w:spacing w:val="57"/>
          <w:sz w:val="96"/>
          <w:szCs w:val="96"/>
          <w:highlight w:val="none"/>
        </w:rPr>
      </w:pPr>
      <w:r>
        <w:rPr>
          <w:rFonts w:hint="eastAsia" w:ascii="宋体" w:hAnsi="宋体" w:eastAsia="宋体" w:cs="宋体"/>
          <w:bCs/>
          <w:color w:val="auto"/>
          <w:spacing w:val="57"/>
          <w:sz w:val="96"/>
          <w:szCs w:val="96"/>
          <w:highlight w:val="none"/>
        </w:rPr>
        <w:t>公开采购文件</w:t>
      </w:r>
    </w:p>
    <w:p w14:paraId="2661657D">
      <w:pPr>
        <w:shd w:val="clear"/>
        <w:rPr>
          <w:rFonts w:hint="eastAsia" w:ascii="宋体" w:hAnsi="宋体" w:eastAsia="宋体" w:cs="宋体"/>
          <w:color w:val="auto"/>
          <w:highlight w:val="none"/>
        </w:rPr>
      </w:pPr>
    </w:p>
    <w:p w14:paraId="296F0397">
      <w:pPr>
        <w:pStyle w:val="13"/>
        <w:shd w:val="clear"/>
        <w:rPr>
          <w:rFonts w:hint="eastAsia" w:ascii="宋体" w:hAnsi="宋体" w:eastAsia="宋体" w:cs="宋体"/>
          <w:color w:val="auto"/>
          <w:highlight w:val="none"/>
        </w:rPr>
      </w:pPr>
    </w:p>
    <w:tbl>
      <w:tblPr>
        <w:tblStyle w:val="35"/>
        <w:tblW w:w="0" w:type="auto"/>
        <w:tblInd w:w="-29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613"/>
        <w:gridCol w:w="6203"/>
      </w:tblGrid>
      <w:tr w14:paraId="363B60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7" w:hRule="atLeast"/>
        </w:trPr>
        <w:tc>
          <w:tcPr>
            <w:tcW w:w="2613" w:type="dxa"/>
            <w:vAlign w:val="center"/>
          </w:tcPr>
          <w:p w14:paraId="0A9F5F6B">
            <w:pPr>
              <w:shd w:val="clear"/>
              <w:spacing w:before="200"/>
              <w:jc w:val="both"/>
              <w:rPr>
                <w:rFonts w:hint="eastAsia" w:ascii="宋体" w:hAnsi="宋体" w:eastAsia="宋体" w:cs="宋体"/>
                <w:bCs/>
                <w:color w:val="auto"/>
                <w:sz w:val="32"/>
                <w:szCs w:val="24"/>
                <w:highlight w:val="none"/>
              </w:rPr>
            </w:pPr>
            <w:r>
              <w:rPr>
                <w:rFonts w:hint="eastAsia" w:ascii="宋体" w:hAnsi="宋体" w:eastAsia="宋体" w:cs="宋体"/>
                <w:bCs/>
                <w:color w:val="auto"/>
                <w:sz w:val="32"/>
                <w:szCs w:val="24"/>
                <w:highlight w:val="none"/>
              </w:rPr>
              <w:t>项目名称：</w:t>
            </w:r>
          </w:p>
        </w:tc>
        <w:tc>
          <w:tcPr>
            <w:tcW w:w="6203" w:type="dxa"/>
            <w:vAlign w:val="center"/>
          </w:tcPr>
          <w:p w14:paraId="65DFE124">
            <w:pPr>
              <w:shd w:val="clear"/>
              <w:spacing w:before="200"/>
              <w:jc w:val="both"/>
              <w:rPr>
                <w:rFonts w:hint="eastAsia" w:ascii="宋体" w:hAnsi="宋体" w:eastAsia="宋体" w:cs="宋体"/>
                <w:bCs/>
                <w:color w:val="auto"/>
                <w:sz w:val="32"/>
                <w:szCs w:val="24"/>
                <w:highlight w:val="none"/>
                <w:lang w:eastAsia="zh-CN"/>
              </w:rPr>
            </w:pPr>
            <w:r>
              <w:rPr>
                <w:rFonts w:hint="eastAsia" w:ascii="宋体" w:hAnsi="宋体" w:cs="宋体"/>
                <w:bCs/>
                <w:color w:val="auto"/>
                <w:sz w:val="32"/>
                <w:szCs w:val="24"/>
                <w:highlight w:val="none"/>
                <w:u w:val="single"/>
                <w:lang w:eastAsia="zh-CN"/>
              </w:rPr>
              <w:t>新锋燃气低值日杂品采购项目（重新采购）</w:t>
            </w:r>
          </w:p>
        </w:tc>
      </w:tr>
      <w:tr w14:paraId="6B60D8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5" w:hRule="atLeast"/>
        </w:trPr>
        <w:tc>
          <w:tcPr>
            <w:tcW w:w="2613" w:type="dxa"/>
            <w:vAlign w:val="center"/>
          </w:tcPr>
          <w:p w14:paraId="2CE15D40">
            <w:pPr>
              <w:shd w:val="clear"/>
              <w:spacing w:before="200"/>
              <w:jc w:val="both"/>
              <w:rPr>
                <w:rFonts w:hint="eastAsia" w:ascii="宋体" w:hAnsi="宋体" w:eastAsia="宋体" w:cs="宋体"/>
                <w:bCs/>
                <w:color w:val="auto"/>
                <w:sz w:val="32"/>
                <w:szCs w:val="24"/>
                <w:highlight w:val="none"/>
              </w:rPr>
            </w:pPr>
            <w:r>
              <w:rPr>
                <w:rFonts w:hint="eastAsia" w:ascii="宋体" w:hAnsi="宋体" w:eastAsia="宋体" w:cs="宋体"/>
                <w:bCs/>
                <w:color w:val="auto"/>
                <w:sz w:val="32"/>
                <w:szCs w:val="24"/>
                <w:highlight w:val="none"/>
              </w:rPr>
              <w:t>项目采购编号：</w:t>
            </w:r>
          </w:p>
        </w:tc>
        <w:tc>
          <w:tcPr>
            <w:tcW w:w="6203" w:type="dxa"/>
            <w:vAlign w:val="center"/>
          </w:tcPr>
          <w:p w14:paraId="04ABBFEE">
            <w:pPr>
              <w:shd w:val="clear"/>
              <w:spacing w:before="200"/>
              <w:jc w:val="both"/>
              <w:rPr>
                <w:rFonts w:hint="eastAsia" w:ascii="宋体" w:hAnsi="宋体" w:eastAsia="宋体" w:cs="宋体"/>
                <w:bCs/>
                <w:color w:val="auto"/>
                <w:sz w:val="32"/>
                <w:szCs w:val="24"/>
                <w:highlight w:val="none"/>
                <w:lang w:eastAsia="zh-CN"/>
              </w:rPr>
            </w:pPr>
            <w:r>
              <w:rPr>
                <w:rFonts w:hint="eastAsia" w:ascii="宋体" w:hAnsi="宋体" w:cs="宋体"/>
                <w:bCs/>
                <w:color w:val="auto"/>
                <w:sz w:val="32"/>
                <w:szCs w:val="24"/>
                <w:highlight w:val="none"/>
                <w:u w:val="single"/>
                <w:lang w:eastAsia="zh-CN"/>
              </w:rPr>
              <w:t>WTZB2026DG0002-1</w:t>
            </w:r>
          </w:p>
        </w:tc>
      </w:tr>
      <w:tr w14:paraId="7965EE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9" w:hRule="atLeast"/>
        </w:trPr>
        <w:tc>
          <w:tcPr>
            <w:tcW w:w="2613" w:type="dxa"/>
            <w:vAlign w:val="center"/>
          </w:tcPr>
          <w:p w14:paraId="21F4669A">
            <w:pPr>
              <w:shd w:val="clear"/>
              <w:spacing w:before="200"/>
              <w:jc w:val="both"/>
              <w:rPr>
                <w:rFonts w:hint="eastAsia" w:ascii="宋体" w:hAnsi="宋体" w:eastAsia="宋体" w:cs="宋体"/>
                <w:bCs/>
                <w:color w:val="auto"/>
                <w:sz w:val="32"/>
                <w:szCs w:val="24"/>
                <w:highlight w:val="none"/>
              </w:rPr>
            </w:pPr>
            <w:r>
              <w:rPr>
                <w:rFonts w:hint="eastAsia" w:ascii="宋体" w:hAnsi="宋体" w:eastAsia="宋体" w:cs="宋体"/>
                <w:bCs/>
                <w:color w:val="auto"/>
                <w:sz w:val="32"/>
                <w:szCs w:val="24"/>
                <w:highlight w:val="none"/>
              </w:rPr>
              <w:t>采购人：</w:t>
            </w:r>
          </w:p>
        </w:tc>
        <w:tc>
          <w:tcPr>
            <w:tcW w:w="6203" w:type="dxa"/>
            <w:vAlign w:val="center"/>
          </w:tcPr>
          <w:p w14:paraId="05D792E7">
            <w:pPr>
              <w:shd w:val="clear"/>
              <w:spacing w:before="200"/>
              <w:jc w:val="both"/>
              <w:rPr>
                <w:rFonts w:hint="eastAsia" w:ascii="宋体" w:hAnsi="宋体" w:eastAsia="宋体" w:cs="宋体"/>
                <w:bCs/>
                <w:color w:val="auto"/>
                <w:sz w:val="32"/>
                <w:szCs w:val="24"/>
                <w:highlight w:val="none"/>
                <w:lang w:eastAsia="zh-CN"/>
              </w:rPr>
            </w:pPr>
            <w:r>
              <w:rPr>
                <w:rFonts w:hint="eastAsia" w:ascii="宋体" w:hAnsi="宋体" w:cs="宋体"/>
                <w:bCs/>
                <w:color w:val="auto"/>
                <w:sz w:val="32"/>
                <w:szCs w:val="24"/>
                <w:highlight w:val="none"/>
                <w:u w:val="single"/>
                <w:lang w:eastAsia="zh-CN"/>
              </w:rPr>
              <w:t>东莞新锋液化石油气有限公司</w:t>
            </w:r>
          </w:p>
        </w:tc>
      </w:tr>
      <w:tr w14:paraId="6F8F54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9" w:hRule="atLeast"/>
        </w:trPr>
        <w:tc>
          <w:tcPr>
            <w:tcW w:w="2613" w:type="dxa"/>
            <w:vAlign w:val="center"/>
          </w:tcPr>
          <w:p w14:paraId="5E4FAC0E">
            <w:pPr>
              <w:shd w:val="clear"/>
              <w:spacing w:before="200"/>
              <w:jc w:val="both"/>
              <w:rPr>
                <w:rFonts w:hint="eastAsia" w:ascii="宋体" w:hAnsi="宋体" w:eastAsia="宋体" w:cs="宋体"/>
                <w:bCs/>
                <w:color w:val="auto"/>
                <w:sz w:val="32"/>
                <w:szCs w:val="24"/>
                <w:highlight w:val="none"/>
              </w:rPr>
            </w:pPr>
            <w:r>
              <w:rPr>
                <w:rFonts w:hint="eastAsia" w:ascii="宋体" w:hAnsi="宋体" w:eastAsia="宋体" w:cs="宋体"/>
                <w:bCs/>
                <w:color w:val="auto"/>
                <w:sz w:val="32"/>
                <w:szCs w:val="24"/>
                <w:highlight w:val="none"/>
              </w:rPr>
              <w:t>采购代理：</w:t>
            </w:r>
          </w:p>
        </w:tc>
        <w:tc>
          <w:tcPr>
            <w:tcW w:w="6203" w:type="dxa"/>
            <w:vAlign w:val="center"/>
          </w:tcPr>
          <w:p w14:paraId="46CF986B">
            <w:pPr>
              <w:shd w:val="clear"/>
              <w:spacing w:before="200"/>
              <w:jc w:val="both"/>
              <w:rPr>
                <w:rFonts w:hint="eastAsia" w:ascii="宋体" w:hAnsi="宋体" w:eastAsia="宋体" w:cs="宋体"/>
                <w:bCs/>
                <w:color w:val="auto"/>
                <w:sz w:val="32"/>
                <w:szCs w:val="24"/>
                <w:highlight w:val="none"/>
                <w:lang w:eastAsia="zh-CN"/>
              </w:rPr>
            </w:pPr>
            <w:r>
              <w:rPr>
                <w:rFonts w:hint="eastAsia" w:ascii="宋体" w:hAnsi="宋体" w:cs="宋体"/>
                <w:bCs/>
                <w:color w:val="auto"/>
                <w:sz w:val="32"/>
                <w:szCs w:val="24"/>
                <w:highlight w:val="none"/>
                <w:u w:val="single"/>
                <w:lang w:eastAsia="zh-CN"/>
              </w:rPr>
              <w:t>广州宏达工程顾问集团有限公司</w:t>
            </w:r>
          </w:p>
        </w:tc>
      </w:tr>
    </w:tbl>
    <w:p w14:paraId="0BF57979">
      <w:pPr>
        <w:shd w:val="clear"/>
        <w:jc w:val="center"/>
        <w:rPr>
          <w:rFonts w:hint="eastAsia" w:ascii="宋体" w:hAnsi="宋体" w:eastAsia="宋体" w:cs="宋体"/>
          <w:color w:val="auto"/>
          <w:szCs w:val="21"/>
          <w:highlight w:val="none"/>
        </w:rPr>
      </w:pPr>
    </w:p>
    <w:p w14:paraId="18F238CE">
      <w:pPr>
        <w:shd w:val="clear"/>
        <w:jc w:val="center"/>
        <w:rPr>
          <w:rFonts w:hint="eastAsia" w:ascii="宋体" w:hAnsi="宋体" w:eastAsia="宋体" w:cs="宋体"/>
          <w:color w:val="auto"/>
          <w:szCs w:val="21"/>
          <w:highlight w:val="none"/>
        </w:rPr>
      </w:pPr>
    </w:p>
    <w:p w14:paraId="057A9E62">
      <w:pPr>
        <w:shd w:val="clear"/>
        <w:jc w:val="center"/>
        <w:rPr>
          <w:rFonts w:hint="eastAsia" w:ascii="宋体" w:hAnsi="宋体" w:eastAsia="宋体" w:cs="宋体"/>
          <w:color w:val="auto"/>
          <w:szCs w:val="21"/>
          <w:highlight w:val="none"/>
        </w:rPr>
      </w:pPr>
    </w:p>
    <w:p w14:paraId="3AD5B67B">
      <w:pPr>
        <w:pStyle w:val="44"/>
        <w:shd w:val="clear"/>
        <w:ind w:firstLine="400"/>
        <w:rPr>
          <w:rFonts w:hint="eastAsia" w:ascii="宋体" w:hAnsi="宋体" w:eastAsia="宋体" w:cs="宋体"/>
          <w:color w:val="auto"/>
          <w:highlight w:val="none"/>
        </w:rPr>
      </w:pPr>
    </w:p>
    <w:p w14:paraId="369570E7">
      <w:pPr>
        <w:shd w:val="clear"/>
        <w:jc w:val="center"/>
        <w:rPr>
          <w:rFonts w:hint="eastAsia" w:ascii="宋体" w:hAnsi="宋体" w:eastAsia="宋体" w:cs="宋体"/>
          <w:color w:val="auto"/>
          <w:szCs w:val="21"/>
          <w:highlight w:val="none"/>
        </w:rPr>
      </w:pPr>
    </w:p>
    <w:p w14:paraId="691BC6F8">
      <w:pPr>
        <w:shd w:val="clear"/>
        <w:jc w:val="center"/>
        <w:rPr>
          <w:rFonts w:hint="eastAsia" w:ascii="宋体" w:hAnsi="宋体" w:eastAsia="宋体" w:cs="宋体"/>
          <w:color w:val="auto"/>
          <w:szCs w:val="21"/>
          <w:highlight w:val="none"/>
        </w:rPr>
      </w:pPr>
    </w:p>
    <w:p w14:paraId="3DBFFD4C">
      <w:pPr>
        <w:shd w:val="clear"/>
        <w:spacing w:before="200"/>
        <w:jc w:val="center"/>
        <w:rPr>
          <w:rFonts w:hint="default" w:ascii="宋体" w:hAnsi="宋体" w:eastAsia="宋体" w:cs="宋体"/>
          <w:bCs/>
          <w:color w:val="auto"/>
          <w:sz w:val="32"/>
          <w:szCs w:val="24"/>
          <w:highlight w:val="none"/>
          <w:lang w:val="en-US" w:eastAsia="zh-CN"/>
        </w:rPr>
      </w:pPr>
      <w:r>
        <w:rPr>
          <w:rFonts w:hint="eastAsia" w:ascii="宋体" w:hAnsi="宋体" w:cs="宋体"/>
          <w:bCs/>
          <w:color w:val="auto"/>
          <w:sz w:val="32"/>
          <w:szCs w:val="24"/>
          <w:highlight w:val="none"/>
          <w:lang w:val="en-US" w:eastAsia="zh-CN"/>
        </w:rPr>
        <w:t>2026</w:t>
      </w:r>
      <w:r>
        <w:rPr>
          <w:rFonts w:hint="eastAsia" w:ascii="宋体" w:hAnsi="宋体" w:eastAsia="宋体" w:cs="宋体"/>
          <w:bCs/>
          <w:color w:val="auto"/>
          <w:sz w:val="32"/>
          <w:szCs w:val="24"/>
          <w:highlight w:val="none"/>
        </w:rPr>
        <w:t>年</w:t>
      </w:r>
      <w:r>
        <w:rPr>
          <w:rFonts w:hint="eastAsia" w:ascii="宋体" w:hAnsi="宋体" w:cs="宋体"/>
          <w:bCs/>
          <w:color w:val="auto"/>
          <w:sz w:val="32"/>
          <w:szCs w:val="24"/>
          <w:highlight w:val="none"/>
          <w:lang w:val="en-US" w:eastAsia="zh-CN"/>
        </w:rPr>
        <w:t xml:space="preserve"> 5 </w:t>
      </w:r>
      <w:r>
        <w:rPr>
          <w:rFonts w:hint="eastAsia" w:ascii="宋体" w:hAnsi="宋体" w:eastAsia="宋体" w:cs="宋体"/>
          <w:bCs/>
          <w:color w:val="auto"/>
          <w:sz w:val="32"/>
          <w:szCs w:val="24"/>
          <w:highlight w:val="none"/>
        </w:rPr>
        <w:t>月</w:t>
      </w:r>
      <w:r>
        <w:rPr>
          <w:rFonts w:hint="eastAsia" w:ascii="宋体" w:hAnsi="宋体" w:cs="宋体"/>
          <w:bCs/>
          <w:color w:val="auto"/>
          <w:sz w:val="32"/>
          <w:szCs w:val="24"/>
          <w:highlight w:val="none"/>
          <w:lang w:val="en-US" w:eastAsia="zh-CN"/>
        </w:rPr>
        <w:t xml:space="preserve"> 20</w:t>
      </w:r>
      <w:bookmarkStart w:id="682" w:name="_GoBack"/>
      <w:bookmarkEnd w:id="682"/>
      <w:r>
        <w:rPr>
          <w:rFonts w:hint="eastAsia" w:ascii="宋体" w:hAnsi="宋体" w:cs="宋体"/>
          <w:bCs/>
          <w:color w:val="auto"/>
          <w:sz w:val="32"/>
          <w:szCs w:val="24"/>
          <w:highlight w:val="none"/>
          <w:lang w:val="en-US" w:eastAsia="zh-CN"/>
        </w:rPr>
        <w:t xml:space="preserve"> 日</w:t>
      </w:r>
    </w:p>
    <w:p w14:paraId="6D049ED2">
      <w:pPr>
        <w:shd w:val="clear"/>
        <w:spacing w:before="200"/>
        <w:jc w:val="center"/>
        <w:rPr>
          <w:rFonts w:hint="eastAsia" w:ascii="宋体" w:hAnsi="宋体" w:eastAsia="宋体" w:cs="宋体"/>
          <w:bCs/>
          <w:color w:val="auto"/>
          <w:sz w:val="32"/>
          <w:szCs w:val="24"/>
          <w:highlight w:val="none"/>
        </w:rPr>
      </w:pPr>
    </w:p>
    <w:p w14:paraId="58C3EE9A">
      <w:pPr>
        <w:shd w:val="clear"/>
        <w:rPr>
          <w:rFonts w:hint="eastAsia"/>
          <w:color w:val="auto"/>
          <w:highlight w:val="none"/>
        </w:rPr>
      </w:pPr>
    </w:p>
    <w:p w14:paraId="66E9161C">
      <w:pPr>
        <w:shd w:val="clear"/>
        <w:rPr>
          <w:rFonts w:hint="eastAsia" w:ascii="宋体" w:hAnsi="宋体" w:eastAsia="宋体" w:cs="宋体"/>
          <w:color w:val="auto"/>
          <w:highlight w:val="none"/>
        </w:rPr>
        <w:sectPr>
          <w:footerReference r:id="rId8" w:type="first"/>
          <w:footerReference r:id="rId6" w:type="default"/>
          <w:headerReference r:id="rId5" w:type="even"/>
          <w:footerReference r:id="rId7" w:type="even"/>
          <w:pgSz w:w="11906" w:h="16838"/>
          <w:pgMar w:top="1440" w:right="1800" w:bottom="1440" w:left="1800" w:header="708" w:footer="708" w:gutter="0"/>
          <w:pgNumType w:start="1"/>
          <w:cols w:space="708" w:num="1"/>
          <w:titlePg/>
          <w:docGrid w:type="lines" w:linePitch="360" w:charSpace="0"/>
        </w:sectPr>
      </w:pPr>
    </w:p>
    <w:p w14:paraId="1799D805">
      <w:pPr>
        <w:pStyle w:val="17"/>
        <w:shd w:val="clear"/>
        <w:jc w:val="center"/>
        <w:rPr>
          <w:rFonts w:hint="default" w:asciiTheme="minorHAnsi" w:hAnsiTheme="minorHAnsi" w:eastAsiaTheme="minorEastAsia" w:cstheme="minorBidi"/>
          <w:color w:val="auto"/>
          <w:sz w:val="24"/>
          <w:szCs w:val="24"/>
          <w:highlight w:val="none"/>
        </w:rPr>
      </w:pPr>
      <w:r>
        <w:rPr>
          <w:rFonts w:hint="default" w:asciiTheme="minorHAnsi" w:hAnsiTheme="minorHAnsi" w:eastAsiaTheme="minorEastAsia" w:cstheme="minorBidi"/>
          <w:color w:val="auto"/>
          <w:sz w:val="24"/>
          <w:szCs w:val="24"/>
          <w:highlight w:val="none"/>
        </w:rPr>
        <w:t>目录</w:t>
      </w:r>
    </w:p>
    <w:p w14:paraId="52B118F0">
      <w:pPr>
        <w:pStyle w:val="17"/>
        <w:bidi w:val="0"/>
        <w:rPr>
          <w:highlight w:val="none"/>
        </w:rPr>
      </w:pPr>
      <w:r>
        <w:rPr>
          <w:rFonts w:hint="eastAsia"/>
          <w:highlight w:val="none"/>
        </w:rPr>
        <w:fldChar w:fldCharType="begin"/>
      </w:r>
      <w:r>
        <w:rPr>
          <w:rFonts w:hint="eastAsia"/>
          <w:highlight w:val="none"/>
        </w:rPr>
        <w:instrText xml:space="preserve"> TOC \o "1-4" \h \z \u </w:instrText>
      </w:r>
      <w:r>
        <w:rPr>
          <w:rFonts w:hint="eastAsia"/>
          <w:highlight w:val="none"/>
        </w:rPr>
        <w:fldChar w:fldCharType="separate"/>
      </w:r>
      <w:r>
        <w:rPr>
          <w:rFonts w:hint="eastAsia"/>
          <w:highlight w:val="none"/>
        </w:rPr>
        <w:fldChar w:fldCharType="begin"/>
      </w:r>
      <w:r>
        <w:rPr>
          <w:rFonts w:hint="eastAsia"/>
          <w:highlight w:val="none"/>
        </w:rPr>
        <w:instrText xml:space="preserve"> HYPERLINK \l _Toc26604 </w:instrText>
      </w:r>
      <w:r>
        <w:rPr>
          <w:rFonts w:hint="eastAsia"/>
          <w:highlight w:val="none"/>
        </w:rPr>
        <w:fldChar w:fldCharType="separate"/>
      </w:r>
      <w:r>
        <w:rPr>
          <w:rFonts w:hint="eastAsia"/>
          <w:highlight w:val="none"/>
        </w:rPr>
        <w:t>第一部分投标邀请</w:t>
      </w:r>
      <w:r>
        <w:rPr>
          <w:highlight w:val="none"/>
        </w:rPr>
        <w:tab/>
      </w:r>
      <w:r>
        <w:rPr>
          <w:highlight w:val="none"/>
        </w:rPr>
        <w:fldChar w:fldCharType="begin"/>
      </w:r>
      <w:r>
        <w:rPr>
          <w:highlight w:val="none"/>
        </w:rPr>
        <w:instrText xml:space="preserve"> PAGEREF _Toc26604 \h </w:instrText>
      </w:r>
      <w:r>
        <w:rPr>
          <w:highlight w:val="none"/>
        </w:rPr>
        <w:fldChar w:fldCharType="separate"/>
      </w:r>
      <w:r>
        <w:rPr>
          <w:highlight w:val="none"/>
        </w:rPr>
        <w:t>5</w:t>
      </w:r>
      <w:r>
        <w:rPr>
          <w:highlight w:val="none"/>
        </w:rPr>
        <w:fldChar w:fldCharType="end"/>
      </w:r>
      <w:r>
        <w:rPr>
          <w:rFonts w:hint="eastAsia"/>
          <w:highlight w:val="none"/>
        </w:rPr>
        <w:fldChar w:fldCharType="end"/>
      </w:r>
    </w:p>
    <w:p w14:paraId="5B1F6983">
      <w:pPr>
        <w:pStyle w:val="17"/>
        <w:bidi w:val="0"/>
        <w:rPr>
          <w:highlight w:val="none"/>
        </w:rPr>
      </w:pPr>
      <w:r>
        <w:rPr>
          <w:rFonts w:hint="eastAsia"/>
          <w:highlight w:val="none"/>
        </w:rPr>
        <w:fldChar w:fldCharType="begin"/>
      </w:r>
      <w:r>
        <w:rPr>
          <w:rFonts w:hint="eastAsia"/>
          <w:highlight w:val="none"/>
        </w:rPr>
        <w:instrText xml:space="preserve"> HYPERLINK \l _Toc28615 </w:instrText>
      </w:r>
      <w:r>
        <w:rPr>
          <w:rFonts w:hint="eastAsia"/>
          <w:highlight w:val="none"/>
        </w:rPr>
        <w:fldChar w:fldCharType="separate"/>
      </w:r>
      <w:r>
        <w:rPr>
          <w:rFonts w:hint="eastAsia"/>
          <w:highlight w:val="none"/>
        </w:rPr>
        <w:t>投标邀请书</w:t>
      </w:r>
      <w:r>
        <w:rPr>
          <w:highlight w:val="none"/>
        </w:rPr>
        <w:tab/>
      </w:r>
      <w:r>
        <w:rPr>
          <w:highlight w:val="none"/>
        </w:rPr>
        <w:fldChar w:fldCharType="begin"/>
      </w:r>
      <w:r>
        <w:rPr>
          <w:highlight w:val="none"/>
        </w:rPr>
        <w:instrText xml:space="preserve"> PAGEREF _Toc28615 \h </w:instrText>
      </w:r>
      <w:r>
        <w:rPr>
          <w:highlight w:val="none"/>
        </w:rPr>
        <w:fldChar w:fldCharType="separate"/>
      </w:r>
      <w:r>
        <w:rPr>
          <w:highlight w:val="none"/>
        </w:rPr>
        <w:t>5</w:t>
      </w:r>
      <w:r>
        <w:rPr>
          <w:highlight w:val="none"/>
        </w:rPr>
        <w:fldChar w:fldCharType="end"/>
      </w:r>
      <w:r>
        <w:rPr>
          <w:rFonts w:hint="eastAsia"/>
          <w:highlight w:val="none"/>
        </w:rPr>
        <w:fldChar w:fldCharType="end"/>
      </w:r>
    </w:p>
    <w:p w14:paraId="401F07ED">
      <w:pPr>
        <w:pStyle w:val="17"/>
        <w:bidi w:val="0"/>
        <w:rPr>
          <w:highlight w:val="none"/>
        </w:rPr>
      </w:pPr>
      <w:r>
        <w:rPr>
          <w:rFonts w:hint="eastAsia"/>
          <w:highlight w:val="none"/>
        </w:rPr>
        <w:fldChar w:fldCharType="begin"/>
      </w:r>
      <w:r>
        <w:rPr>
          <w:rFonts w:hint="eastAsia"/>
          <w:highlight w:val="none"/>
        </w:rPr>
        <w:instrText xml:space="preserve"> HYPERLINK \l _Toc26933 </w:instrText>
      </w:r>
      <w:r>
        <w:rPr>
          <w:rFonts w:hint="eastAsia"/>
          <w:highlight w:val="none"/>
        </w:rPr>
        <w:fldChar w:fldCharType="separate"/>
      </w:r>
      <w:r>
        <w:rPr>
          <w:rFonts w:hint="eastAsia"/>
          <w:highlight w:val="none"/>
        </w:rPr>
        <w:t>第二部分相关资料表格</w:t>
      </w:r>
      <w:r>
        <w:rPr>
          <w:highlight w:val="none"/>
        </w:rPr>
        <w:tab/>
      </w:r>
      <w:r>
        <w:rPr>
          <w:highlight w:val="none"/>
        </w:rPr>
        <w:fldChar w:fldCharType="begin"/>
      </w:r>
      <w:r>
        <w:rPr>
          <w:highlight w:val="none"/>
        </w:rPr>
        <w:instrText xml:space="preserve"> PAGEREF _Toc26933 \h </w:instrText>
      </w:r>
      <w:r>
        <w:rPr>
          <w:highlight w:val="none"/>
        </w:rPr>
        <w:fldChar w:fldCharType="separate"/>
      </w:r>
      <w:r>
        <w:rPr>
          <w:highlight w:val="none"/>
        </w:rPr>
        <w:t>8</w:t>
      </w:r>
      <w:r>
        <w:rPr>
          <w:highlight w:val="none"/>
        </w:rPr>
        <w:fldChar w:fldCharType="end"/>
      </w:r>
      <w:r>
        <w:rPr>
          <w:rFonts w:hint="eastAsia"/>
          <w:highlight w:val="none"/>
        </w:rPr>
        <w:fldChar w:fldCharType="end"/>
      </w:r>
    </w:p>
    <w:p w14:paraId="0145AEEC">
      <w:pPr>
        <w:pStyle w:val="17"/>
        <w:bidi w:val="0"/>
        <w:rPr>
          <w:highlight w:val="none"/>
        </w:rPr>
      </w:pPr>
      <w:r>
        <w:rPr>
          <w:rFonts w:hint="eastAsia"/>
          <w:highlight w:val="none"/>
        </w:rPr>
        <w:fldChar w:fldCharType="begin"/>
      </w:r>
      <w:r>
        <w:rPr>
          <w:rFonts w:hint="eastAsia"/>
          <w:highlight w:val="none"/>
        </w:rPr>
        <w:instrText xml:space="preserve"> HYPERLINK \l _Toc29599 </w:instrText>
      </w:r>
      <w:r>
        <w:rPr>
          <w:rFonts w:hint="eastAsia"/>
          <w:highlight w:val="none"/>
        </w:rPr>
        <w:fldChar w:fldCharType="separate"/>
      </w:r>
      <w:r>
        <w:rPr>
          <w:rFonts w:hint="eastAsia"/>
          <w:highlight w:val="none"/>
        </w:rPr>
        <w:t>附表一：投标资料表</w:t>
      </w:r>
      <w:r>
        <w:rPr>
          <w:highlight w:val="none"/>
        </w:rPr>
        <w:tab/>
      </w:r>
      <w:r>
        <w:rPr>
          <w:highlight w:val="none"/>
        </w:rPr>
        <w:fldChar w:fldCharType="begin"/>
      </w:r>
      <w:r>
        <w:rPr>
          <w:highlight w:val="none"/>
        </w:rPr>
        <w:instrText xml:space="preserve"> PAGEREF _Toc29599 \h </w:instrText>
      </w:r>
      <w:r>
        <w:rPr>
          <w:highlight w:val="none"/>
        </w:rPr>
        <w:fldChar w:fldCharType="separate"/>
      </w:r>
      <w:r>
        <w:rPr>
          <w:highlight w:val="none"/>
        </w:rPr>
        <w:t>8</w:t>
      </w:r>
      <w:r>
        <w:rPr>
          <w:highlight w:val="none"/>
        </w:rPr>
        <w:fldChar w:fldCharType="end"/>
      </w:r>
      <w:r>
        <w:rPr>
          <w:rFonts w:hint="eastAsia"/>
          <w:highlight w:val="none"/>
        </w:rPr>
        <w:fldChar w:fldCharType="end"/>
      </w:r>
    </w:p>
    <w:p w14:paraId="2FE125C4">
      <w:pPr>
        <w:pStyle w:val="17"/>
        <w:bidi w:val="0"/>
        <w:rPr>
          <w:highlight w:val="none"/>
        </w:rPr>
      </w:pPr>
      <w:r>
        <w:rPr>
          <w:rFonts w:hint="eastAsia"/>
          <w:highlight w:val="none"/>
        </w:rPr>
        <w:fldChar w:fldCharType="begin"/>
      </w:r>
      <w:r>
        <w:rPr>
          <w:rFonts w:hint="eastAsia"/>
          <w:highlight w:val="none"/>
        </w:rPr>
        <w:instrText xml:space="preserve"> HYPERLINK \l _Toc13107 </w:instrText>
      </w:r>
      <w:r>
        <w:rPr>
          <w:rFonts w:hint="eastAsia"/>
          <w:highlight w:val="none"/>
        </w:rPr>
        <w:fldChar w:fldCharType="separate"/>
      </w:r>
      <w:r>
        <w:rPr>
          <w:rFonts w:hint="eastAsia"/>
          <w:highlight w:val="none"/>
        </w:rPr>
        <w:t>附表二：商务技术评分权重表（满分100分）</w:t>
      </w:r>
      <w:r>
        <w:rPr>
          <w:highlight w:val="none"/>
        </w:rPr>
        <w:tab/>
      </w:r>
      <w:r>
        <w:rPr>
          <w:highlight w:val="none"/>
        </w:rPr>
        <w:fldChar w:fldCharType="begin"/>
      </w:r>
      <w:r>
        <w:rPr>
          <w:highlight w:val="none"/>
        </w:rPr>
        <w:instrText xml:space="preserve"> PAGEREF _Toc13107 \h </w:instrText>
      </w:r>
      <w:r>
        <w:rPr>
          <w:highlight w:val="none"/>
        </w:rPr>
        <w:fldChar w:fldCharType="separate"/>
      </w:r>
      <w:r>
        <w:rPr>
          <w:highlight w:val="none"/>
        </w:rPr>
        <w:t>11</w:t>
      </w:r>
      <w:r>
        <w:rPr>
          <w:highlight w:val="none"/>
        </w:rPr>
        <w:fldChar w:fldCharType="end"/>
      </w:r>
      <w:r>
        <w:rPr>
          <w:rFonts w:hint="eastAsia"/>
          <w:highlight w:val="none"/>
        </w:rPr>
        <w:fldChar w:fldCharType="end"/>
      </w:r>
    </w:p>
    <w:p w14:paraId="1698CE6C">
      <w:pPr>
        <w:pStyle w:val="17"/>
        <w:bidi w:val="0"/>
        <w:rPr>
          <w:highlight w:val="none"/>
        </w:rPr>
      </w:pPr>
      <w:r>
        <w:rPr>
          <w:rFonts w:hint="eastAsia"/>
          <w:highlight w:val="none"/>
        </w:rPr>
        <w:fldChar w:fldCharType="begin"/>
      </w:r>
      <w:r>
        <w:rPr>
          <w:rFonts w:hint="eastAsia"/>
          <w:highlight w:val="none"/>
        </w:rPr>
        <w:instrText xml:space="preserve"> HYPERLINK \l _Toc20267 </w:instrText>
      </w:r>
      <w:r>
        <w:rPr>
          <w:rFonts w:hint="eastAsia"/>
          <w:highlight w:val="none"/>
        </w:rPr>
        <w:fldChar w:fldCharType="separate"/>
      </w:r>
      <w:r>
        <w:rPr>
          <w:rFonts w:hint="eastAsia"/>
          <w:highlight w:val="none"/>
        </w:rPr>
        <w:t>第三部分用户需求书</w:t>
      </w:r>
      <w:r>
        <w:rPr>
          <w:highlight w:val="none"/>
        </w:rPr>
        <w:tab/>
      </w:r>
      <w:r>
        <w:rPr>
          <w:highlight w:val="none"/>
        </w:rPr>
        <w:fldChar w:fldCharType="begin"/>
      </w:r>
      <w:r>
        <w:rPr>
          <w:highlight w:val="none"/>
        </w:rPr>
        <w:instrText xml:space="preserve"> PAGEREF _Toc20267 \h </w:instrText>
      </w:r>
      <w:r>
        <w:rPr>
          <w:highlight w:val="none"/>
        </w:rPr>
        <w:fldChar w:fldCharType="separate"/>
      </w:r>
      <w:r>
        <w:rPr>
          <w:highlight w:val="none"/>
        </w:rPr>
        <w:t>15</w:t>
      </w:r>
      <w:r>
        <w:rPr>
          <w:highlight w:val="none"/>
        </w:rPr>
        <w:fldChar w:fldCharType="end"/>
      </w:r>
      <w:r>
        <w:rPr>
          <w:rFonts w:hint="eastAsia"/>
          <w:highlight w:val="none"/>
        </w:rPr>
        <w:fldChar w:fldCharType="end"/>
      </w:r>
    </w:p>
    <w:p w14:paraId="2EC0F654">
      <w:pPr>
        <w:pStyle w:val="17"/>
        <w:bidi w:val="0"/>
        <w:rPr>
          <w:highlight w:val="none"/>
        </w:rPr>
      </w:pPr>
      <w:r>
        <w:rPr>
          <w:rFonts w:hint="eastAsia"/>
          <w:highlight w:val="none"/>
        </w:rPr>
        <w:fldChar w:fldCharType="begin"/>
      </w:r>
      <w:r>
        <w:rPr>
          <w:rFonts w:hint="eastAsia"/>
          <w:highlight w:val="none"/>
        </w:rPr>
        <w:instrText xml:space="preserve"> HYPERLINK \l _Toc17816 </w:instrText>
      </w:r>
      <w:r>
        <w:rPr>
          <w:rFonts w:hint="eastAsia"/>
          <w:highlight w:val="none"/>
        </w:rPr>
        <w:fldChar w:fldCharType="separate"/>
      </w:r>
      <w:r>
        <w:rPr>
          <w:rFonts w:hint="eastAsia"/>
          <w:highlight w:val="none"/>
        </w:rPr>
        <w:t>第四部分投标人须知</w:t>
      </w:r>
      <w:r>
        <w:rPr>
          <w:highlight w:val="none"/>
        </w:rPr>
        <w:tab/>
      </w:r>
      <w:r>
        <w:rPr>
          <w:highlight w:val="none"/>
        </w:rPr>
        <w:fldChar w:fldCharType="begin"/>
      </w:r>
      <w:r>
        <w:rPr>
          <w:highlight w:val="none"/>
        </w:rPr>
        <w:instrText xml:space="preserve"> PAGEREF _Toc17816 \h </w:instrText>
      </w:r>
      <w:r>
        <w:rPr>
          <w:highlight w:val="none"/>
        </w:rPr>
        <w:fldChar w:fldCharType="separate"/>
      </w:r>
      <w:r>
        <w:rPr>
          <w:highlight w:val="none"/>
        </w:rPr>
        <w:t>24</w:t>
      </w:r>
      <w:r>
        <w:rPr>
          <w:highlight w:val="none"/>
        </w:rPr>
        <w:fldChar w:fldCharType="end"/>
      </w:r>
      <w:r>
        <w:rPr>
          <w:rFonts w:hint="eastAsia"/>
          <w:highlight w:val="none"/>
        </w:rPr>
        <w:fldChar w:fldCharType="end"/>
      </w:r>
    </w:p>
    <w:p w14:paraId="0DEA6F94">
      <w:pPr>
        <w:pStyle w:val="17"/>
        <w:bidi w:val="0"/>
        <w:rPr>
          <w:highlight w:val="none"/>
        </w:rPr>
      </w:pPr>
      <w:r>
        <w:rPr>
          <w:rFonts w:hint="eastAsia"/>
          <w:highlight w:val="none"/>
        </w:rPr>
        <w:fldChar w:fldCharType="begin"/>
      </w:r>
      <w:r>
        <w:rPr>
          <w:rFonts w:hint="eastAsia"/>
          <w:highlight w:val="none"/>
        </w:rPr>
        <w:instrText xml:space="preserve"> HYPERLINK \l _Toc13316 </w:instrText>
      </w:r>
      <w:r>
        <w:rPr>
          <w:rFonts w:hint="eastAsia"/>
          <w:highlight w:val="none"/>
        </w:rPr>
        <w:fldChar w:fldCharType="separate"/>
      </w:r>
      <w:r>
        <w:rPr>
          <w:rFonts w:hint="default"/>
          <w:highlight w:val="none"/>
        </w:rPr>
        <w:t xml:space="preserve">一、 </w:t>
      </w:r>
      <w:r>
        <w:rPr>
          <w:rFonts w:hint="eastAsia"/>
          <w:highlight w:val="none"/>
        </w:rPr>
        <w:t>说明</w:t>
      </w:r>
      <w:r>
        <w:rPr>
          <w:highlight w:val="none"/>
        </w:rPr>
        <w:tab/>
      </w:r>
      <w:r>
        <w:rPr>
          <w:highlight w:val="none"/>
        </w:rPr>
        <w:fldChar w:fldCharType="begin"/>
      </w:r>
      <w:r>
        <w:rPr>
          <w:highlight w:val="none"/>
        </w:rPr>
        <w:instrText xml:space="preserve"> PAGEREF _Toc13316 \h </w:instrText>
      </w:r>
      <w:r>
        <w:rPr>
          <w:highlight w:val="none"/>
        </w:rPr>
        <w:fldChar w:fldCharType="separate"/>
      </w:r>
      <w:r>
        <w:rPr>
          <w:highlight w:val="none"/>
        </w:rPr>
        <w:t>24</w:t>
      </w:r>
      <w:r>
        <w:rPr>
          <w:highlight w:val="none"/>
        </w:rPr>
        <w:fldChar w:fldCharType="end"/>
      </w:r>
      <w:r>
        <w:rPr>
          <w:rFonts w:hint="eastAsia"/>
          <w:highlight w:val="none"/>
        </w:rPr>
        <w:fldChar w:fldCharType="end"/>
      </w:r>
    </w:p>
    <w:p w14:paraId="70EFB62B">
      <w:pPr>
        <w:pStyle w:val="17"/>
        <w:bidi w:val="0"/>
        <w:rPr>
          <w:highlight w:val="none"/>
        </w:rPr>
      </w:pPr>
      <w:r>
        <w:rPr>
          <w:rFonts w:hint="eastAsia"/>
          <w:highlight w:val="none"/>
        </w:rPr>
        <w:fldChar w:fldCharType="begin"/>
      </w:r>
      <w:r>
        <w:rPr>
          <w:rFonts w:hint="eastAsia"/>
          <w:highlight w:val="none"/>
        </w:rPr>
        <w:instrText xml:space="preserve"> HYPERLINK \l _Toc8600 </w:instrText>
      </w:r>
      <w:r>
        <w:rPr>
          <w:rFonts w:hint="eastAsia"/>
          <w:highlight w:val="none"/>
        </w:rPr>
        <w:fldChar w:fldCharType="separate"/>
      </w:r>
      <w:r>
        <w:rPr>
          <w:rFonts w:hint="default"/>
          <w:highlight w:val="none"/>
        </w:rPr>
        <w:t xml:space="preserve">1. </w:t>
      </w:r>
      <w:r>
        <w:rPr>
          <w:rFonts w:hint="eastAsia"/>
          <w:highlight w:val="none"/>
        </w:rPr>
        <w:t>适用范围</w:t>
      </w:r>
      <w:r>
        <w:rPr>
          <w:highlight w:val="none"/>
        </w:rPr>
        <w:tab/>
      </w:r>
      <w:r>
        <w:rPr>
          <w:highlight w:val="none"/>
        </w:rPr>
        <w:fldChar w:fldCharType="begin"/>
      </w:r>
      <w:r>
        <w:rPr>
          <w:highlight w:val="none"/>
        </w:rPr>
        <w:instrText xml:space="preserve"> PAGEREF _Toc8600 \h </w:instrText>
      </w:r>
      <w:r>
        <w:rPr>
          <w:highlight w:val="none"/>
        </w:rPr>
        <w:fldChar w:fldCharType="separate"/>
      </w:r>
      <w:r>
        <w:rPr>
          <w:highlight w:val="none"/>
        </w:rPr>
        <w:t>24</w:t>
      </w:r>
      <w:r>
        <w:rPr>
          <w:highlight w:val="none"/>
        </w:rPr>
        <w:fldChar w:fldCharType="end"/>
      </w:r>
      <w:r>
        <w:rPr>
          <w:rFonts w:hint="eastAsia"/>
          <w:highlight w:val="none"/>
        </w:rPr>
        <w:fldChar w:fldCharType="end"/>
      </w:r>
    </w:p>
    <w:p w14:paraId="56F96B92">
      <w:pPr>
        <w:pStyle w:val="17"/>
        <w:bidi w:val="0"/>
        <w:rPr>
          <w:highlight w:val="none"/>
        </w:rPr>
      </w:pPr>
      <w:r>
        <w:rPr>
          <w:rFonts w:hint="eastAsia"/>
          <w:highlight w:val="none"/>
        </w:rPr>
        <w:fldChar w:fldCharType="begin"/>
      </w:r>
      <w:r>
        <w:rPr>
          <w:rFonts w:hint="eastAsia"/>
          <w:highlight w:val="none"/>
        </w:rPr>
        <w:instrText xml:space="preserve"> HYPERLINK \l _Toc25732 </w:instrText>
      </w:r>
      <w:r>
        <w:rPr>
          <w:rFonts w:hint="eastAsia"/>
          <w:highlight w:val="none"/>
        </w:rPr>
        <w:fldChar w:fldCharType="separate"/>
      </w:r>
      <w:r>
        <w:rPr>
          <w:rFonts w:hint="default"/>
          <w:highlight w:val="none"/>
        </w:rPr>
        <w:t xml:space="preserve">2. </w:t>
      </w:r>
      <w:r>
        <w:rPr>
          <w:rFonts w:hint="eastAsia"/>
          <w:highlight w:val="none"/>
        </w:rPr>
        <w:t>定义</w:t>
      </w:r>
      <w:r>
        <w:rPr>
          <w:highlight w:val="none"/>
        </w:rPr>
        <w:tab/>
      </w:r>
      <w:r>
        <w:rPr>
          <w:highlight w:val="none"/>
        </w:rPr>
        <w:fldChar w:fldCharType="begin"/>
      </w:r>
      <w:r>
        <w:rPr>
          <w:highlight w:val="none"/>
        </w:rPr>
        <w:instrText xml:space="preserve"> PAGEREF _Toc25732 \h </w:instrText>
      </w:r>
      <w:r>
        <w:rPr>
          <w:highlight w:val="none"/>
        </w:rPr>
        <w:fldChar w:fldCharType="separate"/>
      </w:r>
      <w:r>
        <w:rPr>
          <w:highlight w:val="none"/>
        </w:rPr>
        <w:t>24</w:t>
      </w:r>
      <w:r>
        <w:rPr>
          <w:highlight w:val="none"/>
        </w:rPr>
        <w:fldChar w:fldCharType="end"/>
      </w:r>
      <w:r>
        <w:rPr>
          <w:rFonts w:hint="eastAsia"/>
          <w:highlight w:val="none"/>
        </w:rPr>
        <w:fldChar w:fldCharType="end"/>
      </w:r>
    </w:p>
    <w:p w14:paraId="2DB55992">
      <w:pPr>
        <w:pStyle w:val="17"/>
        <w:bidi w:val="0"/>
        <w:rPr>
          <w:highlight w:val="none"/>
        </w:rPr>
      </w:pPr>
      <w:r>
        <w:rPr>
          <w:rFonts w:hint="eastAsia"/>
          <w:highlight w:val="none"/>
        </w:rPr>
        <w:fldChar w:fldCharType="begin"/>
      </w:r>
      <w:r>
        <w:rPr>
          <w:rFonts w:hint="eastAsia"/>
          <w:highlight w:val="none"/>
        </w:rPr>
        <w:instrText xml:space="preserve"> HYPERLINK \l _Toc5686 </w:instrText>
      </w:r>
      <w:r>
        <w:rPr>
          <w:rFonts w:hint="eastAsia"/>
          <w:highlight w:val="none"/>
        </w:rPr>
        <w:fldChar w:fldCharType="separate"/>
      </w:r>
      <w:r>
        <w:rPr>
          <w:rFonts w:hint="default"/>
          <w:highlight w:val="none"/>
        </w:rPr>
        <w:t xml:space="preserve">3. </w:t>
      </w:r>
      <w:r>
        <w:rPr>
          <w:rFonts w:hint="eastAsia"/>
          <w:highlight w:val="none"/>
        </w:rPr>
        <w:t>货物和服务</w:t>
      </w:r>
      <w:r>
        <w:rPr>
          <w:highlight w:val="none"/>
        </w:rPr>
        <w:tab/>
      </w:r>
      <w:r>
        <w:rPr>
          <w:highlight w:val="none"/>
        </w:rPr>
        <w:fldChar w:fldCharType="begin"/>
      </w:r>
      <w:r>
        <w:rPr>
          <w:highlight w:val="none"/>
        </w:rPr>
        <w:instrText xml:space="preserve"> PAGEREF _Toc5686 \h </w:instrText>
      </w:r>
      <w:r>
        <w:rPr>
          <w:highlight w:val="none"/>
        </w:rPr>
        <w:fldChar w:fldCharType="separate"/>
      </w:r>
      <w:r>
        <w:rPr>
          <w:highlight w:val="none"/>
        </w:rPr>
        <w:t>24</w:t>
      </w:r>
      <w:r>
        <w:rPr>
          <w:highlight w:val="none"/>
        </w:rPr>
        <w:fldChar w:fldCharType="end"/>
      </w:r>
      <w:r>
        <w:rPr>
          <w:rFonts w:hint="eastAsia"/>
          <w:highlight w:val="none"/>
        </w:rPr>
        <w:fldChar w:fldCharType="end"/>
      </w:r>
    </w:p>
    <w:p w14:paraId="7B6E5796">
      <w:pPr>
        <w:pStyle w:val="17"/>
        <w:bidi w:val="0"/>
        <w:rPr>
          <w:highlight w:val="none"/>
        </w:rPr>
      </w:pPr>
      <w:r>
        <w:rPr>
          <w:rFonts w:hint="eastAsia"/>
          <w:highlight w:val="none"/>
        </w:rPr>
        <w:fldChar w:fldCharType="begin"/>
      </w:r>
      <w:r>
        <w:rPr>
          <w:rFonts w:hint="eastAsia"/>
          <w:highlight w:val="none"/>
        </w:rPr>
        <w:instrText xml:space="preserve"> HYPERLINK \l _Toc31085 </w:instrText>
      </w:r>
      <w:r>
        <w:rPr>
          <w:rFonts w:hint="eastAsia"/>
          <w:highlight w:val="none"/>
        </w:rPr>
        <w:fldChar w:fldCharType="separate"/>
      </w:r>
      <w:r>
        <w:rPr>
          <w:rFonts w:hint="default"/>
          <w:highlight w:val="none"/>
        </w:rPr>
        <w:t xml:space="preserve">4. </w:t>
      </w:r>
      <w:r>
        <w:rPr>
          <w:rFonts w:hint="eastAsia"/>
          <w:highlight w:val="none"/>
        </w:rPr>
        <w:t>投标费用</w:t>
      </w:r>
      <w:r>
        <w:rPr>
          <w:highlight w:val="none"/>
        </w:rPr>
        <w:tab/>
      </w:r>
      <w:r>
        <w:rPr>
          <w:highlight w:val="none"/>
        </w:rPr>
        <w:fldChar w:fldCharType="begin"/>
      </w:r>
      <w:r>
        <w:rPr>
          <w:highlight w:val="none"/>
        </w:rPr>
        <w:instrText xml:space="preserve"> PAGEREF _Toc31085 \h </w:instrText>
      </w:r>
      <w:r>
        <w:rPr>
          <w:highlight w:val="none"/>
        </w:rPr>
        <w:fldChar w:fldCharType="separate"/>
      </w:r>
      <w:r>
        <w:rPr>
          <w:highlight w:val="none"/>
        </w:rPr>
        <w:t>25</w:t>
      </w:r>
      <w:r>
        <w:rPr>
          <w:highlight w:val="none"/>
        </w:rPr>
        <w:fldChar w:fldCharType="end"/>
      </w:r>
      <w:r>
        <w:rPr>
          <w:rFonts w:hint="eastAsia"/>
          <w:highlight w:val="none"/>
        </w:rPr>
        <w:fldChar w:fldCharType="end"/>
      </w:r>
    </w:p>
    <w:p w14:paraId="1FC4AB03">
      <w:pPr>
        <w:pStyle w:val="17"/>
        <w:bidi w:val="0"/>
        <w:rPr>
          <w:highlight w:val="none"/>
        </w:rPr>
      </w:pPr>
      <w:r>
        <w:rPr>
          <w:rFonts w:hint="eastAsia"/>
          <w:highlight w:val="none"/>
        </w:rPr>
        <w:fldChar w:fldCharType="begin"/>
      </w:r>
      <w:r>
        <w:rPr>
          <w:rFonts w:hint="eastAsia"/>
          <w:highlight w:val="none"/>
        </w:rPr>
        <w:instrText xml:space="preserve"> HYPERLINK \l _Toc28625 </w:instrText>
      </w:r>
      <w:r>
        <w:rPr>
          <w:rFonts w:hint="eastAsia"/>
          <w:highlight w:val="none"/>
        </w:rPr>
        <w:fldChar w:fldCharType="separate"/>
      </w:r>
      <w:r>
        <w:rPr>
          <w:rFonts w:hint="default"/>
          <w:highlight w:val="none"/>
        </w:rPr>
        <w:t xml:space="preserve">5. </w:t>
      </w:r>
      <w:r>
        <w:rPr>
          <w:rFonts w:hint="eastAsia"/>
          <w:highlight w:val="none"/>
        </w:rPr>
        <w:t>知识产权</w:t>
      </w:r>
      <w:r>
        <w:rPr>
          <w:highlight w:val="none"/>
        </w:rPr>
        <w:tab/>
      </w:r>
      <w:r>
        <w:rPr>
          <w:highlight w:val="none"/>
        </w:rPr>
        <w:fldChar w:fldCharType="begin"/>
      </w:r>
      <w:r>
        <w:rPr>
          <w:highlight w:val="none"/>
        </w:rPr>
        <w:instrText xml:space="preserve"> PAGEREF _Toc28625 \h </w:instrText>
      </w:r>
      <w:r>
        <w:rPr>
          <w:highlight w:val="none"/>
        </w:rPr>
        <w:fldChar w:fldCharType="separate"/>
      </w:r>
      <w:r>
        <w:rPr>
          <w:highlight w:val="none"/>
        </w:rPr>
        <w:t>25</w:t>
      </w:r>
      <w:r>
        <w:rPr>
          <w:highlight w:val="none"/>
        </w:rPr>
        <w:fldChar w:fldCharType="end"/>
      </w:r>
      <w:r>
        <w:rPr>
          <w:rFonts w:hint="eastAsia"/>
          <w:highlight w:val="none"/>
        </w:rPr>
        <w:fldChar w:fldCharType="end"/>
      </w:r>
    </w:p>
    <w:p w14:paraId="40889A6D">
      <w:pPr>
        <w:pStyle w:val="17"/>
        <w:bidi w:val="0"/>
        <w:rPr>
          <w:highlight w:val="none"/>
        </w:rPr>
      </w:pPr>
      <w:r>
        <w:rPr>
          <w:rFonts w:hint="eastAsia"/>
          <w:highlight w:val="none"/>
        </w:rPr>
        <w:fldChar w:fldCharType="begin"/>
      </w:r>
      <w:r>
        <w:rPr>
          <w:rFonts w:hint="eastAsia"/>
          <w:highlight w:val="none"/>
        </w:rPr>
        <w:instrText xml:space="preserve"> HYPERLINK \l _Toc20925 </w:instrText>
      </w:r>
      <w:r>
        <w:rPr>
          <w:rFonts w:hint="eastAsia"/>
          <w:highlight w:val="none"/>
        </w:rPr>
        <w:fldChar w:fldCharType="separate"/>
      </w:r>
      <w:r>
        <w:rPr>
          <w:rFonts w:hint="default"/>
          <w:highlight w:val="none"/>
        </w:rPr>
        <w:t xml:space="preserve">6. </w:t>
      </w:r>
      <w:r>
        <w:rPr>
          <w:rFonts w:hint="eastAsia"/>
          <w:highlight w:val="none"/>
        </w:rPr>
        <w:t>关于联合体投标</w:t>
      </w:r>
      <w:r>
        <w:rPr>
          <w:highlight w:val="none"/>
        </w:rPr>
        <w:tab/>
      </w:r>
      <w:r>
        <w:rPr>
          <w:highlight w:val="none"/>
        </w:rPr>
        <w:fldChar w:fldCharType="begin"/>
      </w:r>
      <w:r>
        <w:rPr>
          <w:highlight w:val="none"/>
        </w:rPr>
        <w:instrText xml:space="preserve"> PAGEREF _Toc20925 \h </w:instrText>
      </w:r>
      <w:r>
        <w:rPr>
          <w:highlight w:val="none"/>
        </w:rPr>
        <w:fldChar w:fldCharType="separate"/>
      </w:r>
      <w:r>
        <w:rPr>
          <w:highlight w:val="none"/>
        </w:rPr>
        <w:t>25</w:t>
      </w:r>
      <w:r>
        <w:rPr>
          <w:highlight w:val="none"/>
        </w:rPr>
        <w:fldChar w:fldCharType="end"/>
      </w:r>
      <w:r>
        <w:rPr>
          <w:rFonts w:hint="eastAsia"/>
          <w:highlight w:val="none"/>
        </w:rPr>
        <w:fldChar w:fldCharType="end"/>
      </w:r>
    </w:p>
    <w:p w14:paraId="5B6E3370">
      <w:pPr>
        <w:pStyle w:val="17"/>
        <w:bidi w:val="0"/>
        <w:rPr>
          <w:highlight w:val="none"/>
        </w:rPr>
      </w:pPr>
      <w:r>
        <w:rPr>
          <w:rFonts w:hint="eastAsia"/>
          <w:highlight w:val="none"/>
        </w:rPr>
        <w:fldChar w:fldCharType="begin"/>
      </w:r>
      <w:r>
        <w:rPr>
          <w:rFonts w:hint="eastAsia"/>
          <w:highlight w:val="none"/>
        </w:rPr>
        <w:instrText xml:space="preserve"> HYPERLINK \l _Toc11549 </w:instrText>
      </w:r>
      <w:r>
        <w:rPr>
          <w:rFonts w:hint="eastAsia"/>
          <w:highlight w:val="none"/>
        </w:rPr>
        <w:fldChar w:fldCharType="separate"/>
      </w:r>
      <w:r>
        <w:rPr>
          <w:rFonts w:hint="default"/>
          <w:highlight w:val="none"/>
        </w:rPr>
        <w:t xml:space="preserve">7. </w:t>
      </w:r>
      <w:r>
        <w:rPr>
          <w:rFonts w:hint="eastAsia"/>
          <w:highlight w:val="none"/>
        </w:rPr>
        <w:t>关于分支机构投标</w:t>
      </w:r>
      <w:r>
        <w:rPr>
          <w:highlight w:val="none"/>
        </w:rPr>
        <w:tab/>
      </w:r>
      <w:r>
        <w:rPr>
          <w:highlight w:val="none"/>
        </w:rPr>
        <w:fldChar w:fldCharType="begin"/>
      </w:r>
      <w:r>
        <w:rPr>
          <w:highlight w:val="none"/>
        </w:rPr>
        <w:instrText xml:space="preserve"> PAGEREF _Toc11549 \h </w:instrText>
      </w:r>
      <w:r>
        <w:rPr>
          <w:highlight w:val="none"/>
        </w:rPr>
        <w:fldChar w:fldCharType="separate"/>
      </w:r>
      <w:r>
        <w:rPr>
          <w:highlight w:val="none"/>
        </w:rPr>
        <w:t>26</w:t>
      </w:r>
      <w:r>
        <w:rPr>
          <w:highlight w:val="none"/>
        </w:rPr>
        <w:fldChar w:fldCharType="end"/>
      </w:r>
      <w:r>
        <w:rPr>
          <w:rFonts w:hint="eastAsia"/>
          <w:highlight w:val="none"/>
        </w:rPr>
        <w:fldChar w:fldCharType="end"/>
      </w:r>
    </w:p>
    <w:p w14:paraId="066A216D">
      <w:pPr>
        <w:pStyle w:val="17"/>
        <w:bidi w:val="0"/>
        <w:rPr>
          <w:highlight w:val="none"/>
        </w:rPr>
      </w:pPr>
      <w:r>
        <w:rPr>
          <w:rFonts w:hint="eastAsia"/>
          <w:highlight w:val="none"/>
        </w:rPr>
        <w:fldChar w:fldCharType="begin"/>
      </w:r>
      <w:r>
        <w:rPr>
          <w:rFonts w:hint="eastAsia"/>
          <w:highlight w:val="none"/>
        </w:rPr>
        <w:instrText xml:space="preserve"> HYPERLINK \l _Toc26179 </w:instrText>
      </w:r>
      <w:r>
        <w:rPr>
          <w:rFonts w:hint="eastAsia"/>
          <w:highlight w:val="none"/>
        </w:rPr>
        <w:fldChar w:fldCharType="separate"/>
      </w:r>
      <w:r>
        <w:rPr>
          <w:rFonts w:hint="default"/>
          <w:highlight w:val="none"/>
        </w:rPr>
        <w:t xml:space="preserve">8. </w:t>
      </w:r>
      <w:r>
        <w:rPr>
          <w:rFonts w:hint="eastAsia"/>
          <w:highlight w:val="none"/>
        </w:rPr>
        <w:t>踏勘现场</w:t>
      </w:r>
      <w:r>
        <w:rPr>
          <w:highlight w:val="none"/>
        </w:rPr>
        <w:tab/>
      </w:r>
      <w:r>
        <w:rPr>
          <w:highlight w:val="none"/>
        </w:rPr>
        <w:fldChar w:fldCharType="begin"/>
      </w:r>
      <w:r>
        <w:rPr>
          <w:highlight w:val="none"/>
        </w:rPr>
        <w:instrText xml:space="preserve"> PAGEREF _Toc26179 \h </w:instrText>
      </w:r>
      <w:r>
        <w:rPr>
          <w:highlight w:val="none"/>
        </w:rPr>
        <w:fldChar w:fldCharType="separate"/>
      </w:r>
      <w:r>
        <w:rPr>
          <w:highlight w:val="none"/>
        </w:rPr>
        <w:t>26</w:t>
      </w:r>
      <w:r>
        <w:rPr>
          <w:highlight w:val="none"/>
        </w:rPr>
        <w:fldChar w:fldCharType="end"/>
      </w:r>
      <w:r>
        <w:rPr>
          <w:rFonts w:hint="eastAsia"/>
          <w:highlight w:val="none"/>
        </w:rPr>
        <w:fldChar w:fldCharType="end"/>
      </w:r>
    </w:p>
    <w:p w14:paraId="66019215">
      <w:pPr>
        <w:pStyle w:val="17"/>
        <w:bidi w:val="0"/>
        <w:rPr>
          <w:highlight w:val="none"/>
        </w:rPr>
      </w:pPr>
      <w:r>
        <w:rPr>
          <w:rFonts w:hint="eastAsia"/>
          <w:highlight w:val="none"/>
        </w:rPr>
        <w:fldChar w:fldCharType="begin"/>
      </w:r>
      <w:r>
        <w:rPr>
          <w:rFonts w:hint="eastAsia"/>
          <w:highlight w:val="none"/>
        </w:rPr>
        <w:instrText xml:space="preserve"> HYPERLINK \l _Toc11506 </w:instrText>
      </w:r>
      <w:r>
        <w:rPr>
          <w:rFonts w:hint="eastAsia"/>
          <w:highlight w:val="none"/>
        </w:rPr>
        <w:fldChar w:fldCharType="separate"/>
      </w:r>
      <w:r>
        <w:rPr>
          <w:rFonts w:hint="default"/>
          <w:highlight w:val="none"/>
        </w:rPr>
        <w:t xml:space="preserve">二、 </w:t>
      </w:r>
      <w:r>
        <w:rPr>
          <w:rFonts w:hint="eastAsia"/>
          <w:highlight w:val="none"/>
        </w:rPr>
        <w:t>采购文件</w:t>
      </w:r>
      <w:r>
        <w:rPr>
          <w:highlight w:val="none"/>
        </w:rPr>
        <w:tab/>
      </w:r>
      <w:r>
        <w:rPr>
          <w:highlight w:val="none"/>
        </w:rPr>
        <w:fldChar w:fldCharType="begin"/>
      </w:r>
      <w:r>
        <w:rPr>
          <w:highlight w:val="none"/>
        </w:rPr>
        <w:instrText xml:space="preserve"> PAGEREF _Toc11506 \h </w:instrText>
      </w:r>
      <w:r>
        <w:rPr>
          <w:highlight w:val="none"/>
        </w:rPr>
        <w:fldChar w:fldCharType="separate"/>
      </w:r>
      <w:r>
        <w:rPr>
          <w:highlight w:val="none"/>
        </w:rPr>
        <w:t>26</w:t>
      </w:r>
      <w:r>
        <w:rPr>
          <w:highlight w:val="none"/>
        </w:rPr>
        <w:fldChar w:fldCharType="end"/>
      </w:r>
      <w:r>
        <w:rPr>
          <w:rFonts w:hint="eastAsia"/>
          <w:highlight w:val="none"/>
        </w:rPr>
        <w:fldChar w:fldCharType="end"/>
      </w:r>
    </w:p>
    <w:p w14:paraId="1A66F906">
      <w:pPr>
        <w:pStyle w:val="17"/>
        <w:bidi w:val="0"/>
        <w:rPr>
          <w:highlight w:val="none"/>
        </w:rPr>
      </w:pPr>
      <w:r>
        <w:rPr>
          <w:rFonts w:hint="eastAsia"/>
          <w:highlight w:val="none"/>
        </w:rPr>
        <w:fldChar w:fldCharType="begin"/>
      </w:r>
      <w:r>
        <w:rPr>
          <w:rFonts w:hint="eastAsia"/>
          <w:highlight w:val="none"/>
        </w:rPr>
        <w:instrText xml:space="preserve"> HYPERLINK \l _Toc18091 </w:instrText>
      </w:r>
      <w:r>
        <w:rPr>
          <w:rFonts w:hint="eastAsia"/>
          <w:highlight w:val="none"/>
        </w:rPr>
        <w:fldChar w:fldCharType="separate"/>
      </w:r>
      <w:r>
        <w:rPr>
          <w:rFonts w:hint="default"/>
          <w:highlight w:val="none"/>
        </w:rPr>
        <w:t xml:space="preserve">9. </w:t>
      </w:r>
      <w:r>
        <w:rPr>
          <w:rFonts w:hint="eastAsia"/>
          <w:highlight w:val="none"/>
        </w:rPr>
        <w:t>采购文件的组成</w:t>
      </w:r>
      <w:r>
        <w:rPr>
          <w:highlight w:val="none"/>
        </w:rPr>
        <w:tab/>
      </w:r>
      <w:r>
        <w:rPr>
          <w:highlight w:val="none"/>
        </w:rPr>
        <w:fldChar w:fldCharType="begin"/>
      </w:r>
      <w:r>
        <w:rPr>
          <w:highlight w:val="none"/>
        </w:rPr>
        <w:instrText xml:space="preserve"> PAGEREF _Toc18091 \h </w:instrText>
      </w:r>
      <w:r>
        <w:rPr>
          <w:highlight w:val="none"/>
        </w:rPr>
        <w:fldChar w:fldCharType="separate"/>
      </w:r>
      <w:r>
        <w:rPr>
          <w:highlight w:val="none"/>
        </w:rPr>
        <w:t>26</w:t>
      </w:r>
      <w:r>
        <w:rPr>
          <w:highlight w:val="none"/>
        </w:rPr>
        <w:fldChar w:fldCharType="end"/>
      </w:r>
      <w:r>
        <w:rPr>
          <w:rFonts w:hint="eastAsia"/>
          <w:highlight w:val="none"/>
        </w:rPr>
        <w:fldChar w:fldCharType="end"/>
      </w:r>
    </w:p>
    <w:p w14:paraId="29786378">
      <w:pPr>
        <w:pStyle w:val="17"/>
        <w:bidi w:val="0"/>
        <w:rPr>
          <w:highlight w:val="none"/>
        </w:rPr>
      </w:pPr>
      <w:r>
        <w:rPr>
          <w:rFonts w:hint="eastAsia"/>
          <w:highlight w:val="none"/>
        </w:rPr>
        <w:fldChar w:fldCharType="begin"/>
      </w:r>
      <w:r>
        <w:rPr>
          <w:rFonts w:hint="eastAsia"/>
          <w:highlight w:val="none"/>
        </w:rPr>
        <w:instrText xml:space="preserve"> HYPERLINK \l _Toc9119 </w:instrText>
      </w:r>
      <w:r>
        <w:rPr>
          <w:rFonts w:hint="eastAsia"/>
          <w:highlight w:val="none"/>
        </w:rPr>
        <w:fldChar w:fldCharType="separate"/>
      </w:r>
      <w:r>
        <w:rPr>
          <w:rFonts w:hint="default"/>
          <w:highlight w:val="none"/>
        </w:rPr>
        <w:t xml:space="preserve">10. </w:t>
      </w:r>
      <w:r>
        <w:rPr>
          <w:rFonts w:hint="eastAsia"/>
          <w:highlight w:val="none"/>
        </w:rPr>
        <w:t>采购文件的澄清或修改</w:t>
      </w:r>
      <w:r>
        <w:rPr>
          <w:highlight w:val="none"/>
        </w:rPr>
        <w:tab/>
      </w:r>
      <w:r>
        <w:rPr>
          <w:highlight w:val="none"/>
        </w:rPr>
        <w:fldChar w:fldCharType="begin"/>
      </w:r>
      <w:r>
        <w:rPr>
          <w:highlight w:val="none"/>
        </w:rPr>
        <w:instrText xml:space="preserve"> PAGEREF _Toc9119 \h </w:instrText>
      </w:r>
      <w:r>
        <w:rPr>
          <w:highlight w:val="none"/>
        </w:rPr>
        <w:fldChar w:fldCharType="separate"/>
      </w:r>
      <w:r>
        <w:rPr>
          <w:highlight w:val="none"/>
        </w:rPr>
        <w:t>27</w:t>
      </w:r>
      <w:r>
        <w:rPr>
          <w:highlight w:val="none"/>
        </w:rPr>
        <w:fldChar w:fldCharType="end"/>
      </w:r>
      <w:r>
        <w:rPr>
          <w:rFonts w:hint="eastAsia"/>
          <w:highlight w:val="none"/>
        </w:rPr>
        <w:fldChar w:fldCharType="end"/>
      </w:r>
    </w:p>
    <w:p w14:paraId="56A5CCED">
      <w:pPr>
        <w:pStyle w:val="17"/>
        <w:bidi w:val="0"/>
        <w:rPr>
          <w:highlight w:val="none"/>
        </w:rPr>
      </w:pPr>
      <w:r>
        <w:rPr>
          <w:rFonts w:hint="eastAsia"/>
          <w:highlight w:val="none"/>
        </w:rPr>
        <w:fldChar w:fldCharType="begin"/>
      </w:r>
      <w:r>
        <w:rPr>
          <w:rFonts w:hint="eastAsia"/>
          <w:highlight w:val="none"/>
        </w:rPr>
        <w:instrText xml:space="preserve"> HYPERLINK \l _Toc29723 </w:instrText>
      </w:r>
      <w:r>
        <w:rPr>
          <w:rFonts w:hint="eastAsia"/>
          <w:highlight w:val="none"/>
        </w:rPr>
        <w:fldChar w:fldCharType="separate"/>
      </w:r>
      <w:r>
        <w:rPr>
          <w:rFonts w:hint="default"/>
          <w:highlight w:val="none"/>
        </w:rPr>
        <w:t xml:space="preserve">三、 </w:t>
      </w:r>
      <w:r>
        <w:rPr>
          <w:rFonts w:hint="eastAsia"/>
          <w:highlight w:val="none"/>
        </w:rPr>
        <w:t>投标文件的编制</w:t>
      </w:r>
      <w:r>
        <w:rPr>
          <w:highlight w:val="none"/>
        </w:rPr>
        <w:tab/>
      </w:r>
      <w:r>
        <w:rPr>
          <w:highlight w:val="none"/>
        </w:rPr>
        <w:fldChar w:fldCharType="begin"/>
      </w:r>
      <w:r>
        <w:rPr>
          <w:highlight w:val="none"/>
        </w:rPr>
        <w:instrText xml:space="preserve"> PAGEREF _Toc29723 \h </w:instrText>
      </w:r>
      <w:r>
        <w:rPr>
          <w:highlight w:val="none"/>
        </w:rPr>
        <w:fldChar w:fldCharType="separate"/>
      </w:r>
      <w:r>
        <w:rPr>
          <w:highlight w:val="none"/>
        </w:rPr>
        <w:t>27</w:t>
      </w:r>
      <w:r>
        <w:rPr>
          <w:highlight w:val="none"/>
        </w:rPr>
        <w:fldChar w:fldCharType="end"/>
      </w:r>
      <w:r>
        <w:rPr>
          <w:rFonts w:hint="eastAsia"/>
          <w:highlight w:val="none"/>
        </w:rPr>
        <w:fldChar w:fldCharType="end"/>
      </w:r>
    </w:p>
    <w:p w14:paraId="39A28DC3">
      <w:pPr>
        <w:pStyle w:val="17"/>
        <w:bidi w:val="0"/>
        <w:rPr>
          <w:highlight w:val="none"/>
        </w:rPr>
      </w:pPr>
      <w:r>
        <w:rPr>
          <w:rFonts w:hint="eastAsia"/>
          <w:highlight w:val="none"/>
        </w:rPr>
        <w:fldChar w:fldCharType="begin"/>
      </w:r>
      <w:r>
        <w:rPr>
          <w:rFonts w:hint="eastAsia"/>
          <w:highlight w:val="none"/>
        </w:rPr>
        <w:instrText xml:space="preserve"> HYPERLINK \l _Toc23441 </w:instrText>
      </w:r>
      <w:r>
        <w:rPr>
          <w:rFonts w:hint="eastAsia"/>
          <w:highlight w:val="none"/>
        </w:rPr>
        <w:fldChar w:fldCharType="separate"/>
      </w:r>
      <w:r>
        <w:rPr>
          <w:rFonts w:hint="default"/>
          <w:highlight w:val="none"/>
        </w:rPr>
        <w:t xml:space="preserve">11. </w:t>
      </w:r>
      <w:r>
        <w:rPr>
          <w:rFonts w:hint="eastAsia"/>
          <w:highlight w:val="none"/>
        </w:rPr>
        <w:t>投标文件的语言及度量衡单位</w:t>
      </w:r>
      <w:r>
        <w:rPr>
          <w:highlight w:val="none"/>
        </w:rPr>
        <w:tab/>
      </w:r>
      <w:r>
        <w:rPr>
          <w:highlight w:val="none"/>
        </w:rPr>
        <w:fldChar w:fldCharType="begin"/>
      </w:r>
      <w:r>
        <w:rPr>
          <w:highlight w:val="none"/>
        </w:rPr>
        <w:instrText xml:space="preserve"> PAGEREF _Toc23441 \h </w:instrText>
      </w:r>
      <w:r>
        <w:rPr>
          <w:highlight w:val="none"/>
        </w:rPr>
        <w:fldChar w:fldCharType="separate"/>
      </w:r>
      <w:r>
        <w:rPr>
          <w:highlight w:val="none"/>
        </w:rPr>
        <w:t>27</w:t>
      </w:r>
      <w:r>
        <w:rPr>
          <w:highlight w:val="none"/>
        </w:rPr>
        <w:fldChar w:fldCharType="end"/>
      </w:r>
      <w:r>
        <w:rPr>
          <w:rFonts w:hint="eastAsia"/>
          <w:highlight w:val="none"/>
        </w:rPr>
        <w:fldChar w:fldCharType="end"/>
      </w:r>
    </w:p>
    <w:p w14:paraId="521D2E60">
      <w:pPr>
        <w:pStyle w:val="17"/>
        <w:bidi w:val="0"/>
        <w:rPr>
          <w:highlight w:val="none"/>
        </w:rPr>
      </w:pPr>
      <w:r>
        <w:rPr>
          <w:rFonts w:hint="eastAsia"/>
          <w:highlight w:val="none"/>
        </w:rPr>
        <w:fldChar w:fldCharType="begin"/>
      </w:r>
      <w:r>
        <w:rPr>
          <w:rFonts w:hint="eastAsia"/>
          <w:highlight w:val="none"/>
        </w:rPr>
        <w:instrText xml:space="preserve"> HYPERLINK \l _Toc11677 </w:instrText>
      </w:r>
      <w:r>
        <w:rPr>
          <w:rFonts w:hint="eastAsia"/>
          <w:highlight w:val="none"/>
        </w:rPr>
        <w:fldChar w:fldCharType="separate"/>
      </w:r>
      <w:r>
        <w:rPr>
          <w:rFonts w:hint="default"/>
          <w:highlight w:val="none"/>
        </w:rPr>
        <w:t xml:space="preserve">12. </w:t>
      </w:r>
      <w:r>
        <w:rPr>
          <w:rFonts w:hint="eastAsia"/>
          <w:highlight w:val="none"/>
        </w:rPr>
        <w:t>投标文件的组成</w:t>
      </w:r>
      <w:r>
        <w:rPr>
          <w:highlight w:val="none"/>
        </w:rPr>
        <w:tab/>
      </w:r>
      <w:r>
        <w:rPr>
          <w:highlight w:val="none"/>
        </w:rPr>
        <w:fldChar w:fldCharType="begin"/>
      </w:r>
      <w:r>
        <w:rPr>
          <w:highlight w:val="none"/>
        </w:rPr>
        <w:instrText xml:space="preserve"> PAGEREF _Toc11677 \h </w:instrText>
      </w:r>
      <w:r>
        <w:rPr>
          <w:highlight w:val="none"/>
        </w:rPr>
        <w:fldChar w:fldCharType="separate"/>
      </w:r>
      <w:r>
        <w:rPr>
          <w:highlight w:val="none"/>
        </w:rPr>
        <w:t>27</w:t>
      </w:r>
      <w:r>
        <w:rPr>
          <w:highlight w:val="none"/>
        </w:rPr>
        <w:fldChar w:fldCharType="end"/>
      </w:r>
      <w:r>
        <w:rPr>
          <w:rFonts w:hint="eastAsia"/>
          <w:highlight w:val="none"/>
        </w:rPr>
        <w:fldChar w:fldCharType="end"/>
      </w:r>
    </w:p>
    <w:p w14:paraId="4FED8874">
      <w:pPr>
        <w:pStyle w:val="17"/>
        <w:bidi w:val="0"/>
        <w:rPr>
          <w:highlight w:val="none"/>
        </w:rPr>
      </w:pPr>
      <w:r>
        <w:rPr>
          <w:rFonts w:hint="eastAsia"/>
          <w:highlight w:val="none"/>
        </w:rPr>
        <w:fldChar w:fldCharType="begin"/>
      </w:r>
      <w:r>
        <w:rPr>
          <w:rFonts w:hint="eastAsia"/>
          <w:highlight w:val="none"/>
        </w:rPr>
        <w:instrText xml:space="preserve"> HYPERLINK \l _Toc9372 </w:instrText>
      </w:r>
      <w:r>
        <w:rPr>
          <w:rFonts w:hint="eastAsia"/>
          <w:highlight w:val="none"/>
        </w:rPr>
        <w:fldChar w:fldCharType="separate"/>
      </w:r>
      <w:r>
        <w:rPr>
          <w:rFonts w:hint="default"/>
          <w:highlight w:val="none"/>
        </w:rPr>
        <w:t xml:space="preserve">13. </w:t>
      </w:r>
      <w:r>
        <w:rPr>
          <w:rFonts w:hint="eastAsia"/>
          <w:highlight w:val="none"/>
        </w:rPr>
        <w:t>投标文件编制</w:t>
      </w:r>
      <w:r>
        <w:rPr>
          <w:highlight w:val="none"/>
        </w:rPr>
        <w:tab/>
      </w:r>
      <w:r>
        <w:rPr>
          <w:highlight w:val="none"/>
        </w:rPr>
        <w:fldChar w:fldCharType="begin"/>
      </w:r>
      <w:r>
        <w:rPr>
          <w:highlight w:val="none"/>
        </w:rPr>
        <w:instrText xml:space="preserve"> PAGEREF _Toc9372 \h </w:instrText>
      </w:r>
      <w:r>
        <w:rPr>
          <w:highlight w:val="none"/>
        </w:rPr>
        <w:fldChar w:fldCharType="separate"/>
      </w:r>
      <w:r>
        <w:rPr>
          <w:highlight w:val="none"/>
        </w:rPr>
        <w:t>28</w:t>
      </w:r>
      <w:r>
        <w:rPr>
          <w:highlight w:val="none"/>
        </w:rPr>
        <w:fldChar w:fldCharType="end"/>
      </w:r>
      <w:r>
        <w:rPr>
          <w:rFonts w:hint="eastAsia"/>
          <w:highlight w:val="none"/>
        </w:rPr>
        <w:fldChar w:fldCharType="end"/>
      </w:r>
    </w:p>
    <w:p w14:paraId="03E8456F">
      <w:pPr>
        <w:pStyle w:val="17"/>
        <w:bidi w:val="0"/>
        <w:rPr>
          <w:highlight w:val="none"/>
        </w:rPr>
      </w:pPr>
      <w:r>
        <w:rPr>
          <w:rFonts w:hint="eastAsia"/>
          <w:highlight w:val="none"/>
        </w:rPr>
        <w:fldChar w:fldCharType="begin"/>
      </w:r>
      <w:r>
        <w:rPr>
          <w:rFonts w:hint="eastAsia"/>
          <w:highlight w:val="none"/>
        </w:rPr>
        <w:instrText xml:space="preserve"> HYPERLINK \l _Toc9446 </w:instrText>
      </w:r>
      <w:r>
        <w:rPr>
          <w:rFonts w:hint="eastAsia"/>
          <w:highlight w:val="none"/>
        </w:rPr>
        <w:fldChar w:fldCharType="separate"/>
      </w:r>
      <w:r>
        <w:rPr>
          <w:rFonts w:hint="default"/>
          <w:highlight w:val="none"/>
        </w:rPr>
        <w:t xml:space="preserve">14. </w:t>
      </w:r>
      <w:r>
        <w:rPr>
          <w:rFonts w:hint="eastAsia"/>
          <w:highlight w:val="none"/>
        </w:rPr>
        <w:t>投标报价说明</w:t>
      </w:r>
      <w:r>
        <w:rPr>
          <w:highlight w:val="none"/>
        </w:rPr>
        <w:tab/>
      </w:r>
      <w:r>
        <w:rPr>
          <w:highlight w:val="none"/>
        </w:rPr>
        <w:fldChar w:fldCharType="begin"/>
      </w:r>
      <w:r>
        <w:rPr>
          <w:highlight w:val="none"/>
        </w:rPr>
        <w:instrText xml:space="preserve"> PAGEREF _Toc9446 \h </w:instrText>
      </w:r>
      <w:r>
        <w:rPr>
          <w:highlight w:val="none"/>
        </w:rPr>
        <w:fldChar w:fldCharType="separate"/>
      </w:r>
      <w:r>
        <w:rPr>
          <w:highlight w:val="none"/>
        </w:rPr>
        <w:t>28</w:t>
      </w:r>
      <w:r>
        <w:rPr>
          <w:highlight w:val="none"/>
        </w:rPr>
        <w:fldChar w:fldCharType="end"/>
      </w:r>
      <w:r>
        <w:rPr>
          <w:rFonts w:hint="eastAsia"/>
          <w:highlight w:val="none"/>
        </w:rPr>
        <w:fldChar w:fldCharType="end"/>
      </w:r>
    </w:p>
    <w:p w14:paraId="6A1A246B">
      <w:pPr>
        <w:pStyle w:val="17"/>
        <w:bidi w:val="0"/>
        <w:rPr>
          <w:highlight w:val="none"/>
        </w:rPr>
      </w:pPr>
      <w:r>
        <w:rPr>
          <w:rFonts w:hint="eastAsia"/>
          <w:highlight w:val="none"/>
        </w:rPr>
        <w:fldChar w:fldCharType="begin"/>
      </w:r>
      <w:r>
        <w:rPr>
          <w:rFonts w:hint="eastAsia"/>
          <w:highlight w:val="none"/>
        </w:rPr>
        <w:instrText xml:space="preserve"> HYPERLINK \l _Toc11816 </w:instrText>
      </w:r>
      <w:r>
        <w:rPr>
          <w:rFonts w:hint="eastAsia"/>
          <w:highlight w:val="none"/>
        </w:rPr>
        <w:fldChar w:fldCharType="separate"/>
      </w:r>
      <w:r>
        <w:rPr>
          <w:rFonts w:hint="default"/>
          <w:highlight w:val="none"/>
        </w:rPr>
        <w:t xml:space="preserve">15. </w:t>
      </w:r>
      <w:r>
        <w:rPr>
          <w:rFonts w:hint="eastAsia"/>
          <w:highlight w:val="none"/>
        </w:rPr>
        <w:t>投标人所提供的服务或货物的证明文件</w:t>
      </w:r>
      <w:r>
        <w:rPr>
          <w:highlight w:val="none"/>
        </w:rPr>
        <w:tab/>
      </w:r>
      <w:r>
        <w:rPr>
          <w:highlight w:val="none"/>
        </w:rPr>
        <w:fldChar w:fldCharType="begin"/>
      </w:r>
      <w:r>
        <w:rPr>
          <w:highlight w:val="none"/>
        </w:rPr>
        <w:instrText xml:space="preserve"> PAGEREF _Toc11816 \h </w:instrText>
      </w:r>
      <w:r>
        <w:rPr>
          <w:highlight w:val="none"/>
        </w:rPr>
        <w:fldChar w:fldCharType="separate"/>
      </w:r>
      <w:r>
        <w:rPr>
          <w:highlight w:val="none"/>
        </w:rPr>
        <w:t>29</w:t>
      </w:r>
      <w:r>
        <w:rPr>
          <w:highlight w:val="none"/>
        </w:rPr>
        <w:fldChar w:fldCharType="end"/>
      </w:r>
      <w:r>
        <w:rPr>
          <w:rFonts w:hint="eastAsia"/>
          <w:highlight w:val="none"/>
        </w:rPr>
        <w:fldChar w:fldCharType="end"/>
      </w:r>
    </w:p>
    <w:p w14:paraId="6D338D05">
      <w:pPr>
        <w:pStyle w:val="17"/>
        <w:bidi w:val="0"/>
        <w:rPr>
          <w:highlight w:val="none"/>
        </w:rPr>
      </w:pPr>
      <w:r>
        <w:rPr>
          <w:rFonts w:hint="eastAsia"/>
          <w:highlight w:val="none"/>
        </w:rPr>
        <w:fldChar w:fldCharType="begin"/>
      </w:r>
      <w:r>
        <w:rPr>
          <w:rFonts w:hint="eastAsia"/>
          <w:highlight w:val="none"/>
        </w:rPr>
        <w:instrText xml:space="preserve"> HYPERLINK \l _Toc1589 </w:instrText>
      </w:r>
      <w:r>
        <w:rPr>
          <w:rFonts w:hint="eastAsia"/>
          <w:highlight w:val="none"/>
        </w:rPr>
        <w:fldChar w:fldCharType="separate"/>
      </w:r>
      <w:r>
        <w:rPr>
          <w:rFonts w:hint="default"/>
          <w:highlight w:val="none"/>
        </w:rPr>
        <w:t xml:space="preserve">16. </w:t>
      </w:r>
      <w:r>
        <w:rPr>
          <w:rFonts w:hint="eastAsia"/>
          <w:highlight w:val="none"/>
        </w:rPr>
        <w:t>投标有效期</w:t>
      </w:r>
      <w:r>
        <w:rPr>
          <w:highlight w:val="none"/>
        </w:rPr>
        <w:tab/>
      </w:r>
      <w:r>
        <w:rPr>
          <w:highlight w:val="none"/>
        </w:rPr>
        <w:fldChar w:fldCharType="begin"/>
      </w:r>
      <w:r>
        <w:rPr>
          <w:highlight w:val="none"/>
        </w:rPr>
        <w:instrText xml:space="preserve"> PAGEREF _Toc1589 \h </w:instrText>
      </w:r>
      <w:r>
        <w:rPr>
          <w:highlight w:val="none"/>
        </w:rPr>
        <w:fldChar w:fldCharType="separate"/>
      </w:r>
      <w:r>
        <w:rPr>
          <w:highlight w:val="none"/>
        </w:rPr>
        <w:t>29</w:t>
      </w:r>
      <w:r>
        <w:rPr>
          <w:highlight w:val="none"/>
        </w:rPr>
        <w:fldChar w:fldCharType="end"/>
      </w:r>
      <w:r>
        <w:rPr>
          <w:rFonts w:hint="eastAsia"/>
          <w:highlight w:val="none"/>
        </w:rPr>
        <w:fldChar w:fldCharType="end"/>
      </w:r>
    </w:p>
    <w:p w14:paraId="20B1267C">
      <w:pPr>
        <w:pStyle w:val="17"/>
        <w:bidi w:val="0"/>
        <w:rPr>
          <w:highlight w:val="none"/>
        </w:rPr>
      </w:pPr>
      <w:r>
        <w:rPr>
          <w:rFonts w:hint="eastAsia"/>
          <w:highlight w:val="none"/>
        </w:rPr>
        <w:fldChar w:fldCharType="begin"/>
      </w:r>
      <w:r>
        <w:rPr>
          <w:rFonts w:hint="eastAsia"/>
          <w:highlight w:val="none"/>
        </w:rPr>
        <w:instrText xml:space="preserve"> HYPERLINK \l _Toc11268 </w:instrText>
      </w:r>
      <w:r>
        <w:rPr>
          <w:rFonts w:hint="eastAsia"/>
          <w:highlight w:val="none"/>
        </w:rPr>
        <w:fldChar w:fldCharType="separate"/>
      </w:r>
      <w:r>
        <w:rPr>
          <w:rFonts w:hint="default"/>
          <w:highlight w:val="none"/>
        </w:rPr>
        <w:t xml:space="preserve">17. </w:t>
      </w:r>
      <w:r>
        <w:rPr>
          <w:rFonts w:hint="eastAsia"/>
          <w:highlight w:val="none"/>
        </w:rPr>
        <w:t>投标保证金</w:t>
      </w:r>
      <w:r>
        <w:rPr>
          <w:highlight w:val="none"/>
        </w:rPr>
        <w:tab/>
      </w:r>
      <w:r>
        <w:rPr>
          <w:highlight w:val="none"/>
        </w:rPr>
        <w:fldChar w:fldCharType="begin"/>
      </w:r>
      <w:r>
        <w:rPr>
          <w:highlight w:val="none"/>
        </w:rPr>
        <w:instrText xml:space="preserve"> PAGEREF _Toc11268 \h </w:instrText>
      </w:r>
      <w:r>
        <w:rPr>
          <w:highlight w:val="none"/>
        </w:rPr>
        <w:fldChar w:fldCharType="separate"/>
      </w:r>
      <w:r>
        <w:rPr>
          <w:highlight w:val="none"/>
        </w:rPr>
        <w:t>29</w:t>
      </w:r>
      <w:r>
        <w:rPr>
          <w:highlight w:val="none"/>
        </w:rPr>
        <w:fldChar w:fldCharType="end"/>
      </w:r>
      <w:r>
        <w:rPr>
          <w:rFonts w:hint="eastAsia"/>
          <w:highlight w:val="none"/>
        </w:rPr>
        <w:fldChar w:fldCharType="end"/>
      </w:r>
    </w:p>
    <w:p w14:paraId="28530DED">
      <w:pPr>
        <w:pStyle w:val="17"/>
        <w:bidi w:val="0"/>
        <w:rPr>
          <w:highlight w:val="none"/>
        </w:rPr>
      </w:pPr>
      <w:r>
        <w:rPr>
          <w:rFonts w:hint="eastAsia"/>
          <w:highlight w:val="none"/>
        </w:rPr>
        <w:fldChar w:fldCharType="begin"/>
      </w:r>
      <w:r>
        <w:rPr>
          <w:rFonts w:hint="eastAsia"/>
          <w:highlight w:val="none"/>
        </w:rPr>
        <w:instrText xml:space="preserve"> HYPERLINK \l _Toc21607 </w:instrText>
      </w:r>
      <w:r>
        <w:rPr>
          <w:rFonts w:hint="eastAsia"/>
          <w:highlight w:val="none"/>
        </w:rPr>
        <w:fldChar w:fldCharType="separate"/>
      </w:r>
      <w:r>
        <w:rPr>
          <w:rFonts w:hint="default"/>
          <w:highlight w:val="none"/>
        </w:rPr>
        <w:t xml:space="preserve">四、 </w:t>
      </w:r>
      <w:r>
        <w:rPr>
          <w:rFonts w:hint="eastAsia"/>
          <w:highlight w:val="none"/>
        </w:rPr>
        <w:t>投标文件的递交</w:t>
      </w:r>
      <w:r>
        <w:rPr>
          <w:highlight w:val="none"/>
        </w:rPr>
        <w:tab/>
      </w:r>
      <w:r>
        <w:rPr>
          <w:highlight w:val="none"/>
        </w:rPr>
        <w:fldChar w:fldCharType="begin"/>
      </w:r>
      <w:r>
        <w:rPr>
          <w:highlight w:val="none"/>
        </w:rPr>
        <w:instrText xml:space="preserve"> PAGEREF _Toc21607 \h </w:instrText>
      </w:r>
      <w:r>
        <w:rPr>
          <w:highlight w:val="none"/>
        </w:rPr>
        <w:fldChar w:fldCharType="separate"/>
      </w:r>
      <w:r>
        <w:rPr>
          <w:highlight w:val="none"/>
        </w:rPr>
        <w:t>30</w:t>
      </w:r>
      <w:r>
        <w:rPr>
          <w:highlight w:val="none"/>
        </w:rPr>
        <w:fldChar w:fldCharType="end"/>
      </w:r>
      <w:r>
        <w:rPr>
          <w:rFonts w:hint="eastAsia"/>
          <w:highlight w:val="none"/>
        </w:rPr>
        <w:fldChar w:fldCharType="end"/>
      </w:r>
    </w:p>
    <w:p w14:paraId="24F400CB">
      <w:pPr>
        <w:pStyle w:val="17"/>
        <w:bidi w:val="0"/>
        <w:rPr>
          <w:highlight w:val="none"/>
        </w:rPr>
      </w:pPr>
      <w:r>
        <w:rPr>
          <w:rFonts w:hint="eastAsia"/>
          <w:highlight w:val="none"/>
        </w:rPr>
        <w:fldChar w:fldCharType="begin"/>
      </w:r>
      <w:r>
        <w:rPr>
          <w:rFonts w:hint="eastAsia"/>
          <w:highlight w:val="none"/>
        </w:rPr>
        <w:instrText xml:space="preserve"> HYPERLINK \l _Toc25274 </w:instrText>
      </w:r>
      <w:r>
        <w:rPr>
          <w:rFonts w:hint="eastAsia"/>
          <w:highlight w:val="none"/>
        </w:rPr>
        <w:fldChar w:fldCharType="separate"/>
      </w:r>
      <w:r>
        <w:rPr>
          <w:rFonts w:hint="default"/>
          <w:highlight w:val="none"/>
        </w:rPr>
        <w:t xml:space="preserve">18. </w:t>
      </w:r>
      <w:r>
        <w:rPr>
          <w:rFonts w:hint="eastAsia"/>
          <w:highlight w:val="none"/>
        </w:rPr>
        <w:t>投标文件的装订，签署，密封和标记</w:t>
      </w:r>
      <w:r>
        <w:rPr>
          <w:highlight w:val="none"/>
        </w:rPr>
        <w:tab/>
      </w:r>
      <w:r>
        <w:rPr>
          <w:highlight w:val="none"/>
        </w:rPr>
        <w:fldChar w:fldCharType="begin"/>
      </w:r>
      <w:r>
        <w:rPr>
          <w:highlight w:val="none"/>
        </w:rPr>
        <w:instrText xml:space="preserve"> PAGEREF _Toc25274 \h </w:instrText>
      </w:r>
      <w:r>
        <w:rPr>
          <w:highlight w:val="none"/>
        </w:rPr>
        <w:fldChar w:fldCharType="separate"/>
      </w:r>
      <w:r>
        <w:rPr>
          <w:highlight w:val="none"/>
        </w:rPr>
        <w:t>30</w:t>
      </w:r>
      <w:r>
        <w:rPr>
          <w:highlight w:val="none"/>
        </w:rPr>
        <w:fldChar w:fldCharType="end"/>
      </w:r>
      <w:r>
        <w:rPr>
          <w:rFonts w:hint="eastAsia"/>
          <w:highlight w:val="none"/>
        </w:rPr>
        <w:fldChar w:fldCharType="end"/>
      </w:r>
    </w:p>
    <w:p w14:paraId="50EF4B55">
      <w:pPr>
        <w:pStyle w:val="17"/>
        <w:bidi w:val="0"/>
        <w:rPr>
          <w:highlight w:val="none"/>
        </w:rPr>
      </w:pPr>
      <w:r>
        <w:rPr>
          <w:rFonts w:hint="eastAsia"/>
          <w:highlight w:val="none"/>
        </w:rPr>
        <w:fldChar w:fldCharType="begin"/>
      </w:r>
      <w:r>
        <w:rPr>
          <w:rFonts w:hint="eastAsia"/>
          <w:highlight w:val="none"/>
        </w:rPr>
        <w:instrText xml:space="preserve"> HYPERLINK \l _Toc25206 </w:instrText>
      </w:r>
      <w:r>
        <w:rPr>
          <w:rFonts w:hint="eastAsia"/>
          <w:highlight w:val="none"/>
        </w:rPr>
        <w:fldChar w:fldCharType="separate"/>
      </w:r>
      <w:r>
        <w:rPr>
          <w:rFonts w:hint="default"/>
          <w:highlight w:val="none"/>
        </w:rPr>
        <w:t xml:space="preserve">19. </w:t>
      </w:r>
      <w:r>
        <w:rPr>
          <w:rFonts w:hint="eastAsia"/>
          <w:highlight w:val="none"/>
        </w:rPr>
        <w:t>迟交的投标文件</w:t>
      </w:r>
      <w:r>
        <w:rPr>
          <w:highlight w:val="none"/>
        </w:rPr>
        <w:tab/>
      </w:r>
      <w:r>
        <w:rPr>
          <w:highlight w:val="none"/>
        </w:rPr>
        <w:fldChar w:fldCharType="begin"/>
      </w:r>
      <w:r>
        <w:rPr>
          <w:highlight w:val="none"/>
        </w:rPr>
        <w:instrText xml:space="preserve"> PAGEREF _Toc25206 \h </w:instrText>
      </w:r>
      <w:r>
        <w:rPr>
          <w:highlight w:val="none"/>
        </w:rPr>
        <w:fldChar w:fldCharType="separate"/>
      </w:r>
      <w:r>
        <w:rPr>
          <w:highlight w:val="none"/>
        </w:rPr>
        <w:t>32</w:t>
      </w:r>
      <w:r>
        <w:rPr>
          <w:highlight w:val="none"/>
        </w:rPr>
        <w:fldChar w:fldCharType="end"/>
      </w:r>
      <w:r>
        <w:rPr>
          <w:rFonts w:hint="eastAsia"/>
          <w:highlight w:val="none"/>
        </w:rPr>
        <w:fldChar w:fldCharType="end"/>
      </w:r>
    </w:p>
    <w:p w14:paraId="4F72B02C">
      <w:pPr>
        <w:pStyle w:val="17"/>
        <w:bidi w:val="0"/>
        <w:rPr>
          <w:highlight w:val="none"/>
        </w:rPr>
      </w:pPr>
      <w:r>
        <w:rPr>
          <w:rFonts w:hint="eastAsia"/>
          <w:highlight w:val="none"/>
        </w:rPr>
        <w:fldChar w:fldCharType="begin"/>
      </w:r>
      <w:r>
        <w:rPr>
          <w:rFonts w:hint="eastAsia"/>
          <w:highlight w:val="none"/>
        </w:rPr>
        <w:instrText xml:space="preserve"> HYPERLINK \l _Toc24471 </w:instrText>
      </w:r>
      <w:r>
        <w:rPr>
          <w:rFonts w:hint="eastAsia"/>
          <w:highlight w:val="none"/>
        </w:rPr>
        <w:fldChar w:fldCharType="separate"/>
      </w:r>
      <w:r>
        <w:rPr>
          <w:rFonts w:hint="default"/>
          <w:highlight w:val="none"/>
        </w:rPr>
        <w:t xml:space="preserve">20. </w:t>
      </w:r>
      <w:r>
        <w:rPr>
          <w:rFonts w:hint="eastAsia"/>
          <w:highlight w:val="none"/>
        </w:rPr>
        <w:t>投标样品（如需提交）</w:t>
      </w:r>
      <w:r>
        <w:rPr>
          <w:highlight w:val="none"/>
        </w:rPr>
        <w:tab/>
      </w:r>
      <w:r>
        <w:rPr>
          <w:highlight w:val="none"/>
        </w:rPr>
        <w:fldChar w:fldCharType="begin"/>
      </w:r>
      <w:r>
        <w:rPr>
          <w:highlight w:val="none"/>
        </w:rPr>
        <w:instrText xml:space="preserve"> PAGEREF _Toc24471 \h </w:instrText>
      </w:r>
      <w:r>
        <w:rPr>
          <w:highlight w:val="none"/>
        </w:rPr>
        <w:fldChar w:fldCharType="separate"/>
      </w:r>
      <w:r>
        <w:rPr>
          <w:highlight w:val="none"/>
        </w:rPr>
        <w:t>32</w:t>
      </w:r>
      <w:r>
        <w:rPr>
          <w:highlight w:val="none"/>
        </w:rPr>
        <w:fldChar w:fldCharType="end"/>
      </w:r>
      <w:r>
        <w:rPr>
          <w:rFonts w:hint="eastAsia"/>
          <w:highlight w:val="none"/>
        </w:rPr>
        <w:fldChar w:fldCharType="end"/>
      </w:r>
    </w:p>
    <w:p w14:paraId="0003FCE6">
      <w:pPr>
        <w:pStyle w:val="17"/>
        <w:bidi w:val="0"/>
        <w:rPr>
          <w:highlight w:val="none"/>
        </w:rPr>
      </w:pPr>
      <w:r>
        <w:rPr>
          <w:rFonts w:hint="eastAsia"/>
          <w:highlight w:val="none"/>
        </w:rPr>
        <w:fldChar w:fldCharType="begin"/>
      </w:r>
      <w:r>
        <w:rPr>
          <w:rFonts w:hint="eastAsia"/>
          <w:highlight w:val="none"/>
        </w:rPr>
        <w:instrText xml:space="preserve"> HYPERLINK \l _Toc15851 </w:instrText>
      </w:r>
      <w:r>
        <w:rPr>
          <w:rFonts w:hint="eastAsia"/>
          <w:highlight w:val="none"/>
        </w:rPr>
        <w:fldChar w:fldCharType="separate"/>
      </w:r>
      <w:r>
        <w:rPr>
          <w:rFonts w:hint="default"/>
          <w:highlight w:val="none"/>
        </w:rPr>
        <w:t xml:space="preserve">21. </w:t>
      </w:r>
      <w:r>
        <w:rPr>
          <w:rFonts w:hint="eastAsia"/>
          <w:highlight w:val="none"/>
        </w:rPr>
        <w:t>投标截止期</w:t>
      </w:r>
      <w:r>
        <w:rPr>
          <w:highlight w:val="none"/>
        </w:rPr>
        <w:tab/>
      </w:r>
      <w:r>
        <w:rPr>
          <w:highlight w:val="none"/>
        </w:rPr>
        <w:fldChar w:fldCharType="begin"/>
      </w:r>
      <w:r>
        <w:rPr>
          <w:highlight w:val="none"/>
        </w:rPr>
        <w:instrText xml:space="preserve"> PAGEREF _Toc15851 \h </w:instrText>
      </w:r>
      <w:r>
        <w:rPr>
          <w:highlight w:val="none"/>
        </w:rPr>
        <w:fldChar w:fldCharType="separate"/>
      </w:r>
      <w:r>
        <w:rPr>
          <w:highlight w:val="none"/>
        </w:rPr>
        <w:t>32</w:t>
      </w:r>
      <w:r>
        <w:rPr>
          <w:highlight w:val="none"/>
        </w:rPr>
        <w:fldChar w:fldCharType="end"/>
      </w:r>
      <w:r>
        <w:rPr>
          <w:rFonts w:hint="eastAsia"/>
          <w:highlight w:val="none"/>
        </w:rPr>
        <w:fldChar w:fldCharType="end"/>
      </w:r>
    </w:p>
    <w:p w14:paraId="209BC7C3">
      <w:pPr>
        <w:pStyle w:val="17"/>
        <w:bidi w:val="0"/>
        <w:rPr>
          <w:highlight w:val="none"/>
        </w:rPr>
      </w:pPr>
      <w:r>
        <w:rPr>
          <w:rFonts w:hint="eastAsia"/>
          <w:highlight w:val="none"/>
        </w:rPr>
        <w:fldChar w:fldCharType="begin"/>
      </w:r>
      <w:r>
        <w:rPr>
          <w:rFonts w:hint="eastAsia"/>
          <w:highlight w:val="none"/>
        </w:rPr>
        <w:instrText xml:space="preserve"> HYPERLINK \l _Toc442 </w:instrText>
      </w:r>
      <w:r>
        <w:rPr>
          <w:rFonts w:hint="eastAsia"/>
          <w:highlight w:val="none"/>
        </w:rPr>
        <w:fldChar w:fldCharType="separate"/>
      </w:r>
      <w:r>
        <w:rPr>
          <w:rFonts w:hint="default"/>
          <w:highlight w:val="none"/>
        </w:rPr>
        <w:t xml:space="preserve">22. </w:t>
      </w:r>
      <w:r>
        <w:rPr>
          <w:rFonts w:hint="eastAsia"/>
          <w:highlight w:val="none"/>
        </w:rPr>
        <w:t>投标文件的补充、修改与撤回</w:t>
      </w:r>
      <w:r>
        <w:rPr>
          <w:highlight w:val="none"/>
        </w:rPr>
        <w:tab/>
      </w:r>
      <w:r>
        <w:rPr>
          <w:highlight w:val="none"/>
        </w:rPr>
        <w:fldChar w:fldCharType="begin"/>
      </w:r>
      <w:r>
        <w:rPr>
          <w:highlight w:val="none"/>
        </w:rPr>
        <w:instrText xml:space="preserve"> PAGEREF _Toc442 \h </w:instrText>
      </w:r>
      <w:r>
        <w:rPr>
          <w:highlight w:val="none"/>
        </w:rPr>
        <w:fldChar w:fldCharType="separate"/>
      </w:r>
      <w:r>
        <w:rPr>
          <w:highlight w:val="none"/>
        </w:rPr>
        <w:t>32</w:t>
      </w:r>
      <w:r>
        <w:rPr>
          <w:highlight w:val="none"/>
        </w:rPr>
        <w:fldChar w:fldCharType="end"/>
      </w:r>
      <w:r>
        <w:rPr>
          <w:rFonts w:hint="eastAsia"/>
          <w:highlight w:val="none"/>
        </w:rPr>
        <w:fldChar w:fldCharType="end"/>
      </w:r>
    </w:p>
    <w:p w14:paraId="75557431">
      <w:pPr>
        <w:pStyle w:val="17"/>
        <w:bidi w:val="0"/>
        <w:rPr>
          <w:highlight w:val="none"/>
        </w:rPr>
      </w:pPr>
      <w:r>
        <w:rPr>
          <w:rFonts w:hint="eastAsia"/>
          <w:highlight w:val="none"/>
        </w:rPr>
        <w:fldChar w:fldCharType="begin"/>
      </w:r>
      <w:r>
        <w:rPr>
          <w:rFonts w:hint="eastAsia"/>
          <w:highlight w:val="none"/>
        </w:rPr>
        <w:instrText xml:space="preserve"> HYPERLINK \l _Toc14877 </w:instrText>
      </w:r>
      <w:r>
        <w:rPr>
          <w:rFonts w:hint="eastAsia"/>
          <w:highlight w:val="none"/>
        </w:rPr>
        <w:fldChar w:fldCharType="separate"/>
      </w:r>
      <w:r>
        <w:rPr>
          <w:rFonts w:hint="default"/>
          <w:highlight w:val="none"/>
        </w:rPr>
        <w:t xml:space="preserve">五、 </w:t>
      </w:r>
      <w:r>
        <w:rPr>
          <w:rFonts w:hint="eastAsia"/>
          <w:highlight w:val="none"/>
        </w:rPr>
        <w:t>开标与评标</w:t>
      </w:r>
      <w:r>
        <w:rPr>
          <w:highlight w:val="none"/>
        </w:rPr>
        <w:tab/>
      </w:r>
      <w:r>
        <w:rPr>
          <w:highlight w:val="none"/>
        </w:rPr>
        <w:fldChar w:fldCharType="begin"/>
      </w:r>
      <w:r>
        <w:rPr>
          <w:highlight w:val="none"/>
        </w:rPr>
        <w:instrText xml:space="preserve"> PAGEREF _Toc14877 \h </w:instrText>
      </w:r>
      <w:r>
        <w:rPr>
          <w:highlight w:val="none"/>
        </w:rPr>
        <w:fldChar w:fldCharType="separate"/>
      </w:r>
      <w:r>
        <w:rPr>
          <w:highlight w:val="none"/>
        </w:rPr>
        <w:t>33</w:t>
      </w:r>
      <w:r>
        <w:rPr>
          <w:highlight w:val="none"/>
        </w:rPr>
        <w:fldChar w:fldCharType="end"/>
      </w:r>
      <w:r>
        <w:rPr>
          <w:rFonts w:hint="eastAsia"/>
          <w:highlight w:val="none"/>
        </w:rPr>
        <w:fldChar w:fldCharType="end"/>
      </w:r>
    </w:p>
    <w:p w14:paraId="61B836D6">
      <w:pPr>
        <w:pStyle w:val="17"/>
        <w:bidi w:val="0"/>
        <w:rPr>
          <w:highlight w:val="none"/>
        </w:rPr>
      </w:pPr>
      <w:r>
        <w:rPr>
          <w:rFonts w:hint="eastAsia"/>
          <w:highlight w:val="none"/>
        </w:rPr>
        <w:fldChar w:fldCharType="begin"/>
      </w:r>
      <w:r>
        <w:rPr>
          <w:rFonts w:hint="eastAsia"/>
          <w:highlight w:val="none"/>
        </w:rPr>
        <w:instrText xml:space="preserve"> HYPERLINK \l _Toc25839 </w:instrText>
      </w:r>
      <w:r>
        <w:rPr>
          <w:rFonts w:hint="eastAsia"/>
          <w:highlight w:val="none"/>
        </w:rPr>
        <w:fldChar w:fldCharType="separate"/>
      </w:r>
      <w:r>
        <w:rPr>
          <w:rFonts w:hint="default"/>
          <w:highlight w:val="none"/>
        </w:rPr>
        <w:t xml:space="preserve">23. </w:t>
      </w:r>
      <w:r>
        <w:rPr>
          <w:rFonts w:hint="eastAsia"/>
          <w:highlight w:val="none"/>
        </w:rPr>
        <w:t>开标</w:t>
      </w:r>
      <w:r>
        <w:rPr>
          <w:highlight w:val="none"/>
        </w:rPr>
        <w:tab/>
      </w:r>
      <w:r>
        <w:rPr>
          <w:highlight w:val="none"/>
        </w:rPr>
        <w:fldChar w:fldCharType="begin"/>
      </w:r>
      <w:r>
        <w:rPr>
          <w:highlight w:val="none"/>
        </w:rPr>
        <w:instrText xml:space="preserve"> PAGEREF _Toc25839 \h </w:instrText>
      </w:r>
      <w:r>
        <w:rPr>
          <w:highlight w:val="none"/>
        </w:rPr>
        <w:fldChar w:fldCharType="separate"/>
      </w:r>
      <w:r>
        <w:rPr>
          <w:highlight w:val="none"/>
        </w:rPr>
        <w:t>33</w:t>
      </w:r>
      <w:r>
        <w:rPr>
          <w:highlight w:val="none"/>
        </w:rPr>
        <w:fldChar w:fldCharType="end"/>
      </w:r>
      <w:r>
        <w:rPr>
          <w:rFonts w:hint="eastAsia"/>
          <w:highlight w:val="none"/>
        </w:rPr>
        <w:fldChar w:fldCharType="end"/>
      </w:r>
    </w:p>
    <w:p w14:paraId="1C2ACFBB">
      <w:pPr>
        <w:pStyle w:val="17"/>
        <w:bidi w:val="0"/>
        <w:rPr>
          <w:highlight w:val="none"/>
        </w:rPr>
      </w:pPr>
      <w:r>
        <w:rPr>
          <w:rFonts w:hint="eastAsia"/>
          <w:highlight w:val="none"/>
        </w:rPr>
        <w:fldChar w:fldCharType="begin"/>
      </w:r>
      <w:r>
        <w:rPr>
          <w:rFonts w:hint="eastAsia"/>
          <w:highlight w:val="none"/>
        </w:rPr>
        <w:instrText xml:space="preserve"> HYPERLINK \l _Toc2612 </w:instrText>
      </w:r>
      <w:r>
        <w:rPr>
          <w:rFonts w:hint="eastAsia"/>
          <w:highlight w:val="none"/>
        </w:rPr>
        <w:fldChar w:fldCharType="separate"/>
      </w:r>
      <w:r>
        <w:rPr>
          <w:rFonts w:hint="default"/>
          <w:highlight w:val="none"/>
        </w:rPr>
        <w:t xml:space="preserve">24. </w:t>
      </w:r>
      <w:r>
        <w:rPr>
          <w:rFonts w:hint="eastAsia"/>
          <w:highlight w:val="none"/>
        </w:rPr>
        <w:t>评标委员会及评标方法</w:t>
      </w:r>
      <w:r>
        <w:rPr>
          <w:highlight w:val="none"/>
        </w:rPr>
        <w:tab/>
      </w:r>
      <w:r>
        <w:rPr>
          <w:highlight w:val="none"/>
        </w:rPr>
        <w:fldChar w:fldCharType="begin"/>
      </w:r>
      <w:r>
        <w:rPr>
          <w:highlight w:val="none"/>
        </w:rPr>
        <w:instrText xml:space="preserve"> PAGEREF _Toc2612 \h </w:instrText>
      </w:r>
      <w:r>
        <w:rPr>
          <w:highlight w:val="none"/>
        </w:rPr>
        <w:fldChar w:fldCharType="separate"/>
      </w:r>
      <w:r>
        <w:rPr>
          <w:highlight w:val="none"/>
        </w:rPr>
        <w:t>33</w:t>
      </w:r>
      <w:r>
        <w:rPr>
          <w:highlight w:val="none"/>
        </w:rPr>
        <w:fldChar w:fldCharType="end"/>
      </w:r>
      <w:r>
        <w:rPr>
          <w:rFonts w:hint="eastAsia"/>
          <w:highlight w:val="none"/>
        </w:rPr>
        <w:fldChar w:fldCharType="end"/>
      </w:r>
    </w:p>
    <w:p w14:paraId="52FCBF5D">
      <w:pPr>
        <w:pStyle w:val="17"/>
        <w:bidi w:val="0"/>
        <w:rPr>
          <w:highlight w:val="none"/>
        </w:rPr>
      </w:pPr>
      <w:r>
        <w:rPr>
          <w:rFonts w:hint="eastAsia"/>
          <w:highlight w:val="none"/>
        </w:rPr>
        <w:fldChar w:fldCharType="begin"/>
      </w:r>
      <w:r>
        <w:rPr>
          <w:rFonts w:hint="eastAsia"/>
          <w:highlight w:val="none"/>
        </w:rPr>
        <w:instrText xml:space="preserve"> HYPERLINK \l _Toc1064 </w:instrText>
      </w:r>
      <w:r>
        <w:rPr>
          <w:rFonts w:hint="eastAsia"/>
          <w:highlight w:val="none"/>
        </w:rPr>
        <w:fldChar w:fldCharType="separate"/>
      </w:r>
      <w:r>
        <w:rPr>
          <w:rFonts w:hint="default"/>
          <w:highlight w:val="none"/>
        </w:rPr>
        <w:t xml:space="preserve">25. </w:t>
      </w:r>
      <w:r>
        <w:rPr>
          <w:rFonts w:hint="eastAsia"/>
          <w:highlight w:val="none"/>
        </w:rPr>
        <w:t>评审原则及评标过程的保密</w:t>
      </w:r>
      <w:r>
        <w:rPr>
          <w:highlight w:val="none"/>
        </w:rPr>
        <w:tab/>
      </w:r>
      <w:r>
        <w:rPr>
          <w:highlight w:val="none"/>
        </w:rPr>
        <w:fldChar w:fldCharType="begin"/>
      </w:r>
      <w:r>
        <w:rPr>
          <w:highlight w:val="none"/>
        </w:rPr>
        <w:instrText xml:space="preserve"> PAGEREF _Toc1064 \h </w:instrText>
      </w:r>
      <w:r>
        <w:rPr>
          <w:highlight w:val="none"/>
        </w:rPr>
        <w:fldChar w:fldCharType="separate"/>
      </w:r>
      <w:r>
        <w:rPr>
          <w:highlight w:val="none"/>
        </w:rPr>
        <w:t>34</w:t>
      </w:r>
      <w:r>
        <w:rPr>
          <w:highlight w:val="none"/>
        </w:rPr>
        <w:fldChar w:fldCharType="end"/>
      </w:r>
      <w:r>
        <w:rPr>
          <w:rFonts w:hint="eastAsia"/>
          <w:highlight w:val="none"/>
        </w:rPr>
        <w:fldChar w:fldCharType="end"/>
      </w:r>
    </w:p>
    <w:p w14:paraId="70FE8577">
      <w:pPr>
        <w:pStyle w:val="17"/>
        <w:bidi w:val="0"/>
        <w:rPr>
          <w:highlight w:val="none"/>
        </w:rPr>
      </w:pPr>
      <w:r>
        <w:rPr>
          <w:rFonts w:hint="eastAsia"/>
          <w:highlight w:val="none"/>
        </w:rPr>
        <w:fldChar w:fldCharType="begin"/>
      </w:r>
      <w:r>
        <w:rPr>
          <w:rFonts w:hint="eastAsia"/>
          <w:highlight w:val="none"/>
        </w:rPr>
        <w:instrText xml:space="preserve"> HYPERLINK \l _Toc2101 </w:instrText>
      </w:r>
      <w:r>
        <w:rPr>
          <w:rFonts w:hint="eastAsia"/>
          <w:highlight w:val="none"/>
        </w:rPr>
        <w:fldChar w:fldCharType="separate"/>
      </w:r>
      <w:r>
        <w:rPr>
          <w:rFonts w:hint="default"/>
          <w:highlight w:val="none"/>
        </w:rPr>
        <w:t xml:space="preserve">26. </w:t>
      </w:r>
      <w:r>
        <w:rPr>
          <w:rFonts w:hint="eastAsia"/>
          <w:highlight w:val="none"/>
        </w:rPr>
        <w:t>评标程序</w:t>
      </w:r>
      <w:r>
        <w:rPr>
          <w:highlight w:val="none"/>
        </w:rPr>
        <w:tab/>
      </w:r>
      <w:r>
        <w:rPr>
          <w:highlight w:val="none"/>
        </w:rPr>
        <w:fldChar w:fldCharType="begin"/>
      </w:r>
      <w:r>
        <w:rPr>
          <w:highlight w:val="none"/>
        </w:rPr>
        <w:instrText xml:space="preserve"> PAGEREF _Toc2101 \h </w:instrText>
      </w:r>
      <w:r>
        <w:rPr>
          <w:highlight w:val="none"/>
        </w:rPr>
        <w:fldChar w:fldCharType="separate"/>
      </w:r>
      <w:r>
        <w:rPr>
          <w:highlight w:val="none"/>
        </w:rPr>
        <w:t>34</w:t>
      </w:r>
      <w:r>
        <w:rPr>
          <w:highlight w:val="none"/>
        </w:rPr>
        <w:fldChar w:fldCharType="end"/>
      </w:r>
      <w:r>
        <w:rPr>
          <w:rFonts w:hint="eastAsia"/>
          <w:highlight w:val="none"/>
        </w:rPr>
        <w:fldChar w:fldCharType="end"/>
      </w:r>
    </w:p>
    <w:p w14:paraId="6CFE429B">
      <w:pPr>
        <w:pStyle w:val="17"/>
        <w:bidi w:val="0"/>
        <w:rPr>
          <w:highlight w:val="none"/>
        </w:rPr>
      </w:pPr>
      <w:r>
        <w:rPr>
          <w:rFonts w:hint="eastAsia"/>
          <w:highlight w:val="none"/>
        </w:rPr>
        <w:fldChar w:fldCharType="begin"/>
      </w:r>
      <w:r>
        <w:rPr>
          <w:rFonts w:hint="eastAsia"/>
          <w:highlight w:val="none"/>
        </w:rPr>
        <w:instrText xml:space="preserve"> HYPERLINK \l _Toc22721 </w:instrText>
      </w:r>
      <w:r>
        <w:rPr>
          <w:rFonts w:hint="eastAsia"/>
          <w:highlight w:val="none"/>
        </w:rPr>
        <w:fldChar w:fldCharType="separate"/>
      </w:r>
      <w:r>
        <w:rPr>
          <w:rFonts w:hint="default"/>
          <w:highlight w:val="none"/>
        </w:rPr>
        <w:t xml:space="preserve">27. </w:t>
      </w:r>
      <w:r>
        <w:rPr>
          <w:rFonts w:hint="eastAsia"/>
          <w:highlight w:val="none"/>
        </w:rPr>
        <w:t>商务、技术评审（具体评审项目详见投标资料表）</w:t>
      </w:r>
      <w:r>
        <w:rPr>
          <w:highlight w:val="none"/>
        </w:rPr>
        <w:tab/>
      </w:r>
      <w:r>
        <w:rPr>
          <w:highlight w:val="none"/>
        </w:rPr>
        <w:fldChar w:fldCharType="begin"/>
      </w:r>
      <w:r>
        <w:rPr>
          <w:highlight w:val="none"/>
        </w:rPr>
        <w:instrText xml:space="preserve"> PAGEREF _Toc22721 \h </w:instrText>
      </w:r>
      <w:r>
        <w:rPr>
          <w:highlight w:val="none"/>
        </w:rPr>
        <w:fldChar w:fldCharType="separate"/>
      </w:r>
      <w:r>
        <w:rPr>
          <w:highlight w:val="none"/>
        </w:rPr>
        <w:t>36</w:t>
      </w:r>
      <w:r>
        <w:rPr>
          <w:highlight w:val="none"/>
        </w:rPr>
        <w:fldChar w:fldCharType="end"/>
      </w:r>
      <w:r>
        <w:rPr>
          <w:rFonts w:hint="eastAsia"/>
          <w:highlight w:val="none"/>
        </w:rPr>
        <w:fldChar w:fldCharType="end"/>
      </w:r>
    </w:p>
    <w:p w14:paraId="0AC696DD">
      <w:pPr>
        <w:pStyle w:val="17"/>
        <w:bidi w:val="0"/>
        <w:rPr>
          <w:highlight w:val="none"/>
        </w:rPr>
      </w:pPr>
      <w:r>
        <w:rPr>
          <w:rFonts w:hint="eastAsia"/>
          <w:highlight w:val="none"/>
        </w:rPr>
        <w:fldChar w:fldCharType="begin"/>
      </w:r>
      <w:r>
        <w:rPr>
          <w:rFonts w:hint="eastAsia"/>
          <w:highlight w:val="none"/>
        </w:rPr>
        <w:instrText xml:space="preserve"> HYPERLINK \l _Toc31158 </w:instrText>
      </w:r>
      <w:r>
        <w:rPr>
          <w:rFonts w:hint="eastAsia"/>
          <w:highlight w:val="none"/>
        </w:rPr>
        <w:fldChar w:fldCharType="separate"/>
      </w:r>
      <w:r>
        <w:rPr>
          <w:rFonts w:hint="default"/>
          <w:highlight w:val="none"/>
        </w:rPr>
        <w:t xml:space="preserve">28. </w:t>
      </w:r>
      <w:r>
        <w:rPr>
          <w:rFonts w:hint="eastAsia"/>
          <w:highlight w:val="none"/>
        </w:rPr>
        <w:t>纪律和保密事项</w:t>
      </w:r>
      <w:r>
        <w:rPr>
          <w:highlight w:val="none"/>
        </w:rPr>
        <w:tab/>
      </w:r>
      <w:r>
        <w:rPr>
          <w:highlight w:val="none"/>
        </w:rPr>
        <w:fldChar w:fldCharType="begin"/>
      </w:r>
      <w:r>
        <w:rPr>
          <w:highlight w:val="none"/>
        </w:rPr>
        <w:instrText xml:space="preserve"> PAGEREF _Toc31158 \h </w:instrText>
      </w:r>
      <w:r>
        <w:rPr>
          <w:highlight w:val="none"/>
        </w:rPr>
        <w:fldChar w:fldCharType="separate"/>
      </w:r>
      <w:r>
        <w:rPr>
          <w:highlight w:val="none"/>
        </w:rPr>
        <w:t>36</w:t>
      </w:r>
      <w:r>
        <w:rPr>
          <w:highlight w:val="none"/>
        </w:rPr>
        <w:fldChar w:fldCharType="end"/>
      </w:r>
      <w:r>
        <w:rPr>
          <w:rFonts w:hint="eastAsia"/>
          <w:highlight w:val="none"/>
        </w:rPr>
        <w:fldChar w:fldCharType="end"/>
      </w:r>
    </w:p>
    <w:p w14:paraId="78535652">
      <w:pPr>
        <w:pStyle w:val="17"/>
        <w:bidi w:val="0"/>
        <w:rPr>
          <w:highlight w:val="none"/>
        </w:rPr>
      </w:pPr>
      <w:r>
        <w:rPr>
          <w:rFonts w:hint="eastAsia"/>
          <w:highlight w:val="none"/>
        </w:rPr>
        <w:fldChar w:fldCharType="begin"/>
      </w:r>
      <w:r>
        <w:rPr>
          <w:rFonts w:hint="eastAsia"/>
          <w:highlight w:val="none"/>
        </w:rPr>
        <w:instrText xml:space="preserve"> HYPERLINK \l _Toc9469 </w:instrText>
      </w:r>
      <w:r>
        <w:rPr>
          <w:rFonts w:hint="eastAsia"/>
          <w:highlight w:val="none"/>
        </w:rPr>
        <w:fldChar w:fldCharType="separate"/>
      </w:r>
      <w:r>
        <w:rPr>
          <w:rFonts w:hint="default"/>
          <w:highlight w:val="none"/>
        </w:rPr>
        <w:t xml:space="preserve">六、 </w:t>
      </w:r>
      <w:r>
        <w:rPr>
          <w:rFonts w:hint="eastAsia"/>
          <w:highlight w:val="none"/>
        </w:rPr>
        <w:t>授予合同</w:t>
      </w:r>
      <w:r>
        <w:rPr>
          <w:highlight w:val="none"/>
        </w:rPr>
        <w:tab/>
      </w:r>
      <w:r>
        <w:rPr>
          <w:highlight w:val="none"/>
        </w:rPr>
        <w:fldChar w:fldCharType="begin"/>
      </w:r>
      <w:r>
        <w:rPr>
          <w:highlight w:val="none"/>
        </w:rPr>
        <w:instrText xml:space="preserve"> PAGEREF _Toc9469 \h </w:instrText>
      </w:r>
      <w:r>
        <w:rPr>
          <w:highlight w:val="none"/>
        </w:rPr>
        <w:fldChar w:fldCharType="separate"/>
      </w:r>
      <w:r>
        <w:rPr>
          <w:highlight w:val="none"/>
        </w:rPr>
        <w:t>37</w:t>
      </w:r>
      <w:r>
        <w:rPr>
          <w:highlight w:val="none"/>
        </w:rPr>
        <w:fldChar w:fldCharType="end"/>
      </w:r>
      <w:r>
        <w:rPr>
          <w:rFonts w:hint="eastAsia"/>
          <w:highlight w:val="none"/>
        </w:rPr>
        <w:fldChar w:fldCharType="end"/>
      </w:r>
    </w:p>
    <w:p w14:paraId="15F2FACA">
      <w:pPr>
        <w:pStyle w:val="17"/>
        <w:bidi w:val="0"/>
        <w:rPr>
          <w:highlight w:val="none"/>
        </w:rPr>
      </w:pPr>
      <w:r>
        <w:rPr>
          <w:rFonts w:hint="eastAsia"/>
          <w:highlight w:val="none"/>
        </w:rPr>
        <w:fldChar w:fldCharType="begin"/>
      </w:r>
      <w:r>
        <w:rPr>
          <w:rFonts w:hint="eastAsia"/>
          <w:highlight w:val="none"/>
        </w:rPr>
        <w:instrText xml:space="preserve"> HYPERLINK \l _Toc26342 </w:instrText>
      </w:r>
      <w:r>
        <w:rPr>
          <w:rFonts w:hint="eastAsia"/>
          <w:highlight w:val="none"/>
        </w:rPr>
        <w:fldChar w:fldCharType="separate"/>
      </w:r>
      <w:r>
        <w:rPr>
          <w:rFonts w:hint="default"/>
          <w:highlight w:val="none"/>
        </w:rPr>
        <w:t xml:space="preserve">29. </w:t>
      </w:r>
      <w:r>
        <w:rPr>
          <w:rFonts w:hint="eastAsia"/>
          <w:highlight w:val="none"/>
        </w:rPr>
        <w:t>合同授予标准</w:t>
      </w:r>
      <w:r>
        <w:rPr>
          <w:highlight w:val="none"/>
        </w:rPr>
        <w:tab/>
      </w:r>
      <w:r>
        <w:rPr>
          <w:highlight w:val="none"/>
        </w:rPr>
        <w:fldChar w:fldCharType="begin"/>
      </w:r>
      <w:r>
        <w:rPr>
          <w:highlight w:val="none"/>
        </w:rPr>
        <w:instrText xml:space="preserve"> PAGEREF _Toc26342 \h </w:instrText>
      </w:r>
      <w:r>
        <w:rPr>
          <w:highlight w:val="none"/>
        </w:rPr>
        <w:fldChar w:fldCharType="separate"/>
      </w:r>
      <w:r>
        <w:rPr>
          <w:highlight w:val="none"/>
        </w:rPr>
        <w:t>37</w:t>
      </w:r>
      <w:r>
        <w:rPr>
          <w:highlight w:val="none"/>
        </w:rPr>
        <w:fldChar w:fldCharType="end"/>
      </w:r>
      <w:r>
        <w:rPr>
          <w:rFonts w:hint="eastAsia"/>
          <w:highlight w:val="none"/>
        </w:rPr>
        <w:fldChar w:fldCharType="end"/>
      </w:r>
    </w:p>
    <w:p w14:paraId="750B801F">
      <w:pPr>
        <w:pStyle w:val="17"/>
        <w:bidi w:val="0"/>
        <w:rPr>
          <w:highlight w:val="none"/>
        </w:rPr>
      </w:pPr>
      <w:r>
        <w:rPr>
          <w:rFonts w:hint="eastAsia"/>
          <w:highlight w:val="none"/>
        </w:rPr>
        <w:fldChar w:fldCharType="begin"/>
      </w:r>
      <w:r>
        <w:rPr>
          <w:rFonts w:hint="eastAsia"/>
          <w:highlight w:val="none"/>
        </w:rPr>
        <w:instrText xml:space="preserve"> HYPERLINK \l _Toc19296 </w:instrText>
      </w:r>
      <w:r>
        <w:rPr>
          <w:rFonts w:hint="eastAsia"/>
          <w:highlight w:val="none"/>
        </w:rPr>
        <w:fldChar w:fldCharType="separate"/>
      </w:r>
      <w:r>
        <w:rPr>
          <w:rFonts w:hint="default"/>
          <w:highlight w:val="none"/>
        </w:rPr>
        <w:t xml:space="preserve">30. </w:t>
      </w:r>
      <w:r>
        <w:rPr>
          <w:rFonts w:hint="eastAsia"/>
          <w:highlight w:val="none"/>
        </w:rPr>
        <w:t>发布中标结果</w:t>
      </w:r>
      <w:r>
        <w:rPr>
          <w:highlight w:val="none"/>
        </w:rPr>
        <w:tab/>
      </w:r>
      <w:r>
        <w:rPr>
          <w:highlight w:val="none"/>
        </w:rPr>
        <w:fldChar w:fldCharType="begin"/>
      </w:r>
      <w:r>
        <w:rPr>
          <w:highlight w:val="none"/>
        </w:rPr>
        <w:instrText xml:space="preserve"> PAGEREF _Toc19296 \h </w:instrText>
      </w:r>
      <w:r>
        <w:rPr>
          <w:highlight w:val="none"/>
        </w:rPr>
        <w:fldChar w:fldCharType="separate"/>
      </w:r>
      <w:r>
        <w:rPr>
          <w:highlight w:val="none"/>
        </w:rPr>
        <w:t>37</w:t>
      </w:r>
      <w:r>
        <w:rPr>
          <w:highlight w:val="none"/>
        </w:rPr>
        <w:fldChar w:fldCharType="end"/>
      </w:r>
      <w:r>
        <w:rPr>
          <w:rFonts w:hint="eastAsia"/>
          <w:highlight w:val="none"/>
        </w:rPr>
        <w:fldChar w:fldCharType="end"/>
      </w:r>
    </w:p>
    <w:p w14:paraId="47AFFF38">
      <w:pPr>
        <w:pStyle w:val="17"/>
        <w:bidi w:val="0"/>
        <w:rPr>
          <w:highlight w:val="none"/>
        </w:rPr>
      </w:pPr>
      <w:r>
        <w:rPr>
          <w:rFonts w:hint="eastAsia"/>
          <w:highlight w:val="none"/>
        </w:rPr>
        <w:fldChar w:fldCharType="begin"/>
      </w:r>
      <w:r>
        <w:rPr>
          <w:rFonts w:hint="eastAsia"/>
          <w:highlight w:val="none"/>
        </w:rPr>
        <w:instrText xml:space="preserve"> HYPERLINK \l _Toc32518 </w:instrText>
      </w:r>
      <w:r>
        <w:rPr>
          <w:rFonts w:hint="eastAsia"/>
          <w:highlight w:val="none"/>
        </w:rPr>
        <w:fldChar w:fldCharType="separate"/>
      </w:r>
      <w:r>
        <w:rPr>
          <w:rFonts w:hint="default"/>
          <w:highlight w:val="none"/>
        </w:rPr>
        <w:t xml:space="preserve">31. </w:t>
      </w:r>
      <w:r>
        <w:rPr>
          <w:rFonts w:hint="eastAsia"/>
          <w:highlight w:val="none"/>
        </w:rPr>
        <w:t>资格后审</w:t>
      </w:r>
      <w:r>
        <w:rPr>
          <w:highlight w:val="none"/>
        </w:rPr>
        <w:tab/>
      </w:r>
      <w:r>
        <w:rPr>
          <w:highlight w:val="none"/>
        </w:rPr>
        <w:fldChar w:fldCharType="begin"/>
      </w:r>
      <w:r>
        <w:rPr>
          <w:highlight w:val="none"/>
        </w:rPr>
        <w:instrText xml:space="preserve"> PAGEREF _Toc32518 \h </w:instrText>
      </w:r>
      <w:r>
        <w:rPr>
          <w:highlight w:val="none"/>
        </w:rPr>
        <w:fldChar w:fldCharType="separate"/>
      </w:r>
      <w:r>
        <w:rPr>
          <w:highlight w:val="none"/>
        </w:rPr>
        <w:t>37</w:t>
      </w:r>
      <w:r>
        <w:rPr>
          <w:highlight w:val="none"/>
        </w:rPr>
        <w:fldChar w:fldCharType="end"/>
      </w:r>
      <w:r>
        <w:rPr>
          <w:rFonts w:hint="eastAsia"/>
          <w:highlight w:val="none"/>
        </w:rPr>
        <w:fldChar w:fldCharType="end"/>
      </w:r>
    </w:p>
    <w:p w14:paraId="1932AF67">
      <w:pPr>
        <w:pStyle w:val="17"/>
        <w:bidi w:val="0"/>
        <w:rPr>
          <w:highlight w:val="none"/>
        </w:rPr>
      </w:pPr>
      <w:r>
        <w:rPr>
          <w:rFonts w:hint="eastAsia"/>
          <w:highlight w:val="none"/>
        </w:rPr>
        <w:fldChar w:fldCharType="begin"/>
      </w:r>
      <w:r>
        <w:rPr>
          <w:rFonts w:hint="eastAsia"/>
          <w:highlight w:val="none"/>
        </w:rPr>
        <w:instrText xml:space="preserve"> HYPERLINK \l _Toc25033 </w:instrText>
      </w:r>
      <w:r>
        <w:rPr>
          <w:rFonts w:hint="eastAsia"/>
          <w:highlight w:val="none"/>
        </w:rPr>
        <w:fldChar w:fldCharType="separate"/>
      </w:r>
      <w:r>
        <w:rPr>
          <w:rFonts w:hint="default"/>
          <w:highlight w:val="none"/>
        </w:rPr>
        <w:t xml:space="preserve">32. </w:t>
      </w:r>
      <w:r>
        <w:rPr>
          <w:rFonts w:hint="eastAsia"/>
          <w:highlight w:val="none"/>
        </w:rPr>
        <w:t>合同的签订与履行</w:t>
      </w:r>
      <w:r>
        <w:rPr>
          <w:highlight w:val="none"/>
        </w:rPr>
        <w:tab/>
      </w:r>
      <w:r>
        <w:rPr>
          <w:highlight w:val="none"/>
        </w:rPr>
        <w:fldChar w:fldCharType="begin"/>
      </w:r>
      <w:r>
        <w:rPr>
          <w:highlight w:val="none"/>
        </w:rPr>
        <w:instrText xml:space="preserve"> PAGEREF _Toc25033 \h </w:instrText>
      </w:r>
      <w:r>
        <w:rPr>
          <w:highlight w:val="none"/>
        </w:rPr>
        <w:fldChar w:fldCharType="separate"/>
      </w:r>
      <w:r>
        <w:rPr>
          <w:highlight w:val="none"/>
        </w:rPr>
        <w:t>38</w:t>
      </w:r>
      <w:r>
        <w:rPr>
          <w:highlight w:val="none"/>
        </w:rPr>
        <w:fldChar w:fldCharType="end"/>
      </w:r>
      <w:r>
        <w:rPr>
          <w:rFonts w:hint="eastAsia"/>
          <w:highlight w:val="none"/>
        </w:rPr>
        <w:fldChar w:fldCharType="end"/>
      </w:r>
    </w:p>
    <w:p w14:paraId="4953F778">
      <w:pPr>
        <w:pStyle w:val="17"/>
        <w:bidi w:val="0"/>
        <w:rPr>
          <w:highlight w:val="none"/>
        </w:rPr>
      </w:pPr>
      <w:r>
        <w:rPr>
          <w:rFonts w:hint="eastAsia"/>
          <w:highlight w:val="none"/>
        </w:rPr>
        <w:fldChar w:fldCharType="begin"/>
      </w:r>
      <w:r>
        <w:rPr>
          <w:rFonts w:hint="eastAsia"/>
          <w:highlight w:val="none"/>
        </w:rPr>
        <w:instrText xml:space="preserve"> HYPERLINK \l _Toc7566 </w:instrText>
      </w:r>
      <w:r>
        <w:rPr>
          <w:rFonts w:hint="eastAsia"/>
          <w:highlight w:val="none"/>
        </w:rPr>
        <w:fldChar w:fldCharType="separate"/>
      </w:r>
      <w:r>
        <w:rPr>
          <w:rFonts w:hint="default"/>
          <w:highlight w:val="none"/>
        </w:rPr>
        <w:t xml:space="preserve">七、 </w:t>
      </w:r>
      <w:r>
        <w:rPr>
          <w:rFonts w:hint="eastAsia"/>
          <w:highlight w:val="none"/>
        </w:rPr>
        <w:t>异议</w:t>
      </w:r>
      <w:r>
        <w:rPr>
          <w:highlight w:val="none"/>
        </w:rPr>
        <w:tab/>
      </w:r>
      <w:r>
        <w:rPr>
          <w:highlight w:val="none"/>
        </w:rPr>
        <w:fldChar w:fldCharType="begin"/>
      </w:r>
      <w:r>
        <w:rPr>
          <w:highlight w:val="none"/>
        </w:rPr>
        <w:instrText xml:space="preserve"> PAGEREF _Toc7566 \h </w:instrText>
      </w:r>
      <w:r>
        <w:rPr>
          <w:highlight w:val="none"/>
        </w:rPr>
        <w:fldChar w:fldCharType="separate"/>
      </w:r>
      <w:r>
        <w:rPr>
          <w:highlight w:val="none"/>
        </w:rPr>
        <w:t>38</w:t>
      </w:r>
      <w:r>
        <w:rPr>
          <w:highlight w:val="none"/>
        </w:rPr>
        <w:fldChar w:fldCharType="end"/>
      </w:r>
      <w:r>
        <w:rPr>
          <w:rFonts w:hint="eastAsia"/>
          <w:highlight w:val="none"/>
        </w:rPr>
        <w:fldChar w:fldCharType="end"/>
      </w:r>
    </w:p>
    <w:p w14:paraId="469DF0ED">
      <w:pPr>
        <w:pStyle w:val="17"/>
        <w:bidi w:val="0"/>
        <w:rPr>
          <w:highlight w:val="none"/>
        </w:rPr>
      </w:pPr>
      <w:r>
        <w:rPr>
          <w:rFonts w:hint="eastAsia"/>
          <w:highlight w:val="none"/>
        </w:rPr>
        <w:fldChar w:fldCharType="begin"/>
      </w:r>
      <w:r>
        <w:rPr>
          <w:rFonts w:hint="eastAsia"/>
          <w:highlight w:val="none"/>
        </w:rPr>
        <w:instrText xml:space="preserve"> HYPERLINK \l _Toc26242 </w:instrText>
      </w:r>
      <w:r>
        <w:rPr>
          <w:rFonts w:hint="eastAsia"/>
          <w:highlight w:val="none"/>
        </w:rPr>
        <w:fldChar w:fldCharType="separate"/>
      </w:r>
      <w:r>
        <w:rPr>
          <w:rFonts w:hint="default"/>
          <w:highlight w:val="none"/>
        </w:rPr>
        <w:t xml:space="preserve">33. </w:t>
      </w:r>
      <w:r>
        <w:rPr>
          <w:rFonts w:hint="eastAsia"/>
          <w:highlight w:val="none"/>
        </w:rPr>
        <w:t>异议</w:t>
      </w:r>
      <w:r>
        <w:rPr>
          <w:highlight w:val="none"/>
        </w:rPr>
        <w:tab/>
      </w:r>
      <w:r>
        <w:rPr>
          <w:highlight w:val="none"/>
        </w:rPr>
        <w:fldChar w:fldCharType="begin"/>
      </w:r>
      <w:r>
        <w:rPr>
          <w:highlight w:val="none"/>
        </w:rPr>
        <w:instrText xml:space="preserve"> PAGEREF _Toc26242 \h </w:instrText>
      </w:r>
      <w:r>
        <w:rPr>
          <w:highlight w:val="none"/>
        </w:rPr>
        <w:fldChar w:fldCharType="separate"/>
      </w:r>
      <w:r>
        <w:rPr>
          <w:highlight w:val="none"/>
        </w:rPr>
        <w:t>38</w:t>
      </w:r>
      <w:r>
        <w:rPr>
          <w:highlight w:val="none"/>
        </w:rPr>
        <w:fldChar w:fldCharType="end"/>
      </w:r>
      <w:r>
        <w:rPr>
          <w:rFonts w:hint="eastAsia"/>
          <w:highlight w:val="none"/>
        </w:rPr>
        <w:fldChar w:fldCharType="end"/>
      </w:r>
    </w:p>
    <w:p w14:paraId="65DC3BB7">
      <w:pPr>
        <w:pStyle w:val="17"/>
        <w:bidi w:val="0"/>
        <w:rPr>
          <w:highlight w:val="none"/>
        </w:rPr>
      </w:pPr>
      <w:r>
        <w:rPr>
          <w:rFonts w:hint="eastAsia"/>
          <w:highlight w:val="none"/>
        </w:rPr>
        <w:fldChar w:fldCharType="begin"/>
      </w:r>
      <w:r>
        <w:rPr>
          <w:rFonts w:hint="eastAsia"/>
          <w:highlight w:val="none"/>
        </w:rPr>
        <w:instrText xml:space="preserve"> HYPERLINK \l _Toc23951 </w:instrText>
      </w:r>
      <w:r>
        <w:rPr>
          <w:rFonts w:hint="eastAsia"/>
          <w:highlight w:val="none"/>
        </w:rPr>
        <w:fldChar w:fldCharType="separate"/>
      </w:r>
      <w:r>
        <w:rPr>
          <w:rFonts w:hint="default"/>
          <w:highlight w:val="none"/>
        </w:rPr>
        <w:t xml:space="preserve">八、 </w:t>
      </w:r>
      <w:r>
        <w:rPr>
          <w:rFonts w:hint="eastAsia"/>
          <w:highlight w:val="none"/>
        </w:rPr>
        <w:t>其他</w:t>
      </w:r>
      <w:r>
        <w:rPr>
          <w:highlight w:val="none"/>
        </w:rPr>
        <w:tab/>
      </w:r>
      <w:r>
        <w:rPr>
          <w:highlight w:val="none"/>
        </w:rPr>
        <w:fldChar w:fldCharType="begin"/>
      </w:r>
      <w:r>
        <w:rPr>
          <w:highlight w:val="none"/>
        </w:rPr>
        <w:instrText xml:space="preserve"> PAGEREF _Toc23951 \h </w:instrText>
      </w:r>
      <w:r>
        <w:rPr>
          <w:highlight w:val="none"/>
        </w:rPr>
        <w:fldChar w:fldCharType="separate"/>
      </w:r>
      <w:r>
        <w:rPr>
          <w:highlight w:val="none"/>
        </w:rPr>
        <w:t>39</w:t>
      </w:r>
      <w:r>
        <w:rPr>
          <w:highlight w:val="none"/>
        </w:rPr>
        <w:fldChar w:fldCharType="end"/>
      </w:r>
      <w:r>
        <w:rPr>
          <w:rFonts w:hint="eastAsia"/>
          <w:highlight w:val="none"/>
        </w:rPr>
        <w:fldChar w:fldCharType="end"/>
      </w:r>
    </w:p>
    <w:p w14:paraId="4536F02C">
      <w:pPr>
        <w:pStyle w:val="17"/>
        <w:bidi w:val="0"/>
        <w:rPr>
          <w:highlight w:val="none"/>
        </w:rPr>
      </w:pPr>
      <w:r>
        <w:rPr>
          <w:rFonts w:hint="eastAsia"/>
          <w:highlight w:val="none"/>
        </w:rPr>
        <w:fldChar w:fldCharType="begin"/>
      </w:r>
      <w:r>
        <w:rPr>
          <w:rFonts w:hint="eastAsia"/>
          <w:highlight w:val="none"/>
        </w:rPr>
        <w:instrText xml:space="preserve"> HYPERLINK \l _Toc28315 </w:instrText>
      </w:r>
      <w:r>
        <w:rPr>
          <w:rFonts w:hint="eastAsia"/>
          <w:highlight w:val="none"/>
        </w:rPr>
        <w:fldChar w:fldCharType="separate"/>
      </w:r>
      <w:r>
        <w:rPr>
          <w:rFonts w:hint="default"/>
          <w:highlight w:val="none"/>
        </w:rPr>
        <w:t xml:space="preserve">34. </w:t>
      </w:r>
      <w:r>
        <w:rPr>
          <w:rFonts w:hint="eastAsia"/>
          <w:highlight w:val="none"/>
        </w:rPr>
        <w:t>采购文件的解释权</w:t>
      </w:r>
      <w:r>
        <w:rPr>
          <w:highlight w:val="none"/>
        </w:rPr>
        <w:tab/>
      </w:r>
      <w:r>
        <w:rPr>
          <w:highlight w:val="none"/>
        </w:rPr>
        <w:fldChar w:fldCharType="begin"/>
      </w:r>
      <w:r>
        <w:rPr>
          <w:highlight w:val="none"/>
        </w:rPr>
        <w:instrText xml:space="preserve"> PAGEREF _Toc28315 \h </w:instrText>
      </w:r>
      <w:r>
        <w:rPr>
          <w:highlight w:val="none"/>
        </w:rPr>
        <w:fldChar w:fldCharType="separate"/>
      </w:r>
      <w:r>
        <w:rPr>
          <w:highlight w:val="none"/>
        </w:rPr>
        <w:t>39</w:t>
      </w:r>
      <w:r>
        <w:rPr>
          <w:highlight w:val="none"/>
        </w:rPr>
        <w:fldChar w:fldCharType="end"/>
      </w:r>
      <w:r>
        <w:rPr>
          <w:rFonts w:hint="eastAsia"/>
          <w:highlight w:val="none"/>
        </w:rPr>
        <w:fldChar w:fldCharType="end"/>
      </w:r>
    </w:p>
    <w:p w14:paraId="25E4E9B3">
      <w:pPr>
        <w:pStyle w:val="17"/>
        <w:bidi w:val="0"/>
        <w:rPr>
          <w:highlight w:val="none"/>
        </w:rPr>
      </w:pPr>
      <w:r>
        <w:rPr>
          <w:rFonts w:hint="eastAsia"/>
          <w:highlight w:val="none"/>
        </w:rPr>
        <w:fldChar w:fldCharType="begin"/>
      </w:r>
      <w:r>
        <w:rPr>
          <w:rFonts w:hint="eastAsia"/>
          <w:highlight w:val="none"/>
        </w:rPr>
        <w:instrText xml:space="preserve"> HYPERLINK \l _Toc21779 </w:instrText>
      </w:r>
      <w:r>
        <w:rPr>
          <w:rFonts w:hint="eastAsia"/>
          <w:highlight w:val="none"/>
        </w:rPr>
        <w:fldChar w:fldCharType="separate"/>
      </w:r>
      <w:r>
        <w:rPr>
          <w:rFonts w:hint="eastAsia"/>
          <w:highlight w:val="none"/>
        </w:rPr>
        <w:t>第五部分  合同条款格式</w:t>
      </w:r>
      <w:r>
        <w:rPr>
          <w:highlight w:val="none"/>
        </w:rPr>
        <w:tab/>
      </w:r>
      <w:r>
        <w:rPr>
          <w:highlight w:val="none"/>
        </w:rPr>
        <w:fldChar w:fldCharType="begin"/>
      </w:r>
      <w:r>
        <w:rPr>
          <w:highlight w:val="none"/>
        </w:rPr>
        <w:instrText xml:space="preserve"> PAGEREF _Toc21779 \h </w:instrText>
      </w:r>
      <w:r>
        <w:rPr>
          <w:highlight w:val="none"/>
        </w:rPr>
        <w:fldChar w:fldCharType="separate"/>
      </w:r>
      <w:r>
        <w:rPr>
          <w:highlight w:val="none"/>
        </w:rPr>
        <w:t>40</w:t>
      </w:r>
      <w:r>
        <w:rPr>
          <w:highlight w:val="none"/>
        </w:rPr>
        <w:fldChar w:fldCharType="end"/>
      </w:r>
      <w:r>
        <w:rPr>
          <w:rFonts w:hint="eastAsia"/>
          <w:highlight w:val="none"/>
        </w:rPr>
        <w:fldChar w:fldCharType="end"/>
      </w:r>
    </w:p>
    <w:p w14:paraId="0AC0DF68">
      <w:pPr>
        <w:pStyle w:val="17"/>
        <w:bidi w:val="0"/>
        <w:rPr>
          <w:highlight w:val="none"/>
        </w:rPr>
      </w:pPr>
      <w:r>
        <w:rPr>
          <w:rFonts w:hint="eastAsia"/>
          <w:highlight w:val="none"/>
        </w:rPr>
        <w:fldChar w:fldCharType="begin"/>
      </w:r>
      <w:r>
        <w:rPr>
          <w:rFonts w:hint="eastAsia"/>
          <w:highlight w:val="none"/>
        </w:rPr>
        <w:instrText xml:space="preserve"> HYPERLINK \l _Toc8263 </w:instrText>
      </w:r>
      <w:r>
        <w:rPr>
          <w:rFonts w:hint="eastAsia"/>
          <w:highlight w:val="none"/>
        </w:rPr>
        <w:fldChar w:fldCharType="separate"/>
      </w:r>
      <w:r>
        <w:rPr>
          <w:rFonts w:hint="eastAsia"/>
          <w:highlight w:val="none"/>
        </w:rPr>
        <w:t>第六部分附件－投标文件格式</w:t>
      </w:r>
      <w:r>
        <w:rPr>
          <w:highlight w:val="none"/>
        </w:rPr>
        <w:tab/>
      </w:r>
      <w:r>
        <w:rPr>
          <w:highlight w:val="none"/>
        </w:rPr>
        <w:fldChar w:fldCharType="begin"/>
      </w:r>
      <w:r>
        <w:rPr>
          <w:highlight w:val="none"/>
        </w:rPr>
        <w:instrText xml:space="preserve"> PAGEREF _Toc8263 \h </w:instrText>
      </w:r>
      <w:r>
        <w:rPr>
          <w:highlight w:val="none"/>
        </w:rPr>
        <w:fldChar w:fldCharType="separate"/>
      </w:r>
      <w:r>
        <w:rPr>
          <w:highlight w:val="none"/>
        </w:rPr>
        <w:t>51</w:t>
      </w:r>
      <w:r>
        <w:rPr>
          <w:highlight w:val="none"/>
        </w:rPr>
        <w:fldChar w:fldCharType="end"/>
      </w:r>
      <w:r>
        <w:rPr>
          <w:rFonts w:hint="eastAsia"/>
          <w:highlight w:val="none"/>
        </w:rPr>
        <w:fldChar w:fldCharType="end"/>
      </w:r>
    </w:p>
    <w:p w14:paraId="717101A3">
      <w:pPr>
        <w:pStyle w:val="17"/>
        <w:bidi w:val="0"/>
        <w:rPr>
          <w:highlight w:val="none"/>
        </w:rPr>
      </w:pPr>
      <w:r>
        <w:rPr>
          <w:rFonts w:hint="eastAsia"/>
          <w:highlight w:val="none"/>
        </w:rPr>
        <w:fldChar w:fldCharType="begin"/>
      </w:r>
      <w:r>
        <w:rPr>
          <w:rFonts w:hint="eastAsia"/>
          <w:highlight w:val="none"/>
        </w:rPr>
        <w:instrText xml:space="preserve"> HYPERLINK \l _Toc8327 </w:instrText>
      </w:r>
      <w:r>
        <w:rPr>
          <w:rFonts w:hint="eastAsia"/>
          <w:highlight w:val="none"/>
        </w:rPr>
        <w:fldChar w:fldCharType="separate"/>
      </w:r>
      <w:r>
        <w:rPr>
          <w:rFonts w:hint="eastAsia"/>
          <w:highlight w:val="none"/>
        </w:rPr>
        <w:t>投标文件目录</w:t>
      </w:r>
      <w:r>
        <w:rPr>
          <w:highlight w:val="none"/>
        </w:rPr>
        <w:tab/>
      </w:r>
      <w:r>
        <w:rPr>
          <w:highlight w:val="none"/>
        </w:rPr>
        <w:fldChar w:fldCharType="begin"/>
      </w:r>
      <w:r>
        <w:rPr>
          <w:highlight w:val="none"/>
        </w:rPr>
        <w:instrText xml:space="preserve"> PAGEREF _Toc8327 \h </w:instrText>
      </w:r>
      <w:r>
        <w:rPr>
          <w:highlight w:val="none"/>
        </w:rPr>
        <w:fldChar w:fldCharType="separate"/>
      </w:r>
      <w:r>
        <w:rPr>
          <w:highlight w:val="none"/>
        </w:rPr>
        <w:t>51</w:t>
      </w:r>
      <w:r>
        <w:rPr>
          <w:highlight w:val="none"/>
        </w:rPr>
        <w:fldChar w:fldCharType="end"/>
      </w:r>
      <w:r>
        <w:rPr>
          <w:rFonts w:hint="eastAsia"/>
          <w:highlight w:val="none"/>
        </w:rPr>
        <w:fldChar w:fldCharType="end"/>
      </w:r>
    </w:p>
    <w:p w14:paraId="0066632F">
      <w:pPr>
        <w:pStyle w:val="17"/>
        <w:bidi w:val="0"/>
        <w:rPr>
          <w:highlight w:val="none"/>
        </w:rPr>
      </w:pPr>
      <w:r>
        <w:rPr>
          <w:rFonts w:hint="eastAsia"/>
          <w:highlight w:val="none"/>
        </w:rPr>
        <w:fldChar w:fldCharType="begin"/>
      </w:r>
      <w:r>
        <w:rPr>
          <w:rFonts w:hint="eastAsia"/>
          <w:highlight w:val="none"/>
        </w:rPr>
        <w:instrText xml:space="preserve"> HYPERLINK \l _Toc8481 </w:instrText>
      </w:r>
      <w:r>
        <w:rPr>
          <w:rFonts w:hint="eastAsia"/>
          <w:highlight w:val="none"/>
        </w:rPr>
        <w:fldChar w:fldCharType="separate"/>
      </w:r>
      <w:r>
        <w:rPr>
          <w:rFonts w:hint="eastAsia"/>
          <w:highlight w:val="none"/>
        </w:rPr>
        <w:t>附件1.评分标准索引表</w:t>
      </w:r>
      <w:r>
        <w:rPr>
          <w:highlight w:val="none"/>
        </w:rPr>
        <w:tab/>
      </w:r>
      <w:r>
        <w:rPr>
          <w:highlight w:val="none"/>
        </w:rPr>
        <w:fldChar w:fldCharType="begin"/>
      </w:r>
      <w:r>
        <w:rPr>
          <w:highlight w:val="none"/>
        </w:rPr>
        <w:instrText xml:space="preserve"> PAGEREF _Toc8481 \h </w:instrText>
      </w:r>
      <w:r>
        <w:rPr>
          <w:highlight w:val="none"/>
        </w:rPr>
        <w:fldChar w:fldCharType="separate"/>
      </w:r>
      <w:r>
        <w:rPr>
          <w:highlight w:val="none"/>
        </w:rPr>
        <w:t>52</w:t>
      </w:r>
      <w:r>
        <w:rPr>
          <w:highlight w:val="none"/>
        </w:rPr>
        <w:fldChar w:fldCharType="end"/>
      </w:r>
      <w:r>
        <w:rPr>
          <w:rFonts w:hint="eastAsia"/>
          <w:highlight w:val="none"/>
        </w:rPr>
        <w:fldChar w:fldCharType="end"/>
      </w:r>
    </w:p>
    <w:p w14:paraId="21FD42BD">
      <w:pPr>
        <w:pStyle w:val="17"/>
        <w:bidi w:val="0"/>
        <w:rPr>
          <w:highlight w:val="none"/>
        </w:rPr>
      </w:pPr>
      <w:r>
        <w:rPr>
          <w:rFonts w:hint="eastAsia"/>
          <w:highlight w:val="none"/>
        </w:rPr>
        <w:fldChar w:fldCharType="begin"/>
      </w:r>
      <w:r>
        <w:rPr>
          <w:rFonts w:hint="eastAsia"/>
          <w:highlight w:val="none"/>
        </w:rPr>
        <w:instrText xml:space="preserve"> HYPERLINK \l _Toc26231 </w:instrText>
      </w:r>
      <w:r>
        <w:rPr>
          <w:rFonts w:hint="eastAsia"/>
          <w:highlight w:val="none"/>
        </w:rPr>
        <w:fldChar w:fldCharType="separate"/>
      </w:r>
      <w:r>
        <w:rPr>
          <w:rFonts w:hint="eastAsia"/>
          <w:highlight w:val="none"/>
        </w:rPr>
        <w:t>附件2.开标一览表格式</w:t>
      </w:r>
      <w:r>
        <w:rPr>
          <w:highlight w:val="none"/>
        </w:rPr>
        <w:tab/>
      </w:r>
      <w:r>
        <w:rPr>
          <w:highlight w:val="none"/>
        </w:rPr>
        <w:fldChar w:fldCharType="begin"/>
      </w:r>
      <w:r>
        <w:rPr>
          <w:highlight w:val="none"/>
        </w:rPr>
        <w:instrText xml:space="preserve"> PAGEREF _Toc26231 \h </w:instrText>
      </w:r>
      <w:r>
        <w:rPr>
          <w:highlight w:val="none"/>
        </w:rPr>
        <w:fldChar w:fldCharType="separate"/>
      </w:r>
      <w:r>
        <w:rPr>
          <w:highlight w:val="none"/>
        </w:rPr>
        <w:t>53</w:t>
      </w:r>
      <w:r>
        <w:rPr>
          <w:highlight w:val="none"/>
        </w:rPr>
        <w:fldChar w:fldCharType="end"/>
      </w:r>
      <w:r>
        <w:rPr>
          <w:rFonts w:hint="eastAsia"/>
          <w:highlight w:val="none"/>
        </w:rPr>
        <w:fldChar w:fldCharType="end"/>
      </w:r>
    </w:p>
    <w:p w14:paraId="4B119072">
      <w:pPr>
        <w:pStyle w:val="17"/>
        <w:bidi w:val="0"/>
        <w:rPr>
          <w:highlight w:val="none"/>
        </w:rPr>
      </w:pPr>
      <w:r>
        <w:rPr>
          <w:rFonts w:hint="eastAsia"/>
          <w:highlight w:val="none"/>
        </w:rPr>
        <w:fldChar w:fldCharType="begin"/>
      </w:r>
      <w:r>
        <w:rPr>
          <w:rFonts w:hint="eastAsia"/>
          <w:highlight w:val="none"/>
        </w:rPr>
        <w:instrText xml:space="preserve"> HYPERLINK \l _Toc8055 </w:instrText>
      </w:r>
      <w:r>
        <w:rPr>
          <w:rFonts w:hint="eastAsia"/>
          <w:highlight w:val="none"/>
        </w:rPr>
        <w:fldChar w:fldCharType="separate"/>
      </w:r>
      <w:r>
        <w:rPr>
          <w:rFonts w:hint="eastAsia"/>
          <w:highlight w:val="none"/>
        </w:rPr>
        <w:t>商务文件</w:t>
      </w:r>
      <w:r>
        <w:rPr>
          <w:highlight w:val="none"/>
        </w:rPr>
        <w:tab/>
      </w:r>
      <w:r>
        <w:rPr>
          <w:highlight w:val="none"/>
        </w:rPr>
        <w:fldChar w:fldCharType="begin"/>
      </w:r>
      <w:r>
        <w:rPr>
          <w:highlight w:val="none"/>
        </w:rPr>
        <w:instrText xml:space="preserve"> PAGEREF _Toc8055 \h </w:instrText>
      </w:r>
      <w:r>
        <w:rPr>
          <w:highlight w:val="none"/>
        </w:rPr>
        <w:fldChar w:fldCharType="separate"/>
      </w:r>
      <w:r>
        <w:rPr>
          <w:highlight w:val="none"/>
        </w:rPr>
        <w:t>54</w:t>
      </w:r>
      <w:r>
        <w:rPr>
          <w:highlight w:val="none"/>
        </w:rPr>
        <w:fldChar w:fldCharType="end"/>
      </w:r>
      <w:r>
        <w:rPr>
          <w:rFonts w:hint="eastAsia"/>
          <w:highlight w:val="none"/>
        </w:rPr>
        <w:fldChar w:fldCharType="end"/>
      </w:r>
    </w:p>
    <w:p w14:paraId="2C4ADCA7">
      <w:pPr>
        <w:pStyle w:val="17"/>
        <w:bidi w:val="0"/>
        <w:rPr>
          <w:highlight w:val="none"/>
        </w:rPr>
      </w:pPr>
      <w:r>
        <w:rPr>
          <w:rFonts w:hint="eastAsia"/>
          <w:highlight w:val="none"/>
        </w:rPr>
        <w:fldChar w:fldCharType="begin"/>
      </w:r>
      <w:r>
        <w:rPr>
          <w:rFonts w:hint="eastAsia"/>
          <w:highlight w:val="none"/>
        </w:rPr>
        <w:instrText xml:space="preserve"> HYPERLINK \l _Toc32289 </w:instrText>
      </w:r>
      <w:r>
        <w:rPr>
          <w:rFonts w:hint="eastAsia"/>
          <w:highlight w:val="none"/>
        </w:rPr>
        <w:fldChar w:fldCharType="separate"/>
      </w:r>
      <w:r>
        <w:rPr>
          <w:rFonts w:hint="eastAsia"/>
          <w:highlight w:val="none"/>
        </w:rPr>
        <w:t>附件</w:t>
      </w:r>
      <w:r>
        <w:rPr>
          <w:rFonts w:hint="eastAsia"/>
          <w:highlight w:val="none"/>
          <w:lang w:val="en-US" w:eastAsia="zh-CN"/>
        </w:rPr>
        <w:t>3</w:t>
      </w:r>
      <w:r>
        <w:rPr>
          <w:rFonts w:hint="eastAsia"/>
          <w:highlight w:val="none"/>
        </w:rPr>
        <w:t>.投标书格式</w:t>
      </w:r>
      <w:r>
        <w:rPr>
          <w:highlight w:val="none"/>
        </w:rPr>
        <w:tab/>
      </w:r>
      <w:r>
        <w:rPr>
          <w:highlight w:val="none"/>
        </w:rPr>
        <w:fldChar w:fldCharType="begin"/>
      </w:r>
      <w:r>
        <w:rPr>
          <w:highlight w:val="none"/>
        </w:rPr>
        <w:instrText xml:space="preserve"> PAGEREF _Toc32289 \h </w:instrText>
      </w:r>
      <w:r>
        <w:rPr>
          <w:highlight w:val="none"/>
        </w:rPr>
        <w:fldChar w:fldCharType="separate"/>
      </w:r>
      <w:r>
        <w:rPr>
          <w:highlight w:val="none"/>
        </w:rPr>
        <w:t>55</w:t>
      </w:r>
      <w:r>
        <w:rPr>
          <w:highlight w:val="none"/>
        </w:rPr>
        <w:fldChar w:fldCharType="end"/>
      </w:r>
      <w:r>
        <w:rPr>
          <w:rFonts w:hint="eastAsia"/>
          <w:highlight w:val="none"/>
        </w:rPr>
        <w:fldChar w:fldCharType="end"/>
      </w:r>
    </w:p>
    <w:p w14:paraId="417E0554">
      <w:pPr>
        <w:pStyle w:val="17"/>
        <w:bidi w:val="0"/>
        <w:rPr>
          <w:highlight w:val="none"/>
        </w:rPr>
      </w:pPr>
      <w:r>
        <w:rPr>
          <w:rFonts w:hint="eastAsia"/>
          <w:highlight w:val="none"/>
        </w:rPr>
        <w:fldChar w:fldCharType="begin"/>
      </w:r>
      <w:r>
        <w:rPr>
          <w:rFonts w:hint="eastAsia"/>
          <w:highlight w:val="none"/>
        </w:rPr>
        <w:instrText xml:space="preserve"> HYPERLINK \l _Toc30636 </w:instrText>
      </w:r>
      <w:r>
        <w:rPr>
          <w:rFonts w:hint="eastAsia"/>
          <w:highlight w:val="none"/>
        </w:rPr>
        <w:fldChar w:fldCharType="separate"/>
      </w:r>
      <w:r>
        <w:rPr>
          <w:rFonts w:hint="eastAsia"/>
          <w:highlight w:val="none"/>
        </w:rPr>
        <w:t>附件</w:t>
      </w:r>
      <w:r>
        <w:rPr>
          <w:rFonts w:hint="eastAsia"/>
          <w:highlight w:val="none"/>
          <w:lang w:val="en-US" w:eastAsia="zh-CN"/>
        </w:rPr>
        <w:t>4</w:t>
      </w:r>
      <w:r>
        <w:rPr>
          <w:rFonts w:hint="eastAsia"/>
          <w:highlight w:val="none"/>
        </w:rPr>
        <w:t>. 法定代表人证明书格式</w:t>
      </w:r>
      <w:r>
        <w:rPr>
          <w:highlight w:val="none"/>
        </w:rPr>
        <w:tab/>
      </w:r>
      <w:r>
        <w:rPr>
          <w:highlight w:val="none"/>
        </w:rPr>
        <w:fldChar w:fldCharType="begin"/>
      </w:r>
      <w:r>
        <w:rPr>
          <w:highlight w:val="none"/>
        </w:rPr>
        <w:instrText xml:space="preserve"> PAGEREF _Toc30636 \h </w:instrText>
      </w:r>
      <w:r>
        <w:rPr>
          <w:highlight w:val="none"/>
        </w:rPr>
        <w:fldChar w:fldCharType="separate"/>
      </w:r>
      <w:r>
        <w:rPr>
          <w:highlight w:val="none"/>
        </w:rPr>
        <w:t>56</w:t>
      </w:r>
      <w:r>
        <w:rPr>
          <w:highlight w:val="none"/>
        </w:rPr>
        <w:fldChar w:fldCharType="end"/>
      </w:r>
      <w:r>
        <w:rPr>
          <w:rFonts w:hint="eastAsia"/>
          <w:highlight w:val="none"/>
        </w:rPr>
        <w:fldChar w:fldCharType="end"/>
      </w:r>
    </w:p>
    <w:p w14:paraId="7BEC79BA">
      <w:pPr>
        <w:pStyle w:val="17"/>
        <w:bidi w:val="0"/>
        <w:rPr>
          <w:highlight w:val="none"/>
        </w:rPr>
      </w:pPr>
      <w:r>
        <w:rPr>
          <w:rFonts w:hint="eastAsia"/>
          <w:highlight w:val="none"/>
        </w:rPr>
        <w:fldChar w:fldCharType="begin"/>
      </w:r>
      <w:r>
        <w:rPr>
          <w:rFonts w:hint="eastAsia"/>
          <w:highlight w:val="none"/>
        </w:rPr>
        <w:instrText xml:space="preserve"> HYPERLINK \l _Toc13579 </w:instrText>
      </w:r>
      <w:r>
        <w:rPr>
          <w:rFonts w:hint="eastAsia"/>
          <w:highlight w:val="none"/>
        </w:rPr>
        <w:fldChar w:fldCharType="separate"/>
      </w:r>
      <w:r>
        <w:rPr>
          <w:rFonts w:hint="eastAsia"/>
          <w:highlight w:val="none"/>
        </w:rPr>
        <w:t>附件</w:t>
      </w:r>
      <w:r>
        <w:rPr>
          <w:rFonts w:hint="eastAsia"/>
          <w:highlight w:val="none"/>
          <w:lang w:val="en-US" w:eastAsia="zh-CN"/>
        </w:rPr>
        <w:t>5</w:t>
      </w:r>
      <w:r>
        <w:rPr>
          <w:rFonts w:hint="eastAsia"/>
          <w:highlight w:val="none"/>
        </w:rPr>
        <w:t>.法定代表人授权书格式</w:t>
      </w:r>
      <w:r>
        <w:rPr>
          <w:highlight w:val="none"/>
        </w:rPr>
        <w:tab/>
      </w:r>
      <w:r>
        <w:rPr>
          <w:highlight w:val="none"/>
        </w:rPr>
        <w:fldChar w:fldCharType="begin"/>
      </w:r>
      <w:r>
        <w:rPr>
          <w:highlight w:val="none"/>
        </w:rPr>
        <w:instrText xml:space="preserve"> PAGEREF _Toc13579 \h </w:instrText>
      </w:r>
      <w:r>
        <w:rPr>
          <w:highlight w:val="none"/>
        </w:rPr>
        <w:fldChar w:fldCharType="separate"/>
      </w:r>
      <w:r>
        <w:rPr>
          <w:highlight w:val="none"/>
        </w:rPr>
        <w:t>57</w:t>
      </w:r>
      <w:r>
        <w:rPr>
          <w:highlight w:val="none"/>
        </w:rPr>
        <w:fldChar w:fldCharType="end"/>
      </w:r>
      <w:r>
        <w:rPr>
          <w:rFonts w:hint="eastAsia"/>
          <w:highlight w:val="none"/>
        </w:rPr>
        <w:fldChar w:fldCharType="end"/>
      </w:r>
    </w:p>
    <w:p w14:paraId="1EC60BB4">
      <w:pPr>
        <w:pStyle w:val="17"/>
        <w:bidi w:val="0"/>
        <w:rPr>
          <w:highlight w:val="none"/>
        </w:rPr>
      </w:pPr>
      <w:r>
        <w:rPr>
          <w:rFonts w:hint="eastAsia"/>
          <w:highlight w:val="none"/>
        </w:rPr>
        <w:fldChar w:fldCharType="begin"/>
      </w:r>
      <w:r>
        <w:rPr>
          <w:rFonts w:hint="eastAsia"/>
          <w:highlight w:val="none"/>
        </w:rPr>
        <w:instrText xml:space="preserve"> HYPERLINK \l _Toc31492 </w:instrText>
      </w:r>
      <w:r>
        <w:rPr>
          <w:rFonts w:hint="eastAsia"/>
          <w:highlight w:val="none"/>
        </w:rPr>
        <w:fldChar w:fldCharType="separate"/>
      </w:r>
      <w:r>
        <w:rPr>
          <w:rFonts w:hint="eastAsia"/>
          <w:highlight w:val="none"/>
        </w:rPr>
        <w:t>附件</w:t>
      </w:r>
      <w:r>
        <w:rPr>
          <w:rFonts w:hint="eastAsia"/>
          <w:highlight w:val="none"/>
          <w:lang w:val="en-US" w:eastAsia="zh-CN"/>
        </w:rPr>
        <w:t>6</w:t>
      </w:r>
      <w:r>
        <w:rPr>
          <w:rFonts w:hint="eastAsia"/>
          <w:highlight w:val="none"/>
        </w:rPr>
        <w:t>.资格申明</w:t>
      </w:r>
      <w:r>
        <w:rPr>
          <w:highlight w:val="none"/>
        </w:rPr>
        <w:tab/>
      </w:r>
      <w:r>
        <w:rPr>
          <w:highlight w:val="none"/>
        </w:rPr>
        <w:fldChar w:fldCharType="begin"/>
      </w:r>
      <w:r>
        <w:rPr>
          <w:highlight w:val="none"/>
        </w:rPr>
        <w:instrText xml:space="preserve"> PAGEREF _Toc31492 \h </w:instrText>
      </w:r>
      <w:r>
        <w:rPr>
          <w:highlight w:val="none"/>
        </w:rPr>
        <w:fldChar w:fldCharType="separate"/>
      </w:r>
      <w:r>
        <w:rPr>
          <w:highlight w:val="none"/>
        </w:rPr>
        <w:t>58</w:t>
      </w:r>
      <w:r>
        <w:rPr>
          <w:highlight w:val="none"/>
        </w:rPr>
        <w:fldChar w:fldCharType="end"/>
      </w:r>
      <w:r>
        <w:rPr>
          <w:rFonts w:hint="eastAsia"/>
          <w:highlight w:val="none"/>
        </w:rPr>
        <w:fldChar w:fldCharType="end"/>
      </w:r>
    </w:p>
    <w:p w14:paraId="28A8B017">
      <w:pPr>
        <w:pStyle w:val="17"/>
        <w:bidi w:val="0"/>
        <w:rPr>
          <w:highlight w:val="none"/>
        </w:rPr>
      </w:pPr>
      <w:r>
        <w:rPr>
          <w:rFonts w:hint="eastAsia"/>
          <w:highlight w:val="none"/>
        </w:rPr>
        <w:fldChar w:fldCharType="begin"/>
      </w:r>
      <w:r>
        <w:rPr>
          <w:rFonts w:hint="eastAsia"/>
          <w:highlight w:val="none"/>
        </w:rPr>
        <w:instrText xml:space="preserve"> HYPERLINK \l _Toc7110 </w:instrText>
      </w:r>
      <w:r>
        <w:rPr>
          <w:rFonts w:hint="eastAsia"/>
          <w:highlight w:val="none"/>
        </w:rPr>
        <w:fldChar w:fldCharType="separate"/>
      </w:r>
      <w:r>
        <w:rPr>
          <w:rFonts w:hint="eastAsia"/>
          <w:highlight w:val="none"/>
        </w:rPr>
        <w:t>附件</w:t>
      </w:r>
      <w:r>
        <w:rPr>
          <w:rFonts w:hint="eastAsia"/>
          <w:highlight w:val="none"/>
          <w:lang w:val="en-US" w:eastAsia="zh-CN"/>
        </w:rPr>
        <w:t>7</w:t>
      </w:r>
      <w:r>
        <w:rPr>
          <w:rFonts w:hint="eastAsia"/>
          <w:highlight w:val="none"/>
        </w:rPr>
        <w:t>.营业执照</w:t>
      </w:r>
      <w:r>
        <w:rPr>
          <w:highlight w:val="none"/>
        </w:rPr>
        <w:tab/>
      </w:r>
      <w:r>
        <w:rPr>
          <w:highlight w:val="none"/>
        </w:rPr>
        <w:fldChar w:fldCharType="begin"/>
      </w:r>
      <w:r>
        <w:rPr>
          <w:highlight w:val="none"/>
        </w:rPr>
        <w:instrText xml:space="preserve"> PAGEREF _Toc7110 \h </w:instrText>
      </w:r>
      <w:r>
        <w:rPr>
          <w:highlight w:val="none"/>
        </w:rPr>
        <w:fldChar w:fldCharType="separate"/>
      </w:r>
      <w:r>
        <w:rPr>
          <w:highlight w:val="none"/>
        </w:rPr>
        <w:t>59</w:t>
      </w:r>
      <w:r>
        <w:rPr>
          <w:highlight w:val="none"/>
        </w:rPr>
        <w:fldChar w:fldCharType="end"/>
      </w:r>
      <w:r>
        <w:rPr>
          <w:rFonts w:hint="eastAsia"/>
          <w:highlight w:val="none"/>
        </w:rPr>
        <w:fldChar w:fldCharType="end"/>
      </w:r>
    </w:p>
    <w:p w14:paraId="568658D1">
      <w:pPr>
        <w:pStyle w:val="17"/>
        <w:bidi w:val="0"/>
        <w:rPr>
          <w:highlight w:val="none"/>
        </w:rPr>
      </w:pPr>
      <w:r>
        <w:rPr>
          <w:rFonts w:hint="eastAsia"/>
          <w:highlight w:val="none"/>
        </w:rPr>
        <w:fldChar w:fldCharType="begin"/>
      </w:r>
      <w:r>
        <w:rPr>
          <w:rFonts w:hint="eastAsia"/>
          <w:highlight w:val="none"/>
        </w:rPr>
        <w:instrText xml:space="preserve"> HYPERLINK \l _Toc23210 </w:instrText>
      </w:r>
      <w:r>
        <w:rPr>
          <w:rFonts w:hint="eastAsia"/>
          <w:highlight w:val="none"/>
        </w:rPr>
        <w:fldChar w:fldCharType="separate"/>
      </w:r>
      <w:r>
        <w:rPr>
          <w:rFonts w:hint="eastAsia"/>
          <w:highlight w:val="none"/>
        </w:rPr>
        <w:t>附件</w:t>
      </w:r>
      <w:r>
        <w:rPr>
          <w:rFonts w:hint="eastAsia"/>
          <w:highlight w:val="none"/>
          <w:lang w:val="en-US" w:eastAsia="zh-CN"/>
        </w:rPr>
        <w:t>8</w:t>
      </w:r>
      <w:r>
        <w:rPr>
          <w:rFonts w:hint="eastAsia"/>
          <w:highlight w:val="none"/>
        </w:rPr>
        <w:t>.相关资质证明文件</w:t>
      </w:r>
      <w:r>
        <w:rPr>
          <w:highlight w:val="none"/>
        </w:rPr>
        <w:tab/>
      </w:r>
      <w:r>
        <w:rPr>
          <w:highlight w:val="none"/>
        </w:rPr>
        <w:fldChar w:fldCharType="begin"/>
      </w:r>
      <w:r>
        <w:rPr>
          <w:highlight w:val="none"/>
        </w:rPr>
        <w:instrText xml:space="preserve"> PAGEREF _Toc23210 \h </w:instrText>
      </w:r>
      <w:r>
        <w:rPr>
          <w:highlight w:val="none"/>
        </w:rPr>
        <w:fldChar w:fldCharType="separate"/>
      </w:r>
      <w:r>
        <w:rPr>
          <w:highlight w:val="none"/>
        </w:rPr>
        <w:t>60</w:t>
      </w:r>
      <w:r>
        <w:rPr>
          <w:highlight w:val="none"/>
        </w:rPr>
        <w:fldChar w:fldCharType="end"/>
      </w:r>
      <w:r>
        <w:rPr>
          <w:rFonts w:hint="eastAsia"/>
          <w:highlight w:val="none"/>
        </w:rPr>
        <w:fldChar w:fldCharType="end"/>
      </w:r>
    </w:p>
    <w:p w14:paraId="1F35C31E">
      <w:pPr>
        <w:pStyle w:val="17"/>
        <w:bidi w:val="0"/>
        <w:rPr>
          <w:highlight w:val="none"/>
        </w:rPr>
      </w:pPr>
      <w:r>
        <w:rPr>
          <w:rFonts w:hint="eastAsia"/>
          <w:highlight w:val="none"/>
        </w:rPr>
        <w:fldChar w:fldCharType="begin"/>
      </w:r>
      <w:r>
        <w:rPr>
          <w:rFonts w:hint="eastAsia"/>
          <w:highlight w:val="none"/>
        </w:rPr>
        <w:instrText xml:space="preserve"> HYPERLINK \l _Toc3824 </w:instrText>
      </w:r>
      <w:r>
        <w:rPr>
          <w:rFonts w:hint="eastAsia"/>
          <w:highlight w:val="none"/>
        </w:rPr>
        <w:fldChar w:fldCharType="separate"/>
      </w:r>
      <w:r>
        <w:rPr>
          <w:rFonts w:hint="eastAsia"/>
          <w:highlight w:val="none"/>
        </w:rPr>
        <w:t>附件</w:t>
      </w:r>
      <w:r>
        <w:rPr>
          <w:rFonts w:hint="eastAsia"/>
          <w:highlight w:val="none"/>
          <w:lang w:val="en-US" w:eastAsia="zh-CN"/>
        </w:rPr>
        <w:t>9</w:t>
      </w:r>
      <w:r>
        <w:rPr>
          <w:rFonts w:hint="eastAsia"/>
          <w:highlight w:val="none"/>
        </w:rPr>
        <w:t>.在经营活动中没有重大违法记录的书面声明格式</w:t>
      </w:r>
      <w:r>
        <w:rPr>
          <w:highlight w:val="none"/>
        </w:rPr>
        <w:tab/>
      </w:r>
      <w:r>
        <w:rPr>
          <w:highlight w:val="none"/>
        </w:rPr>
        <w:fldChar w:fldCharType="begin"/>
      </w:r>
      <w:r>
        <w:rPr>
          <w:highlight w:val="none"/>
        </w:rPr>
        <w:instrText xml:space="preserve"> PAGEREF _Toc3824 \h </w:instrText>
      </w:r>
      <w:r>
        <w:rPr>
          <w:highlight w:val="none"/>
        </w:rPr>
        <w:fldChar w:fldCharType="separate"/>
      </w:r>
      <w:r>
        <w:rPr>
          <w:highlight w:val="none"/>
        </w:rPr>
        <w:t>61</w:t>
      </w:r>
      <w:r>
        <w:rPr>
          <w:highlight w:val="none"/>
        </w:rPr>
        <w:fldChar w:fldCharType="end"/>
      </w:r>
      <w:r>
        <w:rPr>
          <w:rFonts w:hint="eastAsia"/>
          <w:highlight w:val="none"/>
        </w:rPr>
        <w:fldChar w:fldCharType="end"/>
      </w:r>
    </w:p>
    <w:p w14:paraId="48AD7BA0">
      <w:pPr>
        <w:pStyle w:val="17"/>
        <w:bidi w:val="0"/>
        <w:rPr>
          <w:highlight w:val="none"/>
        </w:rPr>
      </w:pPr>
      <w:r>
        <w:rPr>
          <w:rFonts w:hint="eastAsia"/>
          <w:highlight w:val="none"/>
        </w:rPr>
        <w:fldChar w:fldCharType="begin"/>
      </w:r>
      <w:r>
        <w:rPr>
          <w:rFonts w:hint="eastAsia"/>
          <w:highlight w:val="none"/>
        </w:rPr>
        <w:instrText xml:space="preserve"> HYPERLINK \l _Toc25085 </w:instrText>
      </w:r>
      <w:r>
        <w:rPr>
          <w:rFonts w:hint="eastAsia"/>
          <w:highlight w:val="none"/>
        </w:rPr>
        <w:fldChar w:fldCharType="separate"/>
      </w:r>
      <w:r>
        <w:rPr>
          <w:rFonts w:hint="eastAsia"/>
          <w:highlight w:val="none"/>
        </w:rPr>
        <w:t>附件</w:t>
      </w:r>
      <w:r>
        <w:rPr>
          <w:rFonts w:hint="eastAsia"/>
          <w:highlight w:val="none"/>
          <w:lang w:val="en-US" w:eastAsia="zh-CN"/>
        </w:rPr>
        <w:t>10</w:t>
      </w:r>
      <w:r>
        <w:rPr>
          <w:rFonts w:hint="eastAsia"/>
          <w:highlight w:val="none"/>
        </w:rPr>
        <w:t>.承诺书格式</w:t>
      </w:r>
      <w:r>
        <w:rPr>
          <w:highlight w:val="none"/>
        </w:rPr>
        <w:tab/>
      </w:r>
      <w:r>
        <w:rPr>
          <w:highlight w:val="none"/>
        </w:rPr>
        <w:fldChar w:fldCharType="begin"/>
      </w:r>
      <w:r>
        <w:rPr>
          <w:highlight w:val="none"/>
        </w:rPr>
        <w:instrText xml:space="preserve"> PAGEREF _Toc25085 \h </w:instrText>
      </w:r>
      <w:r>
        <w:rPr>
          <w:highlight w:val="none"/>
        </w:rPr>
        <w:fldChar w:fldCharType="separate"/>
      </w:r>
      <w:r>
        <w:rPr>
          <w:highlight w:val="none"/>
        </w:rPr>
        <w:t>62</w:t>
      </w:r>
      <w:r>
        <w:rPr>
          <w:highlight w:val="none"/>
        </w:rPr>
        <w:fldChar w:fldCharType="end"/>
      </w:r>
      <w:r>
        <w:rPr>
          <w:rFonts w:hint="eastAsia"/>
          <w:highlight w:val="none"/>
        </w:rPr>
        <w:fldChar w:fldCharType="end"/>
      </w:r>
    </w:p>
    <w:p w14:paraId="3DB4B4B9">
      <w:pPr>
        <w:pStyle w:val="17"/>
        <w:bidi w:val="0"/>
        <w:rPr>
          <w:highlight w:val="none"/>
        </w:rPr>
      </w:pPr>
      <w:r>
        <w:rPr>
          <w:rFonts w:hint="eastAsia"/>
          <w:highlight w:val="none"/>
        </w:rPr>
        <w:fldChar w:fldCharType="begin"/>
      </w:r>
      <w:r>
        <w:rPr>
          <w:rFonts w:hint="eastAsia"/>
          <w:highlight w:val="none"/>
        </w:rPr>
        <w:instrText xml:space="preserve"> HYPERLINK \l _Toc4399 </w:instrText>
      </w:r>
      <w:r>
        <w:rPr>
          <w:rFonts w:hint="eastAsia"/>
          <w:highlight w:val="none"/>
        </w:rPr>
        <w:fldChar w:fldCharType="separate"/>
      </w:r>
      <w:r>
        <w:rPr>
          <w:rFonts w:hint="eastAsia"/>
          <w:highlight w:val="none"/>
        </w:rPr>
        <w:t>附件</w:t>
      </w:r>
      <w:r>
        <w:rPr>
          <w:rFonts w:hint="eastAsia"/>
          <w:highlight w:val="none"/>
          <w:lang w:val="en-US" w:eastAsia="zh-CN"/>
        </w:rPr>
        <w:t>11</w:t>
      </w:r>
      <w:r>
        <w:rPr>
          <w:rFonts w:hint="eastAsia"/>
          <w:highlight w:val="none"/>
        </w:rPr>
        <w:t>.商务需求条款偏离表格式</w:t>
      </w:r>
      <w:r>
        <w:rPr>
          <w:highlight w:val="none"/>
        </w:rPr>
        <w:tab/>
      </w:r>
      <w:r>
        <w:rPr>
          <w:highlight w:val="none"/>
        </w:rPr>
        <w:fldChar w:fldCharType="begin"/>
      </w:r>
      <w:r>
        <w:rPr>
          <w:highlight w:val="none"/>
        </w:rPr>
        <w:instrText xml:space="preserve"> PAGEREF _Toc4399 \h </w:instrText>
      </w:r>
      <w:r>
        <w:rPr>
          <w:highlight w:val="none"/>
        </w:rPr>
        <w:fldChar w:fldCharType="separate"/>
      </w:r>
      <w:r>
        <w:rPr>
          <w:highlight w:val="none"/>
        </w:rPr>
        <w:t>63</w:t>
      </w:r>
      <w:r>
        <w:rPr>
          <w:highlight w:val="none"/>
        </w:rPr>
        <w:fldChar w:fldCharType="end"/>
      </w:r>
      <w:r>
        <w:rPr>
          <w:rFonts w:hint="eastAsia"/>
          <w:highlight w:val="none"/>
        </w:rPr>
        <w:fldChar w:fldCharType="end"/>
      </w:r>
    </w:p>
    <w:p w14:paraId="2D83A5DD">
      <w:pPr>
        <w:pStyle w:val="17"/>
        <w:bidi w:val="0"/>
        <w:rPr>
          <w:highlight w:val="none"/>
        </w:rPr>
      </w:pPr>
      <w:r>
        <w:rPr>
          <w:rFonts w:hint="eastAsia"/>
          <w:highlight w:val="none"/>
        </w:rPr>
        <w:fldChar w:fldCharType="begin"/>
      </w:r>
      <w:r>
        <w:rPr>
          <w:rFonts w:hint="eastAsia"/>
          <w:highlight w:val="none"/>
        </w:rPr>
        <w:instrText xml:space="preserve"> HYPERLINK \l _Toc25280 </w:instrText>
      </w:r>
      <w:r>
        <w:rPr>
          <w:rFonts w:hint="eastAsia"/>
          <w:highlight w:val="none"/>
        </w:rPr>
        <w:fldChar w:fldCharType="separate"/>
      </w:r>
      <w:r>
        <w:rPr>
          <w:rFonts w:hint="eastAsia"/>
          <w:highlight w:val="none"/>
        </w:rPr>
        <w:t>附件</w:t>
      </w:r>
      <w:r>
        <w:rPr>
          <w:rFonts w:hint="eastAsia"/>
          <w:highlight w:val="none"/>
          <w:lang w:val="en-US" w:eastAsia="zh-CN"/>
        </w:rPr>
        <w:t>12</w:t>
      </w:r>
      <w:r>
        <w:rPr>
          <w:rFonts w:hint="eastAsia"/>
          <w:highlight w:val="none"/>
        </w:rPr>
        <w:t>.业绩表</w:t>
      </w:r>
      <w:r>
        <w:rPr>
          <w:highlight w:val="none"/>
        </w:rPr>
        <w:tab/>
      </w:r>
      <w:r>
        <w:rPr>
          <w:highlight w:val="none"/>
        </w:rPr>
        <w:fldChar w:fldCharType="begin"/>
      </w:r>
      <w:r>
        <w:rPr>
          <w:highlight w:val="none"/>
        </w:rPr>
        <w:instrText xml:space="preserve"> PAGEREF _Toc25280 \h </w:instrText>
      </w:r>
      <w:r>
        <w:rPr>
          <w:highlight w:val="none"/>
        </w:rPr>
        <w:fldChar w:fldCharType="separate"/>
      </w:r>
      <w:r>
        <w:rPr>
          <w:highlight w:val="none"/>
        </w:rPr>
        <w:t>64</w:t>
      </w:r>
      <w:r>
        <w:rPr>
          <w:highlight w:val="none"/>
        </w:rPr>
        <w:fldChar w:fldCharType="end"/>
      </w:r>
      <w:r>
        <w:rPr>
          <w:rFonts w:hint="eastAsia"/>
          <w:highlight w:val="none"/>
        </w:rPr>
        <w:fldChar w:fldCharType="end"/>
      </w:r>
    </w:p>
    <w:p w14:paraId="2EF7A786">
      <w:pPr>
        <w:pStyle w:val="17"/>
        <w:bidi w:val="0"/>
        <w:rPr>
          <w:highlight w:val="none"/>
        </w:rPr>
      </w:pPr>
      <w:r>
        <w:rPr>
          <w:rFonts w:hint="eastAsia"/>
          <w:highlight w:val="none"/>
        </w:rPr>
        <w:fldChar w:fldCharType="begin"/>
      </w:r>
      <w:r>
        <w:rPr>
          <w:rFonts w:hint="eastAsia"/>
          <w:highlight w:val="none"/>
        </w:rPr>
        <w:instrText xml:space="preserve"> HYPERLINK \l _Toc2055 </w:instrText>
      </w:r>
      <w:r>
        <w:rPr>
          <w:rFonts w:hint="eastAsia"/>
          <w:highlight w:val="none"/>
        </w:rPr>
        <w:fldChar w:fldCharType="separate"/>
      </w:r>
      <w:r>
        <w:rPr>
          <w:rFonts w:hint="eastAsia"/>
          <w:highlight w:val="none"/>
        </w:rPr>
        <w:t>附件</w:t>
      </w:r>
      <w:r>
        <w:rPr>
          <w:rFonts w:hint="eastAsia"/>
          <w:highlight w:val="none"/>
          <w:lang w:val="en-US" w:eastAsia="zh-CN"/>
        </w:rPr>
        <w:t>13</w:t>
      </w:r>
      <w:r>
        <w:rPr>
          <w:rFonts w:hint="eastAsia"/>
          <w:highlight w:val="none"/>
        </w:rPr>
        <w:t>.联合体协议书（如有）</w:t>
      </w:r>
      <w:r>
        <w:rPr>
          <w:highlight w:val="none"/>
        </w:rPr>
        <w:tab/>
      </w:r>
      <w:r>
        <w:rPr>
          <w:highlight w:val="none"/>
        </w:rPr>
        <w:fldChar w:fldCharType="begin"/>
      </w:r>
      <w:r>
        <w:rPr>
          <w:highlight w:val="none"/>
        </w:rPr>
        <w:instrText xml:space="preserve"> PAGEREF _Toc2055 \h </w:instrText>
      </w:r>
      <w:r>
        <w:rPr>
          <w:highlight w:val="none"/>
        </w:rPr>
        <w:fldChar w:fldCharType="separate"/>
      </w:r>
      <w:r>
        <w:rPr>
          <w:highlight w:val="none"/>
        </w:rPr>
        <w:t>65</w:t>
      </w:r>
      <w:r>
        <w:rPr>
          <w:highlight w:val="none"/>
        </w:rPr>
        <w:fldChar w:fldCharType="end"/>
      </w:r>
      <w:r>
        <w:rPr>
          <w:rFonts w:hint="eastAsia"/>
          <w:highlight w:val="none"/>
        </w:rPr>
        <w:fldChar w:fldCharType="end"/>
      </w:r>
    </w:p>
    <w:p w14:paraId="39F87D04">
      <w:pPr>
        <w:pStyle w:val="17"/>
        <w:bidi w:val="0"/>
        <w:rPr>
          <w:highlight w:val="none"/>
        </w:rPr>
      </w:pPr>
      <w:r>
        <w:rPr>
          <w:rFonts w:hint="eastAsia"/>
          <w:highlight w:val="none"/>
        </w:rPr>
        <w:fldChar w:fldCharType="begin"/>
      </w:r>
      <w:r>
        <w:rPr>
          <w:rFonts w:hint="eastAsia"/>
          <w:highlight w:val="none"/>
        </w:rPr>
        <w:instrText xml:space="preserve"> HYPERLINK \l _Toc25584 </w:instrText>
      </w:r>
      <w:r>
        <w:rPr>
          <w:rFonts w:hint="eastAsia"/>
          <w:highlight w:val="none"/>
        </w:rPr>
        <w:fldChar w:fldCharType="separate"/>
      </w:r>
      <w:r>
        <w:rPr>
          <w:rFonts w:hint="eastAsia"/>
          <w:highlight w:val="none"/>
        </w:rPr>
        <w:t>技术文件</w:t>
      </w:r>
      <w:r>
        <w:rPr>
          <w:highlight w:val="none"/>
        </w:rPr>
        <w:tab/>
      </w:r>
      <w:r>
        <w:rPr>
          <w:highlight w:val="none"/>
        </w:rPr>
        <w:fldChar w:fldCharType="begin"/>
      </w:r>
      <w:r>
        <w:rPr>
          <w:highlight w:val="none"/>
        </w:rPr>
        <w:instrText xml:space="preserve"> PAGEREF _Toc25584 \h </w:instrText>
      </w:r>
      <w:r>
        <w:rPr>
          <w:highlight w:val="none"/>
        </w:rPr>
        <w:fldChar w:fldCharType="separate"/>
      </w:r>
      <w:r>
        <w:rPr>
          <w:highlight w:val="none"/>
        </w:rPr>
        <w:t>67</w:t>
      </w:r>
      <w:r>
        <w:rPr>
          <w:highlight w:val="none"/>
        </w:rPr>
        <w:fldChar w:fldCharType="end"/>
      </w:r>
      <w:r>
        <w:rPr>
          <w:rFonts w:hint="eastAsia"/>
          <w:highlight w:val="none"/>
        </w:rPr>
        <w:fldChar w:fldCharType="end"/>
      </w:r>
    </w:p>
    <w:p w14:paraId="4FDCE99A">
      <w:pPr>
        <w:pStyle w:val="17"/>
        <w:bidi w:val="0"/>
        <w:rPr>
          <w:highlight w:val="none"/>
        </w:rPr>
      </w:pPr>
      <w:r>
        <w:rPr>
          <w:rFonts w:hint="eastAsia"/>
          <w:highlight w:val="none"/>
        </w:rPr>
        <w:fldChar w:fldCharType="begin"/>
      </w:r>
      <w:r>
        <w:rPr>
          <w:rFonts w:hint="eastAsia"/>
          <w:highlight w:val="none"/>
        </w:rPr>
        <w:instrText xml:space="preserve"> HYPERLINK \l _Toc24549 </w:instrText>
      </w:r>
      <w:r>
        <w:rPr>
          <w:rFonts w:hint="eastAsia"/>
          <w:highlight w:val="none"/>
        </w:rPr>
        <w:fldChar w:fldCharType="separate"/>
      </w:r>
      <w:r>
        <w:rPr>
          <w:rFonts w:hint="eastAsia"/>
          <w:highlight w:val="none"/>
        </w:rPr>
        <w:t>附件</w:t>
      </w:r>
      <w:r>
        <w:rPr>
          <w:rFonts w:hint="eastAsia"/>
          <w:highlight w:val="none"/>
          <w:lang w:val="en-US" w:eastAsia="zh-CN"/>
        </w:rPr>
        <w:t>14</w:t>
      </w:r>
      <w:r>
        <w:rPr>
          <w:rFonts w:hint="eastAsia"/>
          <w:highlight w:val="none"/>
        </w:rPr>
        <w:t>. 技术规格偏离表格式</w:t>
      </w:r>
      <w:r>
        <w:rPr>
          <w:highlight w:val="none"/>
        </w:rPr>
        <w:tab/>
      </w:r>
      <w:r>
        <w:rPr>
          <w:highlight w:val="none"/>
        </w:rPr>
        <w:fldChar w:fldCharType="begin"/>
      </w:r>
      <w:r>
        <w:rPr>
          <w:highlight w:val="none"/>
        </w:rPr>
        <w:instrText xml:space="preserve"> PAGEREF _Toc24549 \h </w:instrText>
      </w:r>
      <w:r>
        <w:rPr>
          <w:highlight w:val="none"/>
        </w:rPr>
        <w:fldChar w:fldCharType="separate"/>
      </w:r>
      <w:r>
        <w:rPr>
          <w:highlight w:val="none"/>
        </w:rPr>
        <w:t>68</w:t>
      </w:r>
      <w:r>
        <w:rPr>
          <w:highlight w:val="none"/>
        </w:rPr>
        <w:fldChar w:fldCharType="end"/>
      </w:r>
      <w:r>
        <w:rPr>
          <w:rFonts w:hint="eastAsia"/>
          <w:highlight w:val="none"/>
        </w:rPr>
        <w:fldChar w:fldCharType="end"/>
      </w:r>
    </w:p>
    <w:p w14:paraId="080C3A15">
      <w:pPr>
        <w:pStyle w:val="17"/>
        <w:bidi w:val="0"/>
        <w:rPr>
          <w:highlight w:val="none"/>
        </w:rPr>
      </w:pPr>
      <w:r>
        <w:rPr>
          <w:rFonts w:hint="eastAsia"/>
          <w:highlight w:val="none"/>
        </w:rPr>
        <w:fldChar w:fldCharType="begin"/>
      </w:r>
      <w:r>
        <w:rPr>
          <w:rFonts w:hint="eastAsia"/>
          <w:highlight w:val="none"/>
        </w:rPr>
        <w:instrText xml:space="preserve"> HYPERLINK \l _Toc9255 </w:instrText>
      </w:r>
      <w:r>
        <w:rPr>
          <w:rFonts w:hint="eastAsia"/>
          <w:highlight w:val="none"/>
        </w:rPr>
        <w:fldChar w:fldCharType="separate"/>
      </w:r>
      <w:r>
        <w:rPr>
          <w:rFonts w:hint="eastAsia"/>
          <w:highlight w:val="none"/>
        </w:rPr>
        <w:t>附件</w:t>
      </w:r>
      <w:r>
        <w:rPr>
          <w:rFonts w:hint="eastAsia"/>
          <w:highlight w:val="none"/>
          <w:lang w:val="en-US" w:eastAsia="zh-CN"/>
        </w:rPr>
        <w:t>15</w:t>
      </w:r>
      <w:r>
        <w:rPr>
          <w:rFonts w:hint="eastAsia"/>
          <w:highlight w:val="none"/>
        </w:rPr>
        <w:t>.</w:t>
      </w:r>
      <w:r>
        <w:rPr>
          <w:rFonts w:hint="eastAsia"/>
          <w:highlight w:val="none"/>
          <w:lang w:val="en-US" w:eastAsia="zh-CN"/>
        </w:rPr>
        <w:t>技术文件</w:t>
      </w:r>
      <w:r>
        <w:rPr>
          <w:rFonts w:hint="eastAsia"/>
          <w:highlight w:val="none"/>
        </w:rPr>
        <w:t>格式</w:t>
      </w:r>
      <w:r>
        <w:rPr>
          <w:highlight w:val="none"/>
        </w:rPr>
        <w:tab/>
      </w:r>
      <w:r>
        <w:rPr>
          <w:highlight w:val="none"/>
        </w:rPr>
        <w:fldChar w:fldCharType="begin"/>
      </w:r>
      <w:r>
        <w:rPr>
          <w:highlight w:val="none"/>
        </w:rPr>
        <w:instrText xml:space="preserve"> PAGEREF _Toc9255 \h </w:instrText>
      </w:r>
      <w:r>
        <w:rPr>
          <w:highlight w:val="none"/>
        </w:rPr>
        <w:fldChar w:fldCharType="separate"/>
      </w:r>
      <w:r>
        <w:rPr>
          <w:highlight w:val="none"/>
        </w:rPr>
        <w:t>69</w:t>
      </w:r>
      <w:r>
        <w:rPr>
          <w:highlight w:val="none"/>
        </w:rPr>
        <w:fldChar w:fldCharType="end"/>
      </w:r>
      <w:r>
        <w:rPr>
          <w:rFonts w:hint="eastAsia"/>
          <w:highlight w:val="none"/>
        </w:rPr>
        <w:fldChar w:fldCharType="end"/>
      </w:r>
    </w:p>
    <w:p w14:paraId="16AEEB77">
      <w:pPr>
        <w:pStyle w:val="17"/>
        <w:bidi w:val="0"/>
        <w:rPr>
          <w:highlight w:val="none"/>
        </w:rPr>
      </w:pPr>
      <w:r>
        <w:rPr>
          <w:rFonts w:hint="eastAsia"/>
          <w:highlight w:val="none"/>
        </w:rPr>
        <w:fldChar w:fldCharType="begin"/>
      </w:r>
      <w:r>
        <w:rPr>
          <w:rFonts w:hint="eastAsia"/>
          <w:highlight w:val="none"/>
        </w:rPr>
        <w:instrText xml:space="preserve"> HYPERLINK \l _Toc14704 </w:instrText>
      </w:r>
      <w:r>
        <w:rPr>
          <w:rFonts w:hint="eastAsia"/>
          <w:highlight w:val="none"/>
        </w:rPr>
        <w:fldChar w:fldCharType="separate"/>
      </w:r>
      <w:r>
        <w:rPr>
          <w:rFonts w:hint="eastAsia"/>
          <w:highlight w:val="none"/>
        </w:rPr>
        <w:t>附件</w:t>
      </w:r>
      <w:r>
        <w:rPr>
          <w:rFonts w:hint="eastAsia"/>
          <w:highlight w:val="none"/>
          <w:lang w:val="en-US" w:eastAsia="zh-CN"/>
        </w:rPr>
        <w:t>16</w:t>
      </w:r>
      <w:r>
        <w:rPr>
          <w:rFonts w:hint="eastAsia"/>
          <w:highlight w:val="none"/>
        </w:rPr>
        <w:t>.投标保证金汇入情况说明格式</w:t>
      </w:r>
      <w:r>
        <w:rPr>
          <w:highlight w:val="none"/>
        </w:rPr>
        <w:tab/>
      </w:r>
      <w:r>
        <w:rPr>
          <w:highlight w:val="none"/>
        </w:rPr>
        <w:fldChar w:fldCharType="begin"/>
      </w:r>
      <w:r>
        <w:rPr>
          <w:highlight w:val="none"/>
        </w:rPr>
        <w:instrText xml:space="preserve"> PAGEREF _Toc14704 \h </w:instrText>
      </w:r>
      <w:r>
        <w:rPr>
          <w:highlight w:val="none"/>
        </w:rPr>
        <w:fldChar w:fldCharType="separate"/>
      </w:r>
      <w:r>
        <w:rPr>
          <w:highlight w:val="none"/>
        </w:rPr>
        <w:t>70</w:t>
      </w:r>
      <w:r>
        <w:rPr>
          <w:highlight w:val="none"/>
        </w:rPr>
        <w:fldChar w:fldCharType="end"/>
      </w:r>
      <w:r>
        <w:rPr>
          <w:rFonts w:hint="eastAsia"/>
          <w:highlight w:val="none"/>
        </w:rPr>
        <w:fldChar w:fldCharType="end"/>
      </w:r>
    </w:p>
    <w:p w14:paraId="7748D169">
      <w:pPr>
        <w:pStyle w:val="17"/>
        <w:bidi w:val="0"/>
        <w:rPr>
          <w:highlight w:val="none"/>
        </w:rPr>
      </w:pPr>
      <w:r>
        <w:rPr>
          <w:rFonts w:hint="eastAsia"/>
          <w:highlight w:val="none"/>
        </w:rPr>
        <w:fldChar w:fldCharType="begin"/>
      </w:r>
      <w:r>
        <w:rPr>
          <w:rFonts w:hint="eastAsia"/>
          <w:highlight w:val="none"/>
        </w:rPr>
        <w:instrText xml:space="preserve"> HYPERLINK \l _Toc29717 </w:instrText>
      </w:r>
      <w:r>
        <w:rPr>
          <w:rFonts w:hint="eastAsia"/>
          <w:highlight w:val="none"/>
        </w:rPr>
        <w:fldChar w:fldCharType="separate"/>
      </w:r>
      <w:r>
        <w:rPr>
          <w:rFonts w:hint="eastAsia"/>
          <w:highlight w:val="none"/>
        </w:rPr>
        <w:t>唱标信封</w:t>
      </w:r>
      <w:r>
        <w:rPr>
          <w:highlight w:val="none"/>
        </w:rPr>
        <w:tab/>
      </w:r>
      <w:r>
        <w:rPr>
          <w:highlight w:val="none"/>
        </w:rPr>
        <w:fldChar w:fldCharType="begin"/>
      </w:r>
      <w:r>
        <w:rPr>
          <w:highlight w:val="none"/>
        </w:rPr>
        <w:instrText xml:space="preserve"> PAGEREF _Toc29717 \h </w:instrText>
      </w:r>
      <w:r>
        <w:rPr>
          <w:highlight w:val="none"/>
        </w:rPr>
        <w:fldChar w:fldCharType="separate"/>
      </w:r>
      <w:r>
        <w:rPr>
          <w:highlight w:val="none"/>
        </w:rPr>
        <w:t>72</w:t>
      </w:r>
      <w:r>
        <w:rPr>
          <w:highlight w:val="none"/>
        </w:rPr>
        <w:fldChar w:fldCharType="end"/>
      </w:r>
      <w:r>
        <w:rPr>
          <w:rFonts w:hint="eastAsia"/>
          <w:highlight w:val="none"/>
        </w:rPr>
        <w:fldChar w:fldCharType="end"/>
      </w:r>
    </w:p>
    <w:p w14:paraId="371AF7B0">
      <w:pPr>
        <w:pStyle w:val="17"/>
        <w:bidi w:val="0"/>
        <w:rPr>
          <w:highlight w:val="none"/>
        </w:rPr>
      </w:pPr>
      <w:r>
        <w:rPr>
          <w:rFonts w:hint="eastAsia"/>
          <w:highlight w:val="none"/>
        </w:rPr>
        <w:fldChar w:fldCharType="begin"/>
      </w:r>
      <w:r>
        <w:rPr>
          <w:rFonts w:hint="eastAsia"/>
          <w:highlight w:val="none"/>
        </w:rPr>
        <w:instrText xml:space="preserve"> HYPERLINK \l _Toc12955 </w:instrText>
      </w:r>
      <w:r>
        <w:rPr>
          <w:rFonts w:hint="eastAsia"/>
          <w:highlight w:val="none"/>
        </w:rPr>
        <w:fldChar w:fldCharType="separate"/>
      </w:r>
      <w:r>
        <w:rPr>
          <w:rFonts w:hint="eastAsia"/>
          <w:highlight w:val="none"/>
        </w:rPr>
        <w:t>附件</w:t>
      </w:r>
      <w:r>
        <w:rPr>
          <w:rFonts w:hint="eastAsia"/>
          <w:highlight w:val="none"/>
          <w:lang w:val="en-US" w:eastAsia="zh-CN"/>
        </w:rPr>
        <w:t>17</w:t>
      </w:r>
      <w:r>
        <w:rPr>
          <w:rFonts w:hint="eastAsia"/>
          <w:highlight w:val="none"/>
        </w:rPr>
        <w:t>.唱标信封内装（内容务必与投标文件正本一致）</w:t>
      </w:r>
      <w:r>
        <w:rPr>
          <w:highlight w:val="none"/>
        </w:rPr>
        <w:tab/>
      </w:r>
      <w:r>
        <w:rPr>
          <w:highlight w:val="none"/>
        </w:rPr>
        <w:fldChar w:fldCharType="begin"/>
      </w:r>
      <w:r>
        <w:rPr>
          <w:highlight w:val="none"/>
        </w:rPr>
        <w:instrText xml:space="preserve"> PAGEREF _Toc12955 \h </w:instrText>
      </w:r>
      <w:r>
        <w:rPr>
          <w:highlight w:val="none"/>
        </w:rPr>
        <w:fldChar w:fldCharType="separate"/>
      </w:r>
      <w:r>
        <w:rPr>
          <w:highlight w:val="none"/>
        </w:rPr>
        <w:t>73</w:t>
      </w:r>
      <w:r>
        <w:rPr>
          <w:highlight w:val="none"/>
        </w:rPr>
        <w:fldChar w:fldCharType="end"/>
      </w:r>
      <w:r>
        <w:rPr>
          <w:rFonts w:hint="eastAsia"/>
          <w:highlight w:val="none"/>
        </w:rPr>
        <w:fldChar w:fldCharType="end"/>
      </w:r>
    </w:p>
    <w:p w14:paraId="4A1E2ADB">
      <w:pPr>
        <w:pStyle w:val="17"/>
        <w:bidi w:val="0"/>
        <w:rPr>
          <w:rFonts w:hint="eastAsia"/>
          <w:highlight w:val="none"/>
        </w:rPr>
      </w:pPr>
      <w:r>
        <w:rPr>
          <w:rFonts w:hint="eastAsia"/>
          <w:highlight w:val="none"/>
        </w:rPr>
        <w:fldChar w:fldCharType="end"/>
      </w:r>
    </w:p>
    <w:p w14:paraId="22D95882">
      <w:pPr>
        <w:pStyle w:val="17"/>
        <w:bidi w:val="0"/>
        <w:rPr>
          <w:rFonts w:hint="eastAsia"/>
          <w:highlight w:val="none"/>
        </w:rPr>
      </w:pPr>
      <w:r>
        <w:rPr>
          <w:rFonts w:hint="eastAsia"/>
          <w:highlight w:val="none"/>
        </w:rPr>
        <w:br w:type="page"/>
      </w:r>
    </w:p>
    <w:p w14:paraId="5192CC52">
      <w:pPr>
        <w:pStyle w:val="3"/>
        <w:shd w:val="clear"/>
        <w:spacing w:before="0" w:after="0" w:line="240" w:lineRule="auto"/>
        <w:rPr>
          <w:rFonts w:hint="eastAsia" w:ascii="宋体" w:hAnsi="宋体" w:eastAsia="宋体" w:cs="宋体"/>
          <w:color w:val="auto"/>
          <w:sz w:val="28"/>
          <w:szCs w:val="28"/>
          <w:highlight w:val="none"/>
        </w:rPr>
      </w:pPr>
      <w:bookmarkStart w:id="0" w:name="_Toc30001"/>
      <w:bookmarkStart w:id="1" w:name="_Toc10646"/>
      <w:bookmarkStart w:id="2" w:name="_Toc5347"/>
      <w:bookmarkStart w:id="3" w:name="_Toc21044"/>
      <w:bookmarkStart w:id="4" w:name="_Toc26450"/>
      <w:bookmarkStart w:id="5" w:name="_Toc26604"/>
      <w:bookmarkStart w:id="6" w:name="_Toc3920"/>
      <w:bookmarkStart w:id="7" w:name="_Toc14716"/>
      <w:r>
        <w:rPr>
          <w:rFonts w:hint="eastAsia" w:ascii="宋体" w:hAnsi="宋体" w:eastAsia="宋体" w:cs="宋体"/>
          <w:color w:val="auto"/>
          <w:sz w:val="28"/>
          <w:szCs w:val="28"/>
          <w:highlight w:val="none"/>
        </w:rPr>
        <w:t>第一部分投标邀请</w:t>
      </w:r>
      <w:bookmarkEnd w:id="0"/>
      <w:bookmarkEnd w:id="1"/>
      <w:bookmarkEnd w:id="2"/>
      <w:bookmarkEnd w:id="3"/>
      <w:bookmarkEnd w:id="4"/>
      <w:bookmarkEnd w:id="5"/>
      <w:bookmarkEnd w:id="6"/>
      <w:bookmarkEnd w:id="7"/>
    </w:p>
    <w:p w14:paraId="5FC677B6">
      <w:pPr>
        <w:pStyle w:val="4"/>
        <w:shd w:val="clear"/>
        <w:spacing w:before="0" w:after="0" w:line="336" w:lineRule="auto"/>
        <w:jc w:val="center"/>
        <w:rPr>
          <w:rFonts w:hint="eastAsia" w:ascii="宋体" w:hAnsi="宋体" w:eastAsia="宋体" w:cs="宋体"/>
          <w:color w:val="auto"/>
          <w:highlight w:val="none"/>
        </w:rPr>
      </w:pPr>
      <w:bookmarkStart w:id="8" w:name="_Toc18591"/>
      <w:bookmarkStart w:id="9" w:name="_Toc28615"/>
      <w:bookmarkStart w:id="10" w:name="_Toc12816"/>
      <w:bookmarkStart w:id="11" w:name="_Toc6977"/>
      <w:bookmarkStart w:id="12" w:name="_Toc18436"/>
      <w:bookmarkStart w:id="13" w:name="_Toc29793"/>
      <w:bookmarkStart w:id="14" w:name="_Toc20534"/>
      <w:bookmarkStart w:id="15" w:name="_Toc8950"/>
      <w:r>
        <w:rPr>
          <w:rFonts w:hint="eastAsia" w:ascii="宋体" w:hAnsi="宋体" w:eastAsia="宋体" w:cs="宋体"/>
          <w:color w:val="auto"/>
          <w:highlight w:val="none"/>
        </w:rPr>
        <w:t>投标邀请书</w:t>
      </w:r>
      <w:bookmarkEnd w:id="8"/>
      <w:bookmarkEnd w:id="9"/>
      <w:bookmarkEnd w:id="10"/>
      <w:bookmarkEnd w:id="11"/>
      <w:bookmarkEnd w:id="12"/>
      <w:bookmarkEnd w:id="13"/>
      <w:bookmarkEnd w:id="14"/>
      <w:bookmarkEnd w:id="15"/>
    </w:p>
    <w:p w14:paraId="55811331">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cs="宋体"/>
          <w:b w:val="0"/>
          <w:bCs w:val="0"/>
          <w:color w:val="auto"/>
          <w:szCs w:val="21"/>
          <w:highlight w:val="none"/>
          <w:u w:val="single"/>
          <w:lang w:eastAsia="zh-CN"/>
        </w:rPr>
        <w:t>广州宏达工程顾问集团有限公司</w:t>
      </w:r>
      <w:r>
        <w:rPr>
          <w:rFonts w:hint="eastAsia" w:ascii="宋体" w:hAnsi="宋体" w:eastAsia="宋体" w:cs="宋体"/>
          <w:color w:val="auto"/>
          <w:szCs w:val="21"/>
          <w:highlight w:val="none"/>
        </w:rPr>
        <w:t>（以下简称“采购代理机构”）受</w:t>
      </w:r>
      <w:r>
        <w:rPr>
          <w:rFonts w:hint="eastAsia" w:ascii="宋体" w:hAnsi="宋体" w:cs="宋体"/>
          <w:b w:val="0"/>
          <w:color w:val="auto"/>
          <w:szCs w:val="21"/>
          <w:highlight w:val="none"/>
          <w:u w:val="single"/>
          <w:lang w:eastAsia="zh-CN"/>
        </w:rPr>
        <w:t>东莞新锋液化石油气有限公司</w:t>
      </w:r>
      <w:r>
        <w:rPr>
          <w:rFonts w:hint="eastAsia" w:ascii="宋体" w:hAnsi="宋体" w:eastAsia="宋体" w:cs="宋体"/>
          <w:color w:val="auto"/>
          <w:szCs w:val="21"/>
          <w:highlight w:val="none"/>
        </w:rPr>
        <w:t>（以下简称“采购人”）委托，现就</w:t>
      </w:r>
      <w:r>
        <w:rPr>
          <w:rFonts w:hint="eastAsia" w:ascii="宋体" w:hAnsi="宋体" w:cs="宋体"/>
          <w:b w:val="0"/>
          <w:color w:val="auto"/>
          <w:szCs w:val="21"/>
          <w:highlight w:val="none"/>
          <w:u w:val="single"/>
          <w:lang w:eastAsia="zh-CN"/>
        </w:rPr>
        <w:t>新锋燃气低值日杂品采购项目（重新采购）</w:t>
      </w:r>
      <w:r>
        <w:rPr>
          <w:rFonts w:hint="eastAsia" w:ascii="宋体" w:hAnsi="宋体" w:eastAsia="宋体" w:cs="宋体"/>
          <w:color w:val="auto"/>
          <w:szCs w:val="21"/>
          <w:highlight w:val="none"/>
        </w:rPr>
        <w:t>（项目编号：</w:t>
      </w:r>
      <w:r>
        <w:rPr>
          <w:rFonts w:hint="eastAsia" w:ascii="宋体" w:hAnsi="宋体" w:cs="宋体"/>
          <w:b w:val="0"/>
          <w:bCs w:val="0"/>
          <w:color w:val="auto"/>
          <w:szCs w:val="21"/>
          <w:highlight w:val="none"/>
          <w:lang w:val="en-US" w:eastAsia="zh-CN"/>
        </w:rPr>
        <w:t>WTZB2026DG0002-1）</w:t>
      </w:r>
      <w:r>
        <w:rPr>
          <w:rFonts w:hint="eastAsia" w:ascii="宋体" w:hAnsi="宋体" w:eastAsia="宋体" w:cs="宋体"/>
          <w:color w:val="auto"/>
          <w:szCs w:val="21"/>
          <w:highlight w:val="none"/>
        </w:rPr>
        <w:t>进行国内公开采购，欢迎符合采购文件要求的国内投标人参加投标。有关事项如下：</w:t>
      </w:r>
    </w:p>
    <w:p w14:paraId="16811135">
      <w:pPr>
        <w:shd w:val="clear"/>
        <w:spacing w:line="360" w:lineRule="auto"/>
        <w:ind w:firstLine="413" w:firstLineChars="196"/>
        <w:rPr>
          <w:rFonts w:hint="eastAsia" w:ascii="宋体" w:hAnsi="宋体" w:eastAsia="宋体" w:cs="宋体"/>
          <w:b/>
          <w:color w:val="auto"/>
          <w:szCs w:val="21"/>
          <w:highlight w:val="none"/>
        </w:rPr>
      </w:pPr>
    </w:p>
    <w:p w14:paraId="0B4E5EE2">
      <w:pPr>
        <w:shd w:val="clear"/>
        <w:spacing w:line="360" w:lineRule="auto"/>
        <w:ind w:firstLine="0"/>
        <w:outlineLvl w:val="9"/>
        <w:rPr>
          <w:rFonts w:hint="eastAsia" w:ascii="宋体" w:hAnsi="宋体" w:eastAsia="宋体" w:cs="宋体"/>
          <w:b/>
          <w:color w:val="auto"/>
          <w:szCs w:val="21"/>
          <w:highlight w:val="none"/>
        </w:rPr>
      </w:pPr>
      <w:bookmarkStart w:id="16" w:name="_Toc31192"/>
      <w:r>
        <w:rPr>
          <w:rFonts w:hint="eastAsia" w:ascii="宋体" w:hAnsi="宋体" w:eastAsia="宋体" w:cs="宋体"/>
          <w:b/>
          <w:color w:val="auto"/>
          <w:szCs w:val="21"/>
          <w:highlight w:val="none"/>
        </w:rPr>
        <w:t>一、采购项目概况</w:t>
      </w:r>
      <w:bookmarkEnd w:id="16"/>
    </w:p>
    <w:p w14:paraId="6722C16C">
      <w:pPr>
        <w:shd w:val="clear"/>
        <w:spacing w:line="360" w:lineRule="auto"/>
        <w:ind w:firstLine="0" w:firstLineChars="0"/>
        <w:jc w:val="left"/>
        <w:outlineLvl w:val="9"/>
        <w:rPr>
          <w:rFonts w:hint="eastAsia" w:ascii="宋体" w:hAnsi="宋体" w:eastAsia="宋体" w:cs="宋体"/>
          <w:bCs/>
          <w:color w:val="auto"/>
          <w:szCs w:val="21"/>
          <w:highlight w:val="none"/>
          <w:lang w:eastAsia="zh-CN"/>
        </w:rPr>
      </w:pPr>
      <w:bookmarkStart w:id="17" w:name="_Toc6791"/>
      <w:r>
        <w:rPr>
          <w:rFonts w:hint="eastAsia" w:ascii="宋体" w:hAnsi="宋体" w:eastAsia="宋体" w:cs="宋体"/>
          <w:color w:val="auto"/>
          <w:szCs w:val="21"/>
          <w:highlight w:val="none"/>
        </w:rPr>
        <w:t>1、采购项目名称：</w:t>
      </w:r>
      <w:bookmarkEnd w:id="17"/>
      <w:r>
        <w:rPr>
          <w:rFonts w:hint="eastAsia" w:ascii="宋体" w:hAnsi="宋体" w:cs="宋体"/>
          <w:b w:val="0"/>
          <w:bCs/>
          <w:color w:val="auto"/>
          <w:szCs w:val="21"/>
          <w:highlight w:val="none"/>
          <w:u w:val="none"/>
          <w:lang w:eastAsia="zh-CN"/>
        </w:rPr>
        <w:t>新锋燃气低值日杂品采购项目（重新采购）</w:t>
      </w:r>
    </w:p>
    <w:p w14:paraId="5F9711E3">
      <w:pPr>
        <w:shd w:val="clear"/>
        <w:spacing w:line="360" w:lineRule="auto"/>
        <w:ind w:firstLine="0" w:firstLineChars="0"/>
        <w:jc w:val="left"/>
        <w:outlineLvl w:val="9"/>
        <w:rPr>
          <w:rFonts w:hint="eastAsia" w:ascii="宋体" w:hAnsi="宋体" w:eastAsia="宋体" w:cs="宋体"/>
          <w:color w:val="auto"/>
          <w:szCs w:val="21"/>
          <w:highlight w:val="none"/>
        </w:rPr>
      </w:pPr>
      <w:bookmarkStart w:id="18" w:name="_Toc10982"/>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rPr>
        <w:t>、项目需求</w:t>
      </w:r>
      <w:bookmarkEnd w:id="18"/>
    </w:p>
    <w:p w14:paraId="229DD050">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详细内容请参阅采购文件第三部分《用户需求书》。</w:t>
      </w:r>
    </w:p>
    <w:p w14:paraId="0FE473D7">
      <w:pPr>
        <w:shd w:val="clear"/>
        <w:spacing w:line="336" w:lineRule="auto"/>
        <w:rPr>
          <w:rFonts w:hint="default" w:ascii="宋体" w:hAnsi="宋体"/>
          <w:color w:val="auto"/>
          <w:szCs w:val="21"/>
          <w:highlight w:val="none"/>
          <w:lang w:val="en-US" w:eastAsia="zh-CN"/>
        </w:rPr>
      </w:pPr>
      <w:r>
        <w:rPr>
          <w:rFonts w:hint="default" w:ascii="宋体" w:hAnsi="宋体"/>
          <w:color w:val="auto"/>
          <w:szCs w:val="21"/>
          <w:highlight w:val="none"/>
          <w:lang w:val="en-US" w:eastAsia="zh-CN"/>
        </w:rPr>
        <w:t>3、</w:t>
      </w:r>
      <w:r>
        <w:rPr>
          <w:rFonts w:hint="eastAsia" w:ascii="宋体" w:hAnsi="宋体"/>
          <w:color w:val="auto"/>
          <w:szCs w:val="21"/>
          <w:highlight w:val="none"/>
          <w:lang w:val="en-US" w:eastAsia="zh-CN"/>
        </w:rPr>
        <w:t>本项目无具体预算金额。</w:t>
      </w:r>
    </w:p>
    <w:p w14:paraId="09A4E648">
      <w:pPr>
        <w:shd w:val="clear"/>
        <w:spacing w:line="336" w:lineRule="auto"/>
        <w:rPr>
          <w:rFonts w:hint="eastAsia" w:asciiTheme="minorEastAsia" w:hAnsiTheme="minorEastAsia"/>
          <w:color w:val="auto"/>
          <w:szCs w:val="21"/>
          <w:highlight w:val="none"/>
        </w:rPr>
      </w:pPr>
      <w:r>
        <w:rPr>
          <w:rFonts w:hint="eastAsia" w:ascii="宋体" w:hAnsi="宋体"/>
          <w:color w:val="auto"/>
          <w:szCs w:val="21"/>
          <w:highlight w:val="none"/>
          <w:lang w:val="en-US" w:eastAsia="zh-CN"/>
        </w:rPr>
        <w:t>4、</w:t>
      </w:r>
      <w:r>
        <w:rPr>
          <w:rFonts w:hint="default" w:ascii="宋体" w:hAnsi="宋体"/>
          <w:color w:val="auto"/>
          <w:szCs w:val="21"/>
          <w:highlight w:val="none"/>
          <w:lang w:val="en-US" w:eastAsia="zh-CN"/>
        </w:rPr>
        <w:t>最低</w:t>
      </w:r>
      <w:r>
        <w:rPr>
          <w:rFonts w:hint="eastAsia" w:ascii="宋体" w:hAnsi="宋体"/>
          <w:color w:val="auto"/>
          <w:szCs w:val="21"/>
          <w:highlight w:val="none"/>
          <w:lang w:val="en-US" w:eastAsia="zh-CN"/>
        </w:rPr>
        <w:t>单价</w:t>
      </w:r>
      <w:r>
        <w:rPr>
          <w:rFonts w:hint="default" w:ascii="宋体" w:hAnsi="宋体"/>
          <w:color w:val="auto"/>
          <w:szCs w:val="21"/>
          <w:highlight w:val="none"/>
          <w:lang w:val="en-US" w:eastAsia="zh-CN"/>
        </w:rPr>
        <w:t>限价下浮率:</w:t>
      </w:r>
      <w:r>
        <w:rPr>
          <w:rFonts w:hint="eastAsia" w:ascii="宋体" w:hAnsi="宋体"/>
          <w:color w:val="auto"/>
          <w:szCs w:val="21"/>
          <w:highlight w:val="none"/>
          <w:lang w:val="en-US" w:eastAsia="zh-CN"/>
        </w:rPr>
        <w:t>3</w:t>
      </w:r>
      <w:r>
        <w:rPr>
          <w:rFonts w:hint="default" w:ascii="宋体" w:hAnsi="宋体"/>
          <w:color w:val="auto"/>
          <w:szCs w:val="21"/>
          <w:highlight w:val="none"/>
          <w:lang w:val="en-US" w:eastAsia="zh-CN"/>
        </w:rPr>
        <w:t>.00%</w:t>
      </w:r>
    </w:p>
    <w:p w14:paraId="5FBECC0C">
      <w:pPr>
        <w:shd w:val="clear"/>
        <w:spacing w:line="360" w:lineRule="auto"/>
        <w:ind w:firstLine="0" w:firstLineChars="0"/>
        <w:outlineLvl w:val="9"/>
        <w:rPr>
          <w:rFonts w:hint="eastAsia" w:ascii="宋体" w:hAnsi="宋体" w:eastAsia="宋体" w:cs="宋体"/>
          <w:b/>
          <w:color w:val="auto"/>
          <w:szCs w:val="21"/>
          <w:highlight w:val="none"/>
        </w:rPr>
      </w:pPr>
      <w:bookmarkStart w:id="19" w:name="_Toc7463"/>
      <w:r>
        <w:rPr>
          <w:rFonts w:hint="eastAsia" w:ascii="宋体" w:hAnsi="宋体" w:eastAsia="宋体" w:cs="宋体"/>
          <w:b/>
          <w:color w:val="auto"/>
          <w:szCs w:val="21"/>
          <w:highlight w:val="none"/>
        </w:rPr>
        <w:t>二、投标人资格要求</w:t>
      </w:r>
      <w:bookmarkEnd w:id="19"/>
    </w:p>
    <w:p w14:paraId="09DD5FBC">
      <w:pPr>
        <w:shd w:val="clear"/>
        <w:spacing w:line="360" w:lineRule="auto"/>
        <w:ind w:firstLine="0" w:firstLineChars="0"/>
        <w:outlineLvl w:val="9"/>
        <w:rPr>
          <w:rFonts w:hint="eastAsia" w:ascii="宋体" w:hAnsi="宋体" w:eastAsia="宋体" w:cs="宋体"/>
          <w:color w:val="auto"/>
          <w:szCs w:val="21"/>
          <w:highlight w:val="none"/>
        </w:rPr>
      </w:pPr>
      <w:bookmarkStart w:id="20" w:name="_Toc7890"/>
      <w:r>
        <w:rPr>
          <w:rFonts w:hint="eastAsia" w:ascii="宋体" w:hAnsi="宋体" w:eastAsia="宋体" w:cs="宋体"/>
          <w:color w:val="auto"/>
          <w:szCs w:val="21"/>
          <w:highlight w:val="none"/>
        </w:rPr>
        <w:t>1、一般要求：</w:t>
      </w:r>
      <w:bookmarkEnd w:id="20"/>
    </w:p>
    <w:p w14:paraId="20ADB6BC">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投标人须为在中华人民共和国境内登记注册的具有独立承担民事责任能力的法人或其他组织【提供《营业执照》复印件（加盖公章）或《事业单位法人证书》复印件（加盖公章）或其他主体证书复印件（加盖公章）】。</w:t>
      </w:r>
    </w:p>
    <w:p w14:paraId="3C981B00">
      <w:pPr>
        <w:shd w:val="clear"/>
        <w:spacing w:line="360" w:lineRule="auto"/>
        <w:ind w:firstLine="420" w:firstLineChars="200"/>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（2）投标人</w:t>
      </w:r>
      <w:r>
        <w:rPr>
          <w:rFonts w:hint="eastAsia" w:ascii="宋体" w:hAnsi="宋体" w:cs="宋体"/>
          <w:color w:val="auto"/>
          <w:szCs w:val="21"/>
          <w:highlight w:val="none"/>
          <w:lang w:val="en-US" w:eastAsia="zh-CN"/>
        </w:rPr>
        <w:t>具备以下情形：具有有效期的《食品生产许可证》或《食品经营许可证》或</w:t>
      </w:r>
      <w:r>
        <w:rPr>
          <w:rFonts w:hint="eastAsia"/>
          <w:color w:val="auto"/>
          <w:highlight w:val="none"/>
        </w:rPr>
        <w:t>《仅销售预包装食品经营者备案凭证》</w:t>
      </w:r>
      <w:r>
        <w:rPr>
          <w:rFonts w:hint="eastAsia"/>
          <w:color w:val="auto"/>
          <w:highlight w:val="none"/>
          <w:lang w:eastAsia="zh-CN"/>
        </w:rPr>
        <w:t>，</w:t>
      </w:r>
      <w:r>
        <w:rPr>
          <w:rFonts w:hint="eastAsia"/>
          <w:color w:val="auto"/>
          <w:highlight w:val="none"/>
          <w:lang w:val="en-US" w:eastAsia="zh-CN"/>
        </w:rPr>
        <w:t>投标时提供证书复印件并加盖公章</w:t>
      </w:r>
      <w:r>
        <w:rPr>
          <w:rFonts w:hint="eastAsia" w:ascii="宋体" w:hAnsi="宋体" w:eastAsia="宋体" w:cs="宋体"/>
          <w:color w:val="auto"/>
          <w:szCs w:val="21"/>
          <w:highlight w:val="none"/>
          <w:lang w:val="en-US" w:eastAsia="zh-CN"/>
        </w:rPr>
        <w:t>。</w:t>
      </w:r>
    </w:p>
    <w:p w14:paraId="03B2672D">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cs="宋体"/>
          <w:color w:val="auto"/>
          <w:szCs w:val="21"/>
          <w:highlight w:val="none"/>
          <w:lang w:val="en-US" w:eastAsia="zh-CN"/>
        </w:rPr>
        <w:t>3</w:t>
      </w:r>
      <w:r>
        <w:rPr>
          <w:rFonts w:hint="eastAsia" w:ascii="宋体" w:hAnsi="宋体" w:eastAsia="宋体" w:cs="宋体"/>
          <w:color w:val="auto"/>
          <w:szCs w:val="21"/>
          <w:highlight w:val="none"/>
        </w:rPr>
        <w:t>）参加采购活动前三年内，在经营活动中没有重大违法记录（须提供书面声明）。重大违法记录，是指</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如有最新发文通知，按最新文件执行）。</w:t>
      </w:r>
    </w:p>
    <w:p w14:paraId="7F13CCE5">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rPr>
        <w:t>）投标人的单位负责人为同一人或者存在直接控股、管理关系的不同投标人，不得参加同一合同项下的采购活动。</w:t>
      </w:r>
    </w:p>
    <w:p w14:paraId="12068ED0">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cs="宋体"/>
          <w:color w:val="auto"/>
          <w:szCs w:val="21"/>
          <w:highlight w:val="none"/>
          <w:lang w:val="en-US" w:eastAsia="zh-CN"/>
        </w:rPr>
        <w:t>5</w:t>
      </w:r>
      <w:r>
        <w:rPr>
          <w:rFonts w:hint="eastAsia" w:ascii="宋体" w:hAnsi="宋体" w:eastAsia="宋体" w:cs="宋体"/>
          <w:color w:val="auto"/>
          <w:szCs w:val="21"/>
          <w:highlight w:val="none"/>
        </w:rPr>
        <w:t>）未被列入“信用中国”网站</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 xml:space="preserve">www.creditchina.gov.cn </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“记录失信被执行人或重大税收违法失信主体或政府采购严重违法失信行为”记录名单。以代理机构于投标截止日当天在“信用中国”网站查询结果为准，如相关失信记录已失效，投标人需提供相关证明资料。</w:t>
      </w:r>
    </w:p>
    <w:p w14:paraId="438E89E2">
      <w:pPr>
        <w:shd w:val="clear"/>
        <w:spacing w:line="360" w:lineRule="auto"/>
        <w:ind w:firstLine="420" w:firstLineChars="200"/>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lang w:eastAsia="zh-CN"/>
        </w:rPr>
        <w:t>）投标人未被列入东实集团及下属企业工程建设领域黑名单【以东莞实业投资控股集团有限公司发文（东实通〔2021〕44号）、（东实通〔2021〕98号）、（东实通〔2022〕75号）、（东实通〔2023〕37号）为准，如有最新发文通知，按最新文件执行】。</w:t>
      </w:r>
    </w:p>
    <w:p w14:paraId="1CB0BC48">
      <w:pPr>
        <w:shd w:val="clear"/>
        <w:spacing w:line="360" w:lineRule="auto"/>
        <w:ind w:firstLine="0" w:firstLineChars="0"/>
        <w:outlineLvl w:val="9"/>
        <w:rPr>
          <w:rFonts w:hint="eastAsia" w:ascii="宋体" w:hAnsi="宋体" w:eastAsia="宋体" w:cs="宋体"/>
          <w:color w:val="auto"/>
          <w:szCs w:val="21"/>
          <w:highlight w:val="none"/>
        </w:rPr>
      </w:pPr>
      <w:bookmarkStart w:id="21" w:name="_Toc30588"/>
      <w:r>
        <w:rPr>
          <w:rFonts w:hint="eastAsia" w:ascii="宋体" w:hAnsi="宋体" w:eastAsia="宋体" w:cs="宋体"/>
          <w:color w:val="auto"/>
          <w:szCs w:val="21"/>
          <w:highlight w:val="none"/>
        </w:rPr>
        <w:t>2、其他要求</w:t>
      </w:r>
      <w:bookmarkEnd w:id="21"/>
    </w:p>
    <w:p w14:paraId="7381D770">
      <w:pPr>
        <w:numPr>
          <w:ilvl w:val="-1"/>
          <w:numId w:val="0"/>
        </w:numPr>
        <w:shd w:val="clear"/>
        <w:adjustRightInd/>
        <w:spacing w:line="360" w:lineRule="auto"/>
        <w:ind w:right="53" w:firstLine="420" w:firstLineChars="200"/>
        <w:textAlignment w:val="bottom"/>
        <w:rPr>
          <w:rFonts w:hint="eastAsia" w:ascii="宋体" w:hAnsi="宋体" w:eastAsia="宋体" w:cs="宋体"/>
          <w:color w:val="auto"/>
          <w:highlight w:val="none"/>
        </w:rPr>
      </w:pPr>
      <w:r>
        <w:rPr>
          <w:rFonts w:hint="eastAsia" w:hAnsi="宋体"/>
          <w:color w:val="auto"/>
          <w:kern w:val="2"/>
          <w:sz w:val="21"/>
          <w:szCs w:val="21"/>
          <w:highlight w:val="none"/>
        </w:rPr>
        <w:t>本项目不接受联合体投标</w:t>
      </w:r>
      <w:r>
        <w:rPr>
          <w:rFonts w:hint="eastAsia" w:ascii="宋体" w:hAnsi="宋体" w:eastAsia="宋体" w:cs="宋体"/>
          <w:color w:val="auto"/>
          <w:highlight w:val="none"/>
          <w:u w:val="none"/>
        </w:rPr>
        <w:t>。</w:t>
      </w:r>
    </w:p>
    <w:p w14:paraId="543664E3">
      <w:pPr>
        <w:shd w:val="clear"/>
        <w:spacing w:line="360" w:lineRule="auto"/>
        <w:ind w:firstLine="0" w:firstLineChars="0"/>
        <w:outlineLvl w:val="9"/>
        <w:rPr>
          <w:rFonts w:hint="eastAsia" w:ascii="宋体" w:hAnsi="宋体" w:eastAsia="宋体" w:cs="宋体"/>
          <w:b/>
          <w:color w:val="auto"/>
          <w:szCs w:val="21"/>
          <w:highlight w:val="none"/>
        </w:rPr>
      </w:pPr>
      <w:bookmarkStart w:id="22" w:name="_Toc24499"/>
      <w:r>
        <w:rPr>
          <w:rFonts w:hint="eastAsia" w:ascii="宋体" w:hAnsi="宋体" w:eastAsia="宋体" w:cs="宋体"/>
          <w:b/>
          <w:color w:val="auto"/>
          <w:szCs w:val="21"/>
          <w:highlight w:val="none"/>
        </w:rPr>
        <w:t>三、获取采购文件方式及要求：</w:t>
      </w:r>
      <w:bookmarkEnd w:id="22"/>
    </w:p>
    <w:p w14:paraId="2414B73D">
      <w:pPr>
        <w:keepNext w:val="0"/>
        <w:keepLines w:val="0"/>
        <w:pageBreakBefore w:val="0"/>
        <w:widowControl/>
        <w:shd w:val="clear"/>
        <w:kinsoku/>
        <w:wordWrap w:val="0"/>
        <w:overflowPunct/>
        <w:topLinePunct/>
        <w:autoSpaceDE/>
        <w:autoSpaceDN/>
        <w:bidi w:val="0"/>
        <w:adjustRightInd w:val="0"/>
        <w:snapToGrid w:val="0"/>
        <w:spacing w:line="360" w:lineRule="auto"/>
        <w:ind w:firstLine="420" w:firstLineChars="200"/>
        <w:textAlignment w:val="auto"/>
        <w:rPr>
          <w:rFonts w:hint="eastAsia" w:ascii="宋体" w:hAnsi="宋体" w:cs="宋体"/>
          <w:color w:val="auto"/>
          <w:szCs w:val="21"/>
          <w:highlight w:val="none"/>
          <w:lang w:eastAsia="zh-CN"/>
        </w:rPr>
      </w:pPr>
      <w:bookmarkStart w:id="23" w:name="_Toc28383"/>
      <w:r>
        <w:rPr>
          <w:rFonts w:hint="eastAsia" w:ascii="宋体" w:hAnsi="宋体" w:cs="宋体"/>
          <w:color w:val="auto"/>
          <w:szCs w:val="21"/>
          <w:highlight w:val="none"/>
          <w:lang w:eastAsia="zh-CN"/>
        </w:rPr>
        <w:t>本项目不进行实名登记报名，拟参加投标的投标人可于投标截止时间前自行网上下载采购文件。采购文件下载地址：</w:t>
      </w:r>
      <w:r>
        <w:rPr>
          <w:rFonts w:hint="eastAsia" w:ascii="宋体" w:hAnsi="宋体" w:eastAsia="宋体" w:cs="宋体"/>
          <w:bCs/>
          <w:color w:val="auto"/>
          <w:sz w:val="21"/>
          <w:szCs w:val="21"/>
          <w:highlight w:val="none"/>
          <w:u w:val="single"/>
          <w:lang w:val="en-US" w:eastAsia="zh-CN" w:bidi="ar-SA"/>
        </w:rPr>
        <w:t>中国招标投标公共服务平台（http://www.cebpubservice.com/）</w:t>
      </w:r>
      <w:r>
        <w:rPr>
          <w:rFonts w:hint="eastAsia" w:ascii="宋体" w:hAnsi="宋体" w:cs="宋体"/>
          <w:bCs/>
          <w:color w:val="auto"/>
          <w:sz w:val="21"/>
          <w:szCs w:val="21"/>
          <w:highlight w:val="none"/>
          <w:u w:val="single"/>
          <w:lang w:val="en-US" w:eastAsia="zh-CN" w:bidi="ar-SA"/>
        </w:rPr>
        <w:t>、</w:t>
      </w:r>
      <w:r>
        <w:rPr>
          <w:rFonts w:hint="eastAsia" w:ascii="宋体" w:hAnsi="宋体" w:eastAsia="宋体" w:cs="宋体"/>
          <w:bCs/>
          <w:color w:val="auto"/>
          <w:sz w:val="21"/>
          <w:szCs w:val="21"/>
          <w:highlight w:val="none"/>
          <w:u w:val="single"/>
          <w:lang w:val="en-US" w:eastAsia="zh-CN" w:bidi="ar-SA"/>
        </w:rPr>
        <w:t>东莞实业投资控股集团有限公司-招标采购栏目（http://www.dgsy.com.cn/）</w:t>
      </w:r>
      <w:r>
        <w:rPr>
          <w:rFonts w:hint="eastAsia" w:ascii="宋体" w:hAnsi="宋体" w:cs="宋体"/>
          <w:bCs/>
          <w:color w:val="auto"/>
          <w:sz w:val="21"/>
          <w:szCs w:val="21"/>
          <w:highlight w:val="none"/>
          <w:u w:val="single"/>
          <w:lang w:val="en-US" w:eastAsia="zh-CN" w:bidi="ar-SA"/>
        </w:rPr>
        <w:t>、</w:t>
      </w:r>
      <w:r>
        <w:rPr>
          <w:rFonts w:hint="eastAsia" w:ascii="宋体" w:hAnsi="宋体" w:eastAsia="宋体" w:cs="宋体"/>
          <w:color w:val="auto"/>
          <w:sz w:val="21"/>
          <w:szCs w:val="21"/>
          <w:highlight w:val="none"/>
          <w:u w:val="single"/>
          <w:lang w:eastAsia="zh-CN"/>
        </w:rPr>
        <w:t>广州宏达工程顾问集团有限公司</w:t>
      </w:r>
      <w:r>
        <w:rPr>
          <w:rFonts w:hint="eastAsia" w:ascii="宋体" w:hAnsi="宋体" w:eastAsia="宋体" w:cs="宋体"/>
          <w:color w:val="auto"/>
          <w:sz w:val="21"/>
          <w:szCs w:val="21"/>
          <w:highlight w:val="none"/>
          <w:u w:val="single"/>
        </w:rPr>
        <w:t>网站</w:t>
      </w:r>
      <w:r>
        <w:rPr>
          <w:rFonts w:hint="eastAsia" w:ascii="宋体" w:hAnsi="宋体" w:eastAsia="宋体" w:cs="宋体"/>
          <w:bCs/>
          <w:color w:val="auto"/>
          <w:sz w:val="21"/>
          <w:szCs w:val="21"/>
          <w:highlight w:val="none"/>
          <w:u w:val="single"/>
          <w:lang w:eastAsia="zh-CN"/>
        </w:rPr>
        <w:t>（http://www.wangtat.com.cn/）</w:t>
      </w:r>
      <w:r>
        <w:rPr>
          <w:rFonts w:hint="eastAsia" w:ascii="宋体" w:hAnsi="宋体" w:cs="宋体"/>
          <w:color w:val="auto"/>
          <w:szCs w:val="21"/>
          <w:highlight w:val="none"/>
          <w:u w:val="single"/>
          <w:lang w:eastAsia="zh-CN"/>
        </w:rPr>
        <w:t>。</w:t>
      </w:r>
    </w:p>
    <w:p w14:paraId="1C5CE6B0">
      <w:pPr>
        <w:shd w:val="clear"/>
        <w:spacing w:line="360" w:lineRule="auto"/>
        <w:ind w:firstLine="0" w:firstLineChars="0"/>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四、投标文件的递交</w:t>
      </w:r>
      <w:bookmarkEnd w:id="23"/>
    </w:p>
    <w:p w14:paraId="3DEDEDCA">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1、递交投标文件时间：</w:t>
      </w:r>
      <w:r>
        <w:rPr>
          <w:rFonts w:hint="eastAsia" w:ascii="宋体" w:hAnsi="宋体" w:cs="宋体"/>
          <w:color w:val="auto"/>
          <w:szCs w:val="21"/>
          <w:highlight w:val="none"/>
          <w:u w:val="single"/>
          <w:lang w:val="en-US" w:eastAsia="zh-CN"/>
        </w:rPr>
        <w:t>2026</w:t>
      </w:r>
      <w:r>
        <w:rPr>
          <w:rFonts w:hint="eastAsia" w:ascii="宋体" w:hAnsi="宋体" w:eastAsia="宋体" w:cs="宋体"/>
          <w:color w:val="auto"/>
          <w:szCs w:val="21"/>
          <w:highlight w:val="none"/>
        </w:rPr>
        <w:t>年</w:t>
      </w:r>
      <w:r>
        <w:rPr>
          <w:rFonts w:hint="eastAsia" w:ascii="宋体" w:hAnsi="宋体" w:cs="宋体"/>
          <w:color w:val="auto"/>
          <w:szCs w:val="21"/>
          <w:highlight w:val="none"/>
          <w:u w:val="single"/>
          <w:lang w:val="en-US" w:eastAsia="zh-CN"/>
        </w:rPr>
        <w:t xml:space="preserve"> 6 </w:t>
      </w:r>
      <w:r>
        <w:rPr>
          <w:rFonts w:hint="eastAsia" w:ascii="宋体" w:hAnsi="宋体" w:eastAsia="宋体" w:cs="宋体"/>
          <w:color w:val="auto"/>
          <w:szCs w:val="21"/>
          <w:highlight w:val="none"/>
        </w:rPr>
        <w:t>月</w:t>
      </w:r>
      <w:r>
        <w:rPr>
          <w:rFonts w:hint="eastAsia" w:ascii="宋体" w:hAnsi="宋体" w:cs="宋体"/>
          <w:color w:val="auto"/>
          <w:szCs w:val="21"/>
          <w:highlight w:val="none"/>
          <w:u w:val="single"/>
          <w:lang w:val="en-US" w:eastAsia="zh-CN"/>
        </w:rPr>
        <w:t xml:space="preserve"> 10 </w:t>
      </w:r>
      <w:r>
        <w:rPr>
          <w:rFonts w:hint="eastAsia" w:ascii="宋体" w:hAnsi="宋体" w:eastAsia="宋体" w:cs="宋体"/>
          <w:color w:val="auto"/>
          <w:szCs w:val="21"/>
          <w:highlight w:val="none"/>
        </w:rPr>
        <w:t>日（北京时间）</w:t>
      </w:r>
      <w:r>
        <w:rPr>
          <w:rFonts w:hint="eastAsia" w:ascii="宋体" w:hAnsi="宋体" w:cs="宋体"/>
          <w:color w:val="auto"/>
          <w:szCs w:val="21"/>
          <w:highlight w:val="none"/>
          <w:u w:val="single"/>
          <w:lang w:val="en-US" w:eastAsia="zh-CN"/>
        </w:rPr>
        <w:t>09</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lang w:val="en-US" w:eastAsia="zh-CN"/>
        </w:rPr>
        <w:t>00</w:t>
      </w:r>
      <w:r>
        <w:rPr>
          <w:rFonts w:hint="eastAsia" w:ascii="宋体" w:hAnsi="宋体" w:eastAsia="宋体" w:cs="宋体"/>
          <w:color w:val="auto"/>
          <w:szCs w:val="21"/>
          <w:highlight w:val="none"/>
        </w:rPr>
        <w:t>-</w:t>
      </w:r>
      <w:r>
        <w:rPr>
          <w:rFonts w:hint="eastAsia" w:ascii="宋体" w:hAnsi="宋体" w:cs="宋体"/>
          <w:color w:val="auto"/>
          <w:szCs w:val="21"/>
          <w:highlight w:val="none"/>
          <w:u w:val="single"/>
          <w:lang w:val="en-US" w:eastAsia="zh-CN"/>
        </w:rPr>
        <w:t>09</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lang w:val="en-US" w:eastAsia="zh-CN"/>
        </w:rPr>
        <w:t>30</w:t>
      </w:r>
      <w:r>
        <w:rPr>
          <w:rFonts w:hint="eastAsia" w:ascii="宋体" w:hAnsi="宋体" w:eastAsia="宋体" w:cs="宋体"/>
          <w:color w:val="auto"/>
          <w:szCs w:val="21"/>
          <w:highlight w:val="none"/>
        </w:rPr>
        <w:t>。</w:t>
      </w:r>
    </w:p>
    <w:p w14:paraId="1BC2A4B3">
      <w:pPr>
        <w:shd w:val="clear"/>
        <w:spacing w:line="360" w:lineRule="auto"/>
        <w:ind w:firstLine="420" w:firstLineChars="200"/>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2、递交投标文件截止及开标时间：</w:t>
      </w:r>
      <w:r>
        <w:rPr>
          <w:rFonts w:hint="eastAsia" w:ascii="宋体" w:hAnsi="宋体" w:cs="宋体"/>
          <w:color w:val="auto"/>
          <w:szCs w:val="21"/>
          <w:highlight w:val="none"/>
          <w:u w:val="single"/>
          <w:lang w:val="en-US" w:eastAsia="zh-CN"/>
        </w:rPr>
        <w:t>2026</w:t>
      </w:r>
      <w:r>
        <w:rPr>
          <w:rFonts w:hint="eastAsia" w:ascii="宋体" w:hAnsi="宋体" w:eastAsia="宋体" w:cs="宋体"/>
          <w:color w:val="auto"/>
          <w:szCs w:val="21"/>
          <w:highlight w:val="none"/>
        </w:rPr>
        <w:t>年</w:t>
      </w:r>
      <w:r>
        <w:rPr>
          <w:rFonts w:hint="eastAsia" w:ascii="宋体" w:hAnsi="宋体" w:cs="宋体"/>
          <w:color w:val="auto"/>
          <w:szCs w:val="21"/>
          <w:highlight w:val="none"/>
          <w:u w:val="single"/>
          <w:lang w:val="en-US" w:eastAsia="zh-CN"/>
        </w:rPr>
        <w:t xml:space="preserve"> 6 </w:t>
      </w:r>
      <w:r>
        <w:rPr>
          <w:rFonts w:hint="eastAsia" w:ascii="宋体" w:hAnsi="宋体" w:eastAsia="宋体" w:cs="宋体"/>
          <w:color w:val="auto"/>
          <w:szCs w:val="21"/>
          <w:highlight w:val="none"/>
        </w:rPr>
        <w:t>月</w:t>
      </w:r>
      <w:r>
        <w:rPr>
          <w:rFonts w:hint="eastAsia" w:ascii="宋体" w:hAnsi="宋体" w:cs="宋体"/>
          <w:color w:val="auto"/>
          <w:szCs w:val="21"/>
          <w:highlight w:val="none"/>
          <w:u w:val="single"/>
          <w:lang w:val="en-US" w:eastAsia="zh-CN"/>
        </w:rPr>
        <w:t xml:space="preserve"> 10 </w:t>
      </w:r>
      <w:r>
        <w:rPr>
          <w:rFonts w:hint="eastAsia" w:ascii="宋体" w:hAnsi="宋体" w:eastAsia="宋体" w:cs="宋体"/>
          <w:color w:val="auto"/>
          <w:szCs w:val="21"/>
          <w:highlight w:val="none"/>
        </w:rPr>
        <w:t>日</w:t>
      </w:r>
      <w:r>
        <w:rPr>
          <w:rFonts w:hint="eastAsia" w:ascii="宋体" w:hAnsi="宋体" w:cs="宋体"/>
          <w:color w:val="auto"/>
          <w:szCs w:val="21"/>
          <w:highlight w:val="none"/>
          <w:u w:val="single"/>
          <w:lang w:val="en-US" w:eastAsia="zh-CN"/>
        </w:rPr>
        <w:t>09：</w:t>
      </w:r>
      <w:r>
        <w:rPr>
          <w:rFonts w:hint="eastAsia" w:ascii="宋体" w:hAnsi="宋体" w:eastAsia="宋体" w:cs="宋体"/>
          <w:color w:val="auto"/>
          <w:szCs w:val="21"/>
          <w:highlight w:val="none"/>
          <w:u w:val="single"/>
          <w:lang w:val="en-US" w:eastAsia="zh-CN"/>
        </w:rPr>
        <w:t>30</w:t>
      </w:r>
      <w:r>
        <w:rPr>
          <w:rFonts w:hint="eastAsia" w:ascii="宋体" w:hAnsi="宋体" w:eastAsia="宋体" w:cs="宋体"/>
          <w:color w:val="auto"/>
          <w:szCs w:val="21"/>
          <w:highlight w:val="none"/>
        </w:rPr>
        <w:t>（北京时间），所有投标文件应于截止时间之前递交，迟交或以电报、传真形式的投标文件将拒绝接收。</w:t>
      </w:r>
    </w:p>
    <w:p w14:paraId="61C85F00">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3、开标地点：</w:t>
      </w:r>
      <w:r>
        <w:rPr>
          <w:rFonts w:hint="eastAsia" w:ascii="宋体" w:hAnsi="宋体" w:cs="宋体"/>
          <w:color w:val="auto"/>
          <w:szCs w:val="21"/>
          <w:highlight w:val="none"/>
          <w:u w:val="single"/>
          <w:lang w:eastAsia="zh-CN"/>
        </w:rPr>
        <w:t>广东省东莞市南城街道宏图路105号1栋313室</w:t>
      </w:r>
      <w:r>
        <w:rPr>
          <w:rFonts w:hint="eastAsia" w:ascii="宋体" w:hAnsi="宋体" w:eastAsia="宋体" w:cs="宋体"/>
          <w:color w:val="auto"/>
          <w:szCs w:val="21"/>
          <w:highlight w:val="none"/>
          <w:u w:val="single"/>
        </w:rPr>
        <w:t>。</w:t>
      </w:r>
    </w:p>
    <w:p w14:paraId="6488211A">
      <w:pPr>
        <w:shd w:val="clear"/>
        <w:spacing w:line="360" w:lineRule="auto"/>
        <w:ind w:firstLine="411" w:firstLineChars="196"/>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4、开标事宜：</w:t>
      </w:r>
      <w:r>
        <w:rPr>
          <w:rFonts w:hint="eastAsia" w:ascii="宋体" w:hAnsi="宋体" w:eastAsia="宋体" w:cs="宋体"/>
          <w:b/>
          <w:bCs/>
          <w:color w:val="auto"/>
          <w:szCs w:val="21"/>
          <w:highlight w:val="none"/>
        </w:rPr>
        <w:t>届时请投标人的法定代表人或其授权代表务必携带有效身份证明出席开标会</w:t>
      </w:r>
      <w:r>
        <w:rPr>
          <w:rFonts w:hint="eastAsia" w:ascii="宋体" w:hAnsi="宋体" w:eastAsia="宋体" w:cs="宋体"/>
          <w:bCs/>
          <w:color w:val="auto"/>
          <w:szCs w:val="21"/>
          <w:highlight w:val="none"/>
        </w:rPr>
        <w:t>。</w:t>
      </w:r>
    </w:p>
    <w:p w14:paraId="62B46F14">
      <w:pPr>
        <w:pStyle w:val="44"/>
        <w:shd w:val="clea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5、出现以下情形时，采购代理机构不予接收投标（响应）文件：</w:t>
      </w:r>
    </w:p>
    <w:p w14:paraId="000837CA">
      <w:pPr>
        <w:pStyle w:val="44"/>
        <w:shd w:val="clea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（1）逾期送达或者未送达指定地点的；</w:t>
      </w:r>
    </w:p>
    <w:p w14:paraId="1C3679AF">
      <w:pPr>
        <w:pStyle w:val="44"/>
        <w:shd w:val="clea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（2）未按采购文件要求密封的。</w:t>
      </w:r>
    </w:p>
    <w:p w14:paraId="39230CD2">
      <w:pPr>
        <w:pStyle w:val="44"/>
        <w:shd w:val="clear"/>
        <w:spacing w:line="360" w:lineRule="auto"/>
        <w:ind w:firstLine="400"/>
        <w:rPr>
          <w:rFonts w:hint="eastAsia" w:ascii="宋体" w:hAnsi="宋体" w:eastAsia="宋体" w:cs="宋体"/>
          <w:color w:val="auto"/>
          <w:highlight w:val="none"/>
        </w:rPr>
      </w:pPr>
    </w:p>
    <w:p w14:paraId="58DBB5DC">
      <w:pPr>
        <w:numPr>
          <w:ilvl w:val="0"/>
          <w:numId w:val="0"/>
        </w:numPr>
        <w:shd w:val="clear"/>
        <w:spacing w:line="360" w:lineRule="auto"/>
        <w:outlineLvl w:val="9"/>
        <w:rPr>
          <w:rFonts w:hint="eastAsia"/>
          <w:color w:val="auto"/>
          <w:highlight w:val="none"/>
        </w:rPr>
      </w:pPr>
      <w:bookmarkStart w:id="24" w:name="_Toc20118"/>
      <w:r>
        <w:rPr>
          <w:rFonts w:hint="eastAsia" w:ascii="Tahoma" w:hAnsi="Tahoma" w:eastAsia="宋体" w:cstheme="minorBidi"/>
          <w:b/>
          <w:bCs/>
          <w:color w:val="auto"/>
          <w:sz w:val="21"/>
          <w:szCs w:val="22"/>
          <w:highlight w:val="none"/>
          <w:lang w:val="en-US" w:eastAsia="zh-CN" w:bidi="ar-SA"/>
        </w:rPr>
        <w:t>五、</w:t>
      </w:r>
      <w:r>
        <w:rPr>
          <w:rFonts w:hint="eastAsia" w:ascii="宋体" w:hAnsi="宋体" w:eastAsia="宋体" w:cs="宋体"/>
          <w:b/>
          <w:color w:val="auto"/>
          <w:sz w:val="21"/>
          <w:szCs w:val="21"/>
          <w:highlight w:val="none"/>
        </w:rPr>
        <w:t>发布公告的媒介</w:t>
      </w:r>
      <w:bookmarkEnd w:id="24"/>
    </w:p>
    <w:p w14:paraId="1EDFDA8E">
      <w:pPr>
        <w:pStyle w:val="44"/>
        <w:shd w:val="clea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1、采购公告发布媒介：</w:t>
      </w:r>
    </w:p>
    <w:p w14:paraId="405AD58C">
      <w:pPr>
        <w:pStyle w:val="44"/>
        <w:numPr>
          <w:ilvl w:val="0"/>
          <w:numId w:val="0"/>
        </w:numPr>
        <w:shd w:val="clear"/>
        <w:spacing w:line="360" w:lineRule="auto"/>
        <w:ind w:left="0" w:leftChars="0" w:right="-21" w:rightChars="-10" w:firstLine="218" w:firstLineChars="104"/>
        <w:rPr>
          <w:rFonts w:hint="eastAsia" w:ascii="宋体" w:hAnsi="宋体" w:eastAsia="宋体" w:cs="宋体"/>
          <w:bCs/>
          <w:color w:val="auto"/>
          <w:sz w:val="21"/>
          <w:szCs w:val="21"/>
          <w:highlight w:val="none"/>
          <w:lang w:val="en-US" w:eastAsia="zh-CN" w:bidi="ar-SA"/>
        </w:rPr>
      </w:pPr>
      <w:r>
        <w:rPr>
          <w:rFonts w:hint="eastAsia" w:ascii="宋体" w:hAnsi="宋体" w:eastAsia="宋体" w:cs="宋体"/>
          <w:bCs/>
          <w:color w:val="auto"/>
          <w:sz w:val="21"/>
          <w:szCs w:val="21"/>
          <w:highlight w:val="none"/>
          <w:lang w:val="en-US" w:eastAsia="zh-CN" w:bidi="ar-SA"/>
        </w:rPr>
        <w:t>中国招标投标公共服务平台（http://www.cebpubservice.com/）</w:t>
      </w:r>
    </w:p>
    <w:p w14:paraId="63109C41">
      <w:pPr>
        <w:pStyle w:val="44"/>
        <w:numPr>
          <w:ilvl w:val="0"/>
          <w:numId w:val="0"/>
        </w:numPr>
        <w:shd w:val="clear"/>
        <w:spacing w:line="360" w:lineRule="auto"/>
        <w:ind w:left="0" w:leftChars="0" w:right="-21" w:rightChars="-10" w:firstLine="218" w:firstLineChars="104"/>
        <w:rPr>
          <w:rFonts w:hint="eastAsia" w:ascii="宋体" w:hAnsi="宋体" w:eastAsia="宋体" w:cs="宋体"/>
          <w:bCs/>
          <w:color w:val="auto"/>
          <w:sz w:val="21"/>
          <w:szCs w:val="21"/>
          <w:highlight w:val="none"/>
          <w:lang w:val="en-US" w:eastAsia="zh-CN" w:bidi="ar-SA"/>
        </w:rPr>
      </w:pPr>
      <w:r>
        <w:rPr>
          <w:rFonts w:hint="eastAsia" w:ascii="宋体" w:hAnsi="宋体" w:eastAsia="宋体" w:cs="宋体"/>
          <w:bCs/>
          <w:color w:val="auto"/>
          <w:sz w:val="21"/>
          <w:szCs w:val="21"/>
          <w:highlight w:val="none"/>
          <w:lang w:val="en-US" w:eastAsia="zh-CN" w:bidi="ar-SA"/>
        </w:rPr>
        <w:t>东莞实业投资控股集团有限公司-招标采购栏目（http://www.dgsy.com.cn/）</w:t>
      </w:r>
    </w:p>
    <w:p w14:paraId="5C6906C0">
      <w:pPr>
        <w:pStyle w:val="44"/>
        <w:numPr>
          <w:ilvl w:val="0"/>
          <w:numId w:val="0"/>
        </w:numPr>
        <w:shd w:val="clear"/>
        <w:spacing w:line="360" w:lineRule="auto"/>
        <w:ind w:left="0" w:leftChars="0" w:right="-21" w:rightChars="-10" w:firstLine="218" w:firstLineChars="104"/>
        <w:rPr>
          <w:rFonts w:hint="eastAsia" w:ascii="宋体" w:hAnsi="宋体" w:eastAsia="宋体" w:cs="宋体"/>
          <w:bCs/>
          <w:color w:val="auto"/>
          <w:sz w:val="21"/>
          <w:szCs w:val="21"/>
          <w:highlight w:val="none"/>
          <w:lang w:val="en-US" w:eastAsia="zh-CN" w:bidi="ar-SA"/>
        </w:rPr>
      </w:pPr>
      <w:r>
        <w:rPr>
          <w:rFonts w:hint="eastAsia" w:ascii="宋体" w:hAnsi="宋体" w:eastAsia="宋体" w:cs="宋体"/>
          <w:color w:val="auto"/>
          <w:sz w:val="21"/>
          <w:szCs w:val="21"/>
          <w:highlight w:val="none"/>
          <w:lang w:eastAsia="zh-CN"/>
        </w:rPr>
        <w:t>广州宏达工程顾问集团有限公司</w:t>
      </w:r>
      <w:r>
        <w:rPr>
          <w:rFonts w:hint="eastAsia" w:ascii="宋体" w:hAnsi="宋体" w:eastAsia="宋体" w:cs="宋体"/>
          <w:color w:val="auto"/>
          <w:sz w:val="21"/>
          <w:szCs w:val="21"/>
          <w:highlight w:val="none"/>
        </w:rPr>
        <w:t>网站</w:t>
      </w:r>
      <w:r>
        <w:rPr>
          <w:rFonts w:hint="eastAsia" w:ascii="宋体" w:hAnsi="宋体" w:eastAsia="宋体" w:cs="宋体"/>
          <w:bCs/>
          <w:color w:val="auto"/>
          <w:sz w:val="21"/>
          <w:szCs w:val="21"/>
          <w:highlight w:val="none"/>
          <w:lang w:eastAsia="zh-CN"/>
        </w:rPr>
        <w:t>（http://www.wangtat.com.cn/）</w:t>
      </w:r>
    </w:p>
    <w:p w14:paraId="3CE6127B">
      <w:pPr>
        <w:pStyle w:val="44"/>
        <w:shd w:val="clear"/>
        <w:spacing w:line="360" w:lineRule="auto"/>
        <w:rPr>
          <w:rFonts w:hint="eastAsia" w:ascii="宋体" w:hAnsi="宋体" w:eastAsia="宋体" w:cs="宋体"/>
          <w:color w:val="auto"/>
          <w:sz w:val="21"/>
          <w:szCs w:val="21"/>
          <w:highlight w:val="none"/>
        </w:rPr>
      </w:pPr>
    </w:p>
    <w:p w14:paraId="691D5CCF">
      <w:pPr>
        <w:pStyle w:val="44"/>
        <w:shd w:val="clear"/>
        <w:spacing w:line="360" w:lineRule="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2、结果公告发布媒介：</w:t>
      </w:r>
    </w:p>
    <w:p w14:paraId="54557DA6">
      <w:pPr>
        <w:pStyle w:val="44"/>
        <w:numPr>
          <w:ilvl w:val="0"/>
          <w:numId w:val="0"/>
        </w:numPr>
        <w:shd w:val="clear"/>
        <w:spacing w:line="360" w:lineRule="auto"/>
        <w:ind w:left="0" w:leftChars="0" w:right="-21" w:rightChars="-10" w:firstLine="218" w:firstLineChars="104"/>
        <w:rPr>
          <w:rFonts w:hint="eastAsia" w:ascii="宋体" w:hAnsi="宋体" w:eastAsia="宋体" w:cs="宋体"/>
          <w:bCs/>
          <w:color w:val="auto"/>
          <w:sz w:val="21"/>
          <w:szCs w:val="21"/>
          <w:highlight w:val="none"/>
          <w:lang w:val="en-US" w:eastAsia="zh-CN" w:bidi="ar-SA"/>
        </w:rPr>
      </w:pPr>
      <w:r>
        <w:rPr>
          <w:rFonts w:hint="eastAsia" w:ascii="宋体" w:hAnsi="宋体" w:eastAsia="宋体" w:cs="宋体"/>
          <w:bCs/>
          <w:color w:val="auto"/>
          <w:sz w:val="21"/>
          <w:szCs w:val="21"/>
          <w:highlight w:val="none"/>
          <w:lang w:val="en-US" w:eastAsia="zh-CN" w:bidi="ar-SA"/>
        </w:rPr>
        <w:t>中国招标投标公共服务平台（http://www.cebpubservice.com/）</w:t>
      </w:r>
    </w:p>
    <w:p w14:paraId="357ACF90">
      <w:pPr>
        <w:pStyle w:val="44"/>
        <w:numPr>
          <w:ilvl w:val="0"/>
          <w:numId w:val="0"/>
        </w:numPr>
        <w:shd w:val="clear"/>
        <w:spacing w:line="360" w:lineRule="auto"/>
        <w:ind w:left="0" w:leftChars="0" w:right="-21" w:rightChars="-10" w:firstLine="218" w:firstLineChars="104"/>
        <w:rPr>
          <w:rFonts w:hint="eastAsia" w:ascii="宋体" w:hAnsi="宋体" w:eastAsia="宋体" w:cs="宋体"/>
          <w:bCs/>
          <w:color w:val="auto"/>
          <w:sz w:val="21"/>
          <w:szCs w:val="21"/>
          <w:highlight w:val="none"/>
          <w:lang w:val="en-US" w:eastAsia="zh-CN" w:bidi="ar-SA"/>
        </w:rPr>
      </w:pPr>
      <w:r>
        <w:rPr>
          <w:rFonts w:hint="eastAsia" w:ascii="宋体" w:hAnsi="宋体" w:eastAsia="宋体" w:cs="宋体"/>
          <w:bCs/>
          <w:color w:val="auto"/>
          <w:sz w:val="21"/>
          <w:szCs w:val="21"/>
          <w:highlight w:val="none"/>
          <w:lang w:val="en-US" w:eastAsia="zh-CN" w:bidi="ar-SA"/>
        </w:rPr>
        <w:t>东莞实业投资控股集团有限公司-招标采购栏目（http://www.dgsy.com.cn/）</w:t>
      </w:r>
    </w:p>
    <w:p w14:paraId="4BD4BC54">
      <w:pPr>
        <w:pStyle w:val="44"/>
        <w:numPr>
          <w:ilvl w:val="0"/>
          <w:numId w:val="0"/>
        </w:numPr>
        <w:shd w:val="clear"/>
        <w:spacing w:line="360" w:lineRule="auto"/>
        <w:ind w:left="0" w:leftChars="0" w:right="-21" w:rightChars="-10" w:firstLine="218" w:firstLineChars="104"/>
        <w:rPr>
          <w:rFonts w:hint="eastAsia" w:ascii="宋体" w:hAnsi="宋体" w:eastAsia="宋体" w:cs="宋体"/>
          <w:bCs/>
          <w:color w:val="auto"/>
          <w:sz w:val="21"/>
          <w:szCs w:val="21"/>
          <w:highlight w:val="none"/>
          <w:lang w:val="en-US" w:eastAsia="zh-CN" w:bidi="ar-SA"/>
        </w:rPr>
      </w:pPr>
      <w:r>
        <w:rPr>
          <w:rFonts w:hint="eastAsia" w:ascii="宋体" w:hAnsi="宋体" w:eastAsia="宋体" w:cs="宋体"/>
          <w:color w:val="auto"/>
          <w:sz w:val="21"/>
          <w:szCs w:val="21"/>
          <w:highlight w:val="none"/>
          <w:lang w:eastAsia="zh-CN"/>
        </w:rPr>
        <w:t>广州宏达工程顾问集团有限公司</w:t>
      </w:r>
      <w:r>
        <w:rPr>
          <w:rFonts w:hint="eastAsia" w:ascii="宋体" w:hAnsi="宋体" w:eastAsia="宋体" w:cs="宋体"/>
          <w:color w:val="auto"/>
          <w:sz w:val="21"/>
          <w:szCs w:val="21"/>
          <w:highlight w:val="none"/>
        </w:rPr>
        <w:t>网站</w:t>
      </w:r>
      <w:r>
        <w:rPr>
          <w:rFonts w:hint="eastAsia" w:ascii="宋体" w:hAnsi="宋体" w:eastAsia="宋体" w:cs="宋体"/>
          <w:bCs/>
          <w:color w:val="auto"/>
          <w:sz w:val="21"/>
          <w:szCs w:val="21"/>
          <w:highlight w:val="none"/>
          <w:lang w:eastAsia="zh-CN"/>
        </w:rPr>
        <w:t>（http://www.wangtat.com.cn/）</w:t>
      </w:r>
    </w:p>
    <w:p w14:paraId="4553D783">
      <w:pPr>
        <w:shd w:val="clear"/>
        <w:spacing w:line="336" w:lineRule="auto"/>
        <w:ind w:firstLine="413" w:firstLineChars="196"/>
        <w:outlineLvl w:val="9"/>
        <w:rPr>
          <w:rFonts w:hint="eastAsia" w:ascii="宋体" w:hAnsi="宋体" w:eastAsia="宋体" w:cs="宋体"/>
          <w:b/>
          <w:color w:val="auto"/>
          <w:szCs w:val="21"/>
          <w:highlight w:val="none"/>
        </w:rPr>
      </w:pPr>
    </w:p>
    <w:p w14:paraId="6D8470C4">
      <w:pPr>
        <w:shd w:val="clear"/>
        <w:spacing w:line="360" w:lineRule="auto"/>
        <w:ind w:firstLine="0" w:firstLineChars="0"/>
        <w:outlineLvl w:val="9"/>
        <w:rPr>
          <w:rFonts w:hint="eastAsia" w:ascii="宋体" w:hAnsi="宋体" w:eastAsia="宋体" w:cs="宋体"/>
          <w:bCs/>
          <w:color w:val="auto"/>
          <w:szCs w:val="21"/>
          <w:highlight w:val="none"/>
        </w:rPr>
      </w:pPr>
      <w:bookmarkStart w:id="25" w:name="_Toc6574"/>
      <w:r>
        <w:rPr>
          <w:rFonts w:hint="eastAsia" w:ascii="宋体" w:hAnsi="宋体" w:eastAsia="宋体" w:cs="宋体"/>
          <w:b/>
          <w:color w:val="auto"/>
          <w:szCs w:val="21"/>
          <w:highlight w:val="none"/>
        </w:rPr>
        <w:t>六、采购人及采购代理机构的名称、地址和联系方法：</w:t>
      </w:r>
      <w:bookmarkEnd w:id="25"/>
    </w:p>
    <w:p w14:paraId="212304E7">
      <w:pPr>
        <w:shd w:val="clear"/>
        <w:spacing w:line="360" w:lineRule="auto"/>
        <w:ind w:firstLine="420" w:firstLineChars="200"/>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rPr>
        <w:t>采购人名称：</w:t>
      </w:r>
      <w:r>
        <w:rPr>
          <w:rFonts w:hint="eastAsia" w:ascii="宋体" w:hAnsi="宋体" w:cs="宋体"/>
          <w:color w:val="auto"/>
          <w:szCs w:val="21"/>
          <w:highlight w:val="none"/>
          <w:lang w:eastAsia="zh-CN"/>
        </w:rPr>
        <w:t>东莞新锋液化石油气有限公司</w:t>
      </w:r>
    </w:p>
    <w:p w14:paraId="773E7C1E">
      <w:pPr>
        <w:shd w:val="clear"/>
        <w:spacing w:line="360" w:lineRule="auto"/>
        <w:ind w:right="-34" w:firstLine="420" w:firstLineChars="200"/>
        <w:jc w:val="both"/>
        <w:rPr>
          <w:rFonts w:hAnsi="宋体"/>
          <w:color w:val="auto"/>
          <w:szCs w:val="21"/>
          <w:highlight w:val="none"/>
        </w:rPr>
      </w:pPr>
      <w:r>
        <w:rPr>
          <w:rFonts w:hint="eastAsia" w:ascii="宋体" w:hAnsi="宋体" w:eastAsia="宋体" w:cs="宋体"/>
          <w:bCs/>
          <w:color w:val="auto"/>
          <w:szCs w:val="21"/>
          <w:highlight w:val="none"/>
        </w:rPr>
        <w:t>采购人地址：</w:t>
      </w:r>
      <w:r>
        <w:rPr>
          <w:rFonts w:hint="eastAsia" w:hAnsi="宋体"/>
          <w:color w:val="auto"/>
          <w:szCs w:val="21"/>
          <w:highlight w:val="none"/>
        </w:rPr>
        <w:t>广东省东莞市莞城街道创业八达路</w:t>
      </w:r>
      <w:r>
        <w:rPr>
          <w:rFonts w:hint="eastAsia" w:ascii="宋体" w:hAnsi="宋体" w:eastAsia="宋体" w:cs="宋体"/>
          <w:color w:val="auto"/>
          <w:szCs w:val="21"/>
          <w:highlight w:val="none"/>
        </w:rPr>
        <w:t>81号208室</w:t>
      </w:r>
    </w:p>
    <w:p w14:paraId="53501A4B">
      <w:pPr>
        <w:shd w:val="clear"/>
        <w:spacing w:line="360" w:lineRule="auto"/>
        <w:ind w:firstLine="420" w:firstLineChars="200"/>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rPr>
        <w:t>采购人联系人：</w:t>
      </w:r>
      <w:r>
        <w:rPr>
          <w:rFonts w:hint="eastAsia" w:hAnsi="宋体"/>
          <w:color w:val="auto"/>
          <w:szCs w:val="21"/>
          <w:highlight w:val="none"/>
          <w:lang w:val="en-US" w:eastAsia="zh-CN"/>
        </w:rPr>
        <w:t>杨</w:t>
      </w:r>
      <w:r>
        <w:rPr>
          <w:rFonts w:hint="eastAsia" w:hAnsi="宋体"/>
          <w:color w:val="auto"/>
          <w:szCs w:val="21"/>
          <w:highlight w:val="none"/>
        </w:rPr>
        <w:t>先生</w:t>
      </w:r>
    </w:p>
    <w:p w14:paraId="0A8DD4E9">
      <w:pPr>
        <w:shd w:val="clear"/>
        <w:spacing w:line="360" w:lineRule="auto"/>
        <w:ind w:firstLine="420" w:firstLineChars="20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采购人联系电话：0769-38863168</w:t>
      </w:r>
    </w:p>
    <w:p w14:paraId="1875CF08">
      <w:pPr>
        <w:shd w:val="clear"/>
        <w:spacing w:line="360" w:lineRule="auto"/>
        <w:ind w:firstLine="420" w:firstLineChars="200"/>
        <w:rPr>
          <w:rFonts w:hint="eastAsia" w:ascii="宋体" w:hAnsi="宋体" w:eastAsia="宋体" w:cs="宋体"/>
          <w:color w:val="auto"/>
          <w:szCs w:val="21"/>
          <w:highlight w:val="none"/>
        </w:rPr>
      </w:pPr>
    </w:p>
    <w:p w14:paraId="279AFFA3">
      <w:pPr>
        <w:shd w:val="clear"/>
        <w:spacing w:line="360" w:lineRule="auto"/>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采购代理机构名称：</w:t>
      </w:r>
      <w:r>
        <w:rPr>
          <w:rFonts w:hint="eastAsia" w:ascii="宋体" w:hAnsi="宋体" w:cs="宋体"/>
          <w:color w:val="auto"/>
          <w:szCs w:val="21"/>
          <w:highlight w:val="none"/>
          <w:lang w:eastAsia="zh-CN"/>
        </w:rPr>
        <w:t>广州宏达工程顾问集团有限公司</w:t>
      </w:r>
    </w:p>
    <w:p w14:paraId="14B5AA6F">
      <w:pPr>
        <w:shd w:val="clear"/>
        <w:spacing w:line="360" w:lineRule="auto"/>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采购代理机构地址：</w:t>
      </w:r>
      <w:r>
        <w:rPr>
          <w:rFonts w:hint="eastAsia" w:ascii="宋体" w:hAnsi="宋体" w:cs="宋体"/>
          <w:color w:val="auto"/>
          <w:szCs w:val="21"/>
          <w:highlight w:val="none"/>
          <w:lang w:eastAsia="zh-CN"/>
        </w:rPr>
        <w:t>广东省东莞市南城街道宏图路105号1栋313室</w:t>
      </w:r>
    </w:p>
    <w:p w14:paraId="7832A101">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采购代理机构联系人：</w:t>
      </w:r>
      <w:r>
        <w:rPr>
          <w:rFonts w:hint="eastAsia" w:ascii="宋体" w:hAnsi="宋体" w:cs="宋体"/>
          <w:color w:val="auto"/>
          <w:szCs w:val="21"/>
          <w:highlight w:val="none"/>
          <w:lang w:val="en-US" w:eastAsia="zh-CN"/>
        </w:rPr>
        <w:t>杨</w:t>
      </w:r>
      <w:r>
        <w:rPr>
          <w:rFonts w:hint="eastAsia" w:ascii="宋体" w:hAnsi="宋体" w:eastAsia="宋体" w:cs="宋体"/>
          <w:color w:val="auto"/>
          <w:szCs w:val="21"/>
          <w:highlight w:val="none"/>
        </w:rPr>
        <w:t>小姐</w:t>
      </w:r>
    </w:p>
    <w:p w14:paraId="39E53652">
      <w:pPr>
        <w:shd w:val="clear"/>
        <w:spacing w:line="360" w:lineRule="auto"/>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采购代理机构联系电话：</w:t>
      </w:r>
      <w:r>
        <w:rPr>
          <w:rFonts w:hint="eastAsia" w:ascii="宋体" w:hAnsi="宋体" w:cs="宋体"/>
          <w:color w:val="auto"/>
          <w:szCs w:val="21"/>
          <w:highlight w:val="none"/>
          <w:lang w:eastAsia="zh-CN"/>
        </w:rPr>
        <w:t>0769-28056866-807</w:t>
      </w:r>
    </w:p>
    <w:p w14:paraId="2FD79A84">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采购代理机构邮箱：dgwangtat@163.com</w:t>
      </w:r>
    </w:p>
    <w:p w14:paraId="368323E7">
      <w:pPr>
        <w:shd w:val="clear"/>
        <w:spacing w:line="360" w:lineRule="auto"/>
        <w:ind w:firstLine="420" w:firstLineChars="200"/>
        <w:rPr>
          <w:rFonts w:hint="eastAsia" w:ascii="宋体" w:hAnsi="宋体" w:eastAsia="宋体" w:cs="宋体"/>
          <w:color w:val="auto"/>
          <w:szCs w:val="21"/>
          <w:highlight w:val="none"/>
        </w:rPr>
      </w:pPr>
    </w:p>
    <w:p w14:paraId="72775E42">
      <w:pPr>
        <w:shd w:val="clear"/>
        <w:spacing w:line="360" w:lineRule="auto"/>
        <w:ind w:left="0" w:leftChars="0" w:right="752" w:rightChars="358" w:firstLine="2520" w:firstLineChars="1200"/>
        <w:jc w:val="both"/>
        <w:rPr>
          <w:rFonts w:hint="eastAsia" w:ascii="宋体" w:hAnsi="宋体" w:eastAsia="宋体" w:cs="宋体"/>
          <w:color w:val="auto"/>
          <w:highlight w:val="none"/>
          <w:lang w:eastAsia="zh-CN"/>
        </w:rPr>
      </w:pPr>
      <w:r>
        <w:rPr>
          <w:rFonts w:hint="eastAsia" w:ascii="宋体" w:hAnsi="宋体" w:eastAsia="宋体" w:cs="宋体"/>
          <w:bCs/>
          <w:color w:val="auto"/>
          <w:sz w:val="21"/>
          <w:szCs w:val="21"/>
          <w:highlight w:val="none"/>
        </w:rPr>
        <w:t>采购人名称：</w:t>
      </w:r>
      <w:r>
        <w:rPr>
          <w:rFonts w:hint="eastAsia" w:ascii="宋体" w:hAnsi="宋体" w:cs="宋体"/>
          <w:color w:val="auto"/>
          <w:highlight w:val="none"/>
          <w:lang w:eastAsia="zh-CN"/>
        </w:rPr>
        <w:t>东莞新锋液化石油气有限公司</w:t>
      </w:r>
    </w:p>
    <w:p w14:paraId="5393E780">
      <w:pPr>
        <w:shd w:val="clear"/>
        <w:spacing w:line="360" w:lineRule="auto"/>
        <w:ind w:left="0" w:leftChars="0" w:right="752" w:rightChars="358" w:firstLine="2520" w:firstLineChars="1200"/>
        <w:jc w:val="both"/>
        <w:rPr>
          <w:rFonts w:hint="eastAsia" w:ascii="宋体" w:hAnsi="宋体" w:cs="宋体"/>
          <w:color w:val="auto"/>
          <w:szCs w:val="21"/>
          <w:highlight w:val="none"/>
          <w:lang w:eastAsia="zh-CN"/>
        </w:rPr>
      </w:pPr>
      <w:r>
        <w:rPr>
          <w:rFonts w:hint="eastAsia" w:ascii="宋体" w:hAnsi="宋体" w:eastAsia="宋体" w:cs="宋体"/>
          <w:bCs/>
          <w:color w:val="auto"/>
          <w:sz w:val="21"/>
          <w:szCs w:val="21"/>
          <w:highlight w:val="none"/>
        </w:rPr>
        <w:t>采购代理机构名称：</w:t>
      </w:r>
      <w:r>
        <w:rPr>
          <w:rFonts w:hint="eastAsia" w:ascii="宋体" w:hAnsi="宋体" w:cs="宋体"/>
          <w:color w:val="auto"/>
          <w:szCs w:val="21"/>
          <w:highlight w:val="none"/>
          <w:lang w:eastAsia="zh-CN"/>
        </w:rPr>
        <w:t>广州宏达工程顾问集团有限公司</w:t>
      </w:r>
    </w:p>
    <w:p w14:paraId="6A4EC215">
      <w:pPr>
        <w:shd w:val="clear"/>
        <w:spacing w:line="360" w:lineRule="auto"/>
        <w:ind w:left="0" w:leftChars="0" w:right="752" w:rightChars="358" w:firstLine="2520" w:firstLineChars="1200"/>
        <w:jc w:val="both"/>
        <w:rPr>
          <w:rFonts w:hint="eastAsia" w:ascii="宋体" w:hAnsi="宋体" w:cs="宋体"/>
          <w:bCs/>
          <w:szCs w:val="21"/>
        </w:rPr>
      </w:pPr>
      <w:r>
        <w:rPr>
          <w:rFonts w:hint="eastAsia" w:ascii="宋体" w:hAnsi="宋体" w:cs="宋体"/>
          <w:color w:val="auto"/>
          <w:szCs w:val="21"/>
          <w:highlight w:val="none"/>
          <w:lang w:val="en-US" w:eastAsia="zh-CN"/>
        </w:rPr>
        <w:t>2026</w:t>
      </w:r>
      <w:r>
        <w:rPr>
          <w:rFonts w:hint="eastAsia" w:ascii="宋体" w:hAnsi="宋体" w:eastAsia="宋体" w:cs="宋体"/>
          <w:color w:val="auto"/>
          <w:szCs w:val="21"/>
          <w:highlight w:val="none"/>
        </w:rPr>
        <w:t>年</w:t>
      </w:r>
      <w:r>
        <w:rPr>
          <w:rFonts w:hint="eastAsia" w:ascii="宋体" w:hAnsi="宋体" w:cs="宋体"/>
          <w:color w:val="auto"/>
          <w:szCs w:val="21"/>
          <w:highlight w:val="none"/>
          <w:lang w:val="en-US" w:eastAsia="zh-CN"/>
        </w:rPr>
        <w:t xml:space="preserve"> 5 </w:t>
      </w:r>
      <w:r>
        <w:rPr>
          <w:rFonts w:hint="eastAsia" w:ascii="宋体" w:hAnsi="宋体" w:eastAsia="宋体" w:cs="宋体"/>
          <w:color w:val="auto"/>
          <w:szCs w:val="21"/>
          <w:highlight w:val="none"/>
        </w:rPr>
        <w:t>月</w:t>
      </w:r>
      <w:r>
        <w:rPr>
          <w:rFonts w:hint="eastAsia" w:ascii="宋体" w:hAnsi="宋体" w:cs="宋体"/>
          <w:color w:val="auto"/>
          <w:szCs w:val="21"/>
          <w:highlight w:val="none"/>
          <w:lang w:val="en-US" w:eastAsia="zh-CN"/>
        </w:rPr>
        <w:t xml:space="preserve"> 20 </w:t>
      </w:r>
      <w:r>
        <w:rPr>
          <w:rFonts w:hint="eastAsia" w:ascii="宋体" w:hAnsi="宋体" w:eastAsia="宋体" w:cs="宋体"/>
          <w:color w:val="auto"/>
          <w:szCs w:val="21"/>
          <w:highlight w:val="none"/>
          <w:lang w:val="en-US" w:eastAsia="zh-CN"/>
        </w:rPr>
        <w:t>日</w:t>
      </w:r>
    </w:p>
    <w:p w14:paraId="62447F9B">
      <w:pPr>
        <w:shd w:val="clear"/>
        <w:spacing w:line="360" w:lineRule="auto"/>
        <w:ind w:right="752" w:rightChars="358"/>
        <w:jc w:val="right"/>
        <w:rPr>
          <w:rFonts w:hint="eastAsia" w:ascii="宋体" w:hAnsi="宋体" w:eastAsia="宋体" w:cs="宋体"/>
          <w:color w:val="auto"/>
          <w:szCs w:val="21"/>
          <w:highlight w:val="none"/>
        </w:rPr>
      </w:pPr>
    </w:p>
    <w:p w14:paraId="32CB00F2">
      <w:pPr>
        <w:shd w:val="clear"/>
        <w:ind w:left="6205" w:leftChars="2755" w:hanging="420" w:hangingChars="200"/>
        <w:rPr>
          <w:rFonts w:hint="eastAsia" w:ascii="宋体" w:hAnsi="宋体" w:eastAsia="宋体" w:cs="宋体"/>
          <w:color w:val="auto"/>
          <w:highlight w:val="none"/>
        </w:rPr>
      </w:pPr>
      <w:r>
        <w:rPr>
          <w:rFonts w:hint="eastAsia" w:ascii="宋体" w:hAnsi="宋体" w:eastAsia="宋体" w:cs="宋体"/>
          <w:color w:val="auto"/>
          <w:szCs w:val="21"/>
          <w:highlight w:val="none"/>
        </w:rPr>
        <w:br w:type="page"/>
      </w:r>
    </w:p>
    <w:p w14:paraId="45C39A38">
      <w:pPr>
        <w:pStyle w:val="3"/>
        <w:shd w:val="clear"/>
        <w:spacing w:before="0" w:after="0" w:line="240" w:lineRule="auto"/>
        <w:rPr>
          <w:rFonts w:hint="eastAsia" w:ascii="宋体" w:hAnsi="宋体" w:eastAsia="宋体" w:cs="宋体"/>
          <w:color w:val="auto"/>
          <w:sz w:val="28"/>
          <w:szCs w:val="28"/>
          <w:highlight w:val="none"/>
        </w:rPr>
      </w:pPr>
      <w:bookmarkStart w:id="26" w:name="_Toc788"/>
      <w:bookmarkStart w:id="27" w:name="_Toc20564"/>
      <w:bookmarkStart w:id="28" w:name="_Toc22088"/>
      <w:bookmarkStart w:id="29" w:name="_Toc17383"/>
      <w:bookmarkStart w:id="30" w:name="_Toc623"/>
      <w:bookmarkStart w:id="31" w:name="_Toc26933"/>
      <w:bookmarkStart w:id="32" w:name="_Toc24472"/>
      <w:bookmarkStart w:id="33" w:name="_Toc992"/>
      <w:r>
        <w:rPr>
          <w:rFonts w:hint="eastAsia" w:ascii="宋体" w:hAnsi="宋体" w:eastAsia="宋体" w:cs="宋体"/>
          <w:color w:val="auto"/>
          <w:sz w:val="28"/>
          <w:szCs w:val="28"/>
          <w:highlight w:val="none"/>
        </w:rPr>
        <w:t>第二部分相关资料表格</w:t>
      </w:r>
      <w:bookmarkEnd w:id="26"/>
      <w:bookmarkEnd w:id="27"/>
      <w:bookmarkEnd w:id="28"/>
      <w:bookmarkEnd w:id="29"/>
      <w:bookmarkEnd w:id="30"/>
      <w:bookmarkEnd w:id="31"/>
      <w:bookmarkEnd w:id="32"/>
      <w:bookmarkEnd w:id="33"/>
    </w:p>
    <w:p w14:paraId="6E6A683F">
      <w:pPr>
        <w:pStyle w:val="4"/>
        <w:shd w:val="clear"/>
        <w:spacing w:before="0" w:after="0" w:line="240" w:lineRule="auto"/>
        <w:jc w:val="center"/>
        <w:rPr>
          <w:rFonts w:hint="eastAsia" w:ascii="宋体" w:hAnsi="宋体" w:eastAsia="宋体" w:cs="宋体"/>
          <w:color w:val="auto"/>
          <w:sz w:val="24"/>
          <w:szCs w:val="24"/>
          <w:highlight w:val="none"/>
        </w:rPr>
      </w:pPr>
      <w:bookmarkStart w:id="34" w:name="_Toc29599"/>
      <w:bookmarkStart w:id="35" w:name="_Toc26358"/>
      <w:bookmarkStart w:id="36" w:name="_Toc3039"/>
      <w:bookmarkStart w:id="37" w:name="_Toc14333"/>
      <w:bookmarkStart w:id="38" w:name="_Toc20035"/>
      <w:bookmarkStart w:id="39" w:name="_Toc19911"/>
      <w:bookmarkStart w:id="40" w:name="_Toc6844"/>
      <w:bookmarkStart w:id="41" w:name="_Toc1102"/>
      <w:r>
        <w:rPr>
          <w:rFonts w:hint="eastAsia" w:ascii="宋体" w:hAnsi="宋体" w:eastAsia="宋体" w:cs="宋体"/>
          <w:color w:val="auto"/>
          <w:sz w:val="24"/>
          <w:szCs w:val="24"/>
          <w:highlight w:val="none"/>
        </w:rPr>
        <w:t>附表一：投标资料表</w:t>
      </w:r>
      <w:bookmarkEnd w:id="34"/>
      <w:bookmarkEnd w:id="35"/>
      <w:bookmarkEnd w:id="36"/>
      <w:bookmarkEnd w:id="37"/>
      <w:bookmarkEnd w:id="38"/>
      <w:bookmarkEnd w:id="39"/>
      <w:bookmarkEnd w:id="40"/>
      <w:bookmarkEnd w:id="41"/>
    </w:p>
    <w:tbl>
      <w:tblPr>
        <w:tblStyle w:val="34"/>
        <w:tblW w:w="8410"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78"/>
        <w:gridCol w:w="2608"/>
        <w:gridCol w:w="4924"/>
      </w:tblGrid>
      <w:tr w14:paraId="3404EE4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600" w:hRule="atLeast"/>
          <w:jc w:val="center"/>
        </w:trPr>
        <w:tc>
          <w:tcPr>
            <w:tcW w:w="878" w:type="dxa"/>
            <w:tcBorders>
              <w:tl2br w:val="nil"/>
              <w:tr2bl w:val="nil"/>
            </w:tcBorders>
            <w:vAlign w:val="center"/>
          </w:tcPr>
          <w:p w14:paraId="4D947544">
            <w:pPr>
              <w:shd w:val="clea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7532" w:type="dxa"/>
            <w:gridSpan w:val="2"/>
            <w:tcBorders>
              <w:tl2br w:val="nil"/>
              <w:tr2bl w:val="nil"/>
            </w:tcBorders>
            <w:vAlign w:val="center"/>
          </w:tcPr>
          <w:p w14:paraId="395553B7">
            <w:pPr>
              <w:shd w:val="clear"/>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内容</w:t>
            </w:r>
          </w:p>
        </w:tc>
      </w:tr>
      <w:tr w14:paraId="228AC09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cantSplit/>
          <w:trHeight w:val="551" w:hRule="atLeast"/>
          <w:jc w:val="center"/>
        </w:trPr>
        <w:tc>
          <w:tcPr>
            <w:tcW w:w="8410" w:type="dxa"/>
            <w:gridSpan w:val="3"/>
            <w:tcBorders>
              <w:tl2br w:val="nil"/>
              <w:tr2bl w:val="nil"/>
            </w:tcBorders>
            <w:vAlign w:val="center"/>
          </w:tcPr>
          <w:p w14:paraId="23B16A03">
            <w:pPr>
              <w:shd w:val="clear"/>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一、说明</w:t>
            </w:r>
          </w:p>
        </w:tc>
      </w:tr>
      <w:tr w14:paraId="576687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3" w:hRule="atLeast"/>
          <w:jc w:val="center"/>
        </w:trPr>
        <w:tc>
          <w:tcPr>
            <w:tcW w:w="878" w:type="dxa"/>
            <w:vMerge w:val="restart"/>
            <w:tcBorders>
              <w:tl2br w:val="nil"/>
              <w:tr2bl w:val="nil"/>
            </w:tcBorders>
            <w:vAlign w:val="center"/>
          </w:tcPr>
          <w:p w14:paraId="384F5CC9">
            <w:pPr>
              <w:shd w:val="clea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7532" w:type="dxa"/>
            <w:gridSpan w:val="2"/>
            <w:tcBorders>
              <w:tl2br w:val="nil"/>
              <w:tr2bl w:val="nil"/>
            </w:tcBorders>
            <w:vAlign w:val="center"/>
          </w:tcPr>
          <w:p w14:paraId="663AAADD">
            <w:pPr>
              <w:shd w:val="clea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项目最高限价（</w:t>
            </w:r>
            <w:r>
              <w:rPr>
                <w:rFonts w:hint="eastAsia" w:ascii="宋体" w:hAnsi="宋体" w:eastAsia="宋体" w:cs="宋体"/>
                <w:b/>
                <w:bCs/>
                <w:color w:val="auto"/>
                <w:szCs w:val="21"/>
                <w:highlight w:val="none"/>
                <w:u w:val="single"/>
              </w:rPr>
              <w:t>单位</w:t>
            </w:r>
            <w:r>
              <w:rPr>
                <w:rFonts w:hint="eastAsia" w:ascii="宋体" w:hAnsi="宋体" w:cs="宋体"/>
                <w:b/>
                <w:bCs/>
                <w:color w:val="auto"/>
                <w:szCs w:val="21"/>
                <w:highlight w:val="none"/>
                <w:u w:val="single"/>
                <w:lang w:val="en-US" w:eastAsia="zh-CN"/>
              </w:rPr>
              <w:t>:</w:t>
            </w:r>
            <w:r>
              <w:rPr>
                <w:rFonts w:hint="eastAsia" w:ascii="宋体" w:hAnsi="宋体" w:eastAsia="宋体" w:cs="宋体"/>
                <w:b/>
                <w:bCs/>
                <w:color w:val="auto"/>
                <w:szCs w:val="21"/>
                <w:highlight w:val="none"/>
                <w:u w:val="single"/>
              </w:rPr>
              <w:t>元</w:t>
            </w:r>
            <w:r>
              <w:rPr>
                <w:rFonts w:hint="eastAsia" w:ascii="宋体" w:hAnsi="宋体" w:eastAsia="宋体" w:cs="宋体"/>
                <w:b/>
                <w:bCs/>
                <w:color w:val="auto"/>
                <w:szCs w:val="21"/>
                <w:highlight w:val="none"/>
              </w:rPr>
              <w:t>）</w:t>
            </w:r>
          </w:p>
        </w:tc>
      </w:tr>
      <w:tr w14:paraId="2A1CC3B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2" w:hRule="atLeast"/>
          <w:jc w:val="center"/>
        </w:trPr>
        <w:tc>
          <w:tcPr>
            <w:tcW w:w="878" w:type="dxa"/>
            <w:vMerge w:val="continue"/>
            <w:tcBorders>
              <w:tl2br w:val="nil"/>
              <w:tr2bl w:val="nil"/>
            </w:tcBorders>
            <w:vAlign w:val="center"/>
          </w:tcPr>
          <w:p w14:paraId="39079721">
            <w:pPr>
              <w:shd w:val="clear"/>
              <w:jc w:val="center"/>
              <w:rPr>
                <w:rFonts w:hint="eastAsia" w:ascii="宋体" w:hAnsi="宋体" w:eastAsia="宋体" w:cs="宋体"/>
                <w:color w:val="auto"/>
                <w:szCs w:val="21"/>
                <w:highlight w:val="none"/>
              </w:rPr>
            </w:pPr>
          </w:p>
        </w:tc>
        <w:tc>
          <w:tcPr>
            <w:tcW w:w="7532" w:type="dxa"/>
            <w:gridSpan w:val="2"/>
            <w:tcBorders>
              <w:tl2br w:val="nil"/>
              <w:tr2bl w:val="nil"/>
            </w:tcBorders>
            <w:vAlign w:val="center"/>
          </w:tcPr>
          <w:p w14:paraId="71BD3B14">
            <w:pPr>
              <w:shd w:val="clear"/>
              <w:rPr>
                <w:rFonts w:hint="eastAsia" w:ascii="宋体" w:hAnsi="宋体" w:eastAsia="宋体" w:cs="宋体"/>
                <w:b/>
                <w:bCs/>
                <w:color w:val="auto"/>
                <w:szCs w:val="21"/>
                <w:highlight w:val="none"/>
                <w:lang w:eastAsia="zh-CN"/>
              </w:rPr>
            </w:pPr>
            <w:r>
              <w:rPr>
                <w:rFonts w:hint="eastAsia" w:ascii="宋体" w:hAnsi="宋体" w:cs="宋体"/>
                <w:b/>
                <w:bCs/>
                <w:color w:val="auto"/>
                <w:szCs w:val="21"/>
                <w:highlight w:val="none"/>
                <w:lang w:val="en-US" w:eastAsia="zh-CN"/>
              </w:rPr>
              <w:t>本项目</w:t>
            </w:r>
            <w:r>
              <w:rPr>
                <w:rFonts w:hint="eastAsia" w:ascii="宋体" w:hAnsi="宋体" w:eastAsia="宋体" w:cs="宋体"/>
                <w:b/>
                <w:bCs/>
                <w:color w:val="auto"/>
                <w:szCs w:val="21"/>
                <w:highlight w:val="none"/>
                <w:lang w:val="en-US" w:eastAsia="zh-CN"/>
              </w:rPr>
              <w:t>无具体预算金额</w:t>
            </w:r>
            <w:r>
              <w:rPr>
                <w:rFonts w:hint="eastAsia" w:ascii="宋体" w:hAnsi="宋体" w:cs="宋体"/>
                <w:b/>
                <w:bCs/>
                <w:color w:val="auto"/>
                <w:szCs w:val="21"/>
                <w:highlight w:val="none"/>
                <w:lang w:val="en-US" w:eastAsia="zh-CN"/>
              </w:rPr>
              <w:t>。最低限价下浮率:3.00%</w:t>
            </w:r>
          </w:p>
        </w:tc>
      </w:tr>
      <w:tr w14:paraId="62E9741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2" w:hRule="atLeast"/>
          <w:jc w:val="center"/>
        </w:trPr>
        <w:tc>
          <w:tcPr>
            <w:tcW w:w="878" w:type="dxa"/>
            <w:vMerge w:val="restart"/>
            <w:tcBorders>
              <w:tl2br w:val="nil"/>
              <w:tr2bl w:val="nil"/>
            </w:tcBorders>
            <w:vAlign w:val="center"/>
          </w:tcPr>
          <w:p w14:paraId="25827D3A">
            <w:pPr>
              <w:shd w:val="clea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7532" w:type="dxa"/>
            <w:gridSpan w:val="2"/>
            <w:tcBorders>
              <w:tl2br w:val="nil"/>
              <w:tr2bl w:val="nil"/>
            </w:tcBorders>
            <w:vAlign w:val="center"/>
          </w:tcPr>
          <w:p w14:paraId="4F232574">
            <w:pPr>
              <w:shd w:val="clea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发包方式</w:t>
            </w:r>
          </w:p>
        </w:tc>
      </w:tr>
      <w:tr w14:paraId="0890F05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2" w:hRule="atLeast"/>
          <w:jc w:val="center"/>
        </w:trPr>
        <w:tc>
          <w:tcPr>
            <w:tcW w:w="878" w:type="dxa"/>
            <w:vMerge w:val="continue"/>
            <w:tcBorders>
              <w:tl2br w:val="nil"/>
              <w:tr2bl w:val="nil"/>
            </w:tcBorders>
            <w:vAlign w:val="center"/>
          </w:tcPr>
          <w:p w14:paraId="29022EEB">
            <w:pPr>
              <w:shd w:val="clear"/>
              <w:jc w:val="center"/>
              <w:rPr>
                <w:rFonts w:hint="eastAsia" w:ascii="宋体" w:hAnsi="宋体" w:eastAsia="宋体" w:cs="宋体"/>
                <w:color w:val="auto"/>
                <w:szCs w:val="21"/>
                <w:highlight w:val="none"/>
              </w:rPr>
            </w:pPr>
          </w:p>
        </w:tc>
        <w:tc>
          <w:tcPr>
            <w:tcW w:w="7532" w:type="dxa"/>
            <w:gridSpan w:val="2"/>
            <w:tcBorders>
              <w:tl2br w:val="nil"/>
              <w:tr2bl w:val="nil"/>
            </w:tcBorders>
            <w:vAlign w:val="center"/>
          </w:tcPr>
          <w:p w14:paraId="00672FE3">
            <w:pPr>
              <w:shd w:val="clear"/>
              <w:rPr>
                <w:rFonts w:hint="eastAsia" w:ascii="宋体" w:hAnsi="宋体" w:eastAsia="宋体" w:cs="宋体"/>
                <w:b/>
                <w:bCs/>
                <w:color w:val="auto"/>
                <w:szCs w:val="21"/>
                <w:highlight w:val="none"/>
              </w:rPr>
            </w:pPr>
            <w:r>
              <w:rPr>
                <w:rFonts w:hint="eastAsia" w:ascii="宋体" w:hAnsi="宋体" w:cs="宋体"/>
                <w:bCs/>
                <w:color w:val="auto"/>
                <w:szCs w:val="21"/>
                <w:highlight w:val="none"/>
                <w:lang w:eastAsia="zh-CN"/>
              </w:rPr>
              <w:t>□</w:t>
            </w:r>
            <w:r>
              <w:rPr>
                <w:rFonts w:hint="eastAsia" w:ascii="宋体" w:hAnsi="宋体" w:eastAsia="宋体" w:cs="宋体"/>
                <w:b/>
                <w:bCs/>
                <w:color w:val="auto"/>
                <w:szCs w:val="21"/>
                <w:highlight w:val="none"/>
              </w:rPr>
              <w:t>固定总价包干；</w:t>
            </w:r>
          </w:p>
          <w:p w14:paraId="3EFADE1B">
            <w:pPr>
              <w:shd w:val="clear"/>
              <w:rPr>
                <w:rFonts w:hint="eastAsia" w:ascii="宋体" w:hAnsi="宋体" w:eastAsia="宋体" w:cs="宋体"/>
                <w:b/>
                <w:bCs/>
                <w:color w:val="auto"/>
                <w:szCs w:val="21"/>
                <w:highlight w:val="none"/>
              </w:rPr>
            </w:pPr>
            <w:r>
              <w:rPr>
                <w:rFonts w:hint="eastAsia" w:ascii="宋体" w:hAnsi="宋体" w:eastAsia="宋体" w:cs="宋体"/>
                <w:bCs/>
                <w:color w:val="auto"/>
                <w:szCs w:val="21"/>
                <w:highlight w:val="none"/>
              </w:rPr>
              <w:sym w:font="Wingdings 2" w:char="0052"/>
            </w:r>
            <w:r>
              <w:rPr>
                <w:rFonts w:hint="eastAsia" w:ascii="宋体" w:hAnsi="宋体" w:eastAsia="宋体" w:cs="宋体"/>
                <w:b/>
                <w:bCs/>
                <w:color w:val="auto"/>
                <w:szCs w:val="21"/>
                <w:highlight w:val="none"/>
              </w:rPr>
              <w:t>固定单价暂定总价包干；</w:t>
            </w:r>
          </w:p>
          <w:p w14:paraId="32DCC7A0">
            <w:pPr>
              <w:shd w:val="clear"/>
              <w:rPr>
                <w:rFonts w:hint="eastAsia" w:ascii="宋体" w:hAnsi="宋体" w:eastAsia="宋体" w:cs="宋体"/>
                <w:b/>
                <w:bCs/>
                <w:color w:val="auto"/>
                <w:szCs w:val="21"/>
                <w:highlight w:val="none"/>
                <w:u w:val="single"/>
              </w:rPr>
            </w:pPr>
            <w:r>
              <w:rPr>
                <w:rFonts w:hint="eastAsia" w:ascii="宋体" w:hAnsi="宋体" w:cs="宋体"/>
                <w:bCs/>
                <w:color w:val="auto"/>
                <w:szCs w:val="21"/>
                <w:highlight w:val="none"/>
                <w:lang w:eastAsia="zh-CN"/>
              </w:rPr>
              <w:t>□</w:t>
            </w:r>
            <w:r>
              <w:rPr>
                <w:rFonts w:hint="eastAsia" w:ascii="宋体" w:hAnsi="宋体" w:eastAsia="宋体" w:cs="宋体"/>
                <w:b/>
                <w:bCs/>
                <w:color w:val="auto"/>
                <w:szCs w:val="21"/>
                <w:highlight w:val="none"/>
              </w:rPr>
              <w:t>费率</w:t>
            </w:r>
            <w:r>
              <w:rPr>
                <w:rFonts w:hint="eastAsia" w:ascii="宋体" w:hAnsi="宋体" w:eastAsia="宋体" w:cs="宋体"/>
                <w:b/>
                <w:bCs/>
                <w:color w:val="auto"/>
                <w:szCs w:val="21"/>
                <w:highlight w:val="none"/>
                <w:u w:val="single"/>
              </w:rPr>
              <w:t>；</w:t>
            </w:r>
          </w:p>
          <w:p w14:paraId="756D1261">
            <w:pPr>
              <w:shd w:val="clear"/>
              <w:rPr>
                <w:rFonts w:hint="eastAsia" w:ascii="宋体" w:hAnsi="宋体" w:eastAsia="宋体" w:cs="宋体"/>
                <w:b/>
                <w:bCs/>
                <w:color w:val="auto"/>
                <w:szCs w:val="21"/>
                <w:highlight w:val="none"/>
              </w:rPr>
            </w:pPr>
            <w:r>
              <w:rPr>
                <w:rFonts w:hint="eastAsia" w:ascii="宋体" w:hAnsi="宋体" w:cs="宋体"/>
                <w:bCs/>
                <w:color w:val="auto"/>
                <w:szCs w:val="21"/>
                <w:highlight w:val="none"/>
                <w:lang w:eastAsia="zh-CN"/>
              </w:rPr>
              <w:t>□</w:t>
            </w:r>
            <w:r>
              <w:rPr>
                <w:rFonts w:hint="eastAsia" w:ascii="宋体" w:hAnsi="宋体" w:eastAsia="宋体" w:cs="宋体"/>
                <w:b/>
                <w:bCs/>
                <w:color w:val="auto"/>
                <w:szCs w:val="21"/>
                <w:highlight w:val="none"/>
              </w:rPr>
              <w:t>其他</w:t>
            </w:r>
            <w:r>
              <w:rPr>
                <w:rFonts w:hint="eastAsia" w:ascii="宋体" w:hAnsi="宋体" w:eastAsia="宋体" w:cs="宋体"/>
                <w:b/>
                <w:bCs/>
                <w:color w:val="auto"/>
                <w:szCs w:val="21"/>
                <w:highlight w:val="none"/>
                <w:u w:val="single"/>
              </w:rPr>
              <w:t xml:space="preserve">  </w:t>
            </w:r>
            <w:r>
              <w:rPr>
                <w:rFonts w:hint="eastAsia" w:ascii="宋体" w:hAnsi="宋体" w:cs="宋体"/>
                <w:b/>
                <w:bCs/>
                <w:color w:val="auto"/>
                <w:szCs w:val="21"/>
                <w:highlight w:val="none"/>
                <w:u w:val="single"/>
                <w:lang w:val="en-US" w:eastAsia="zh-CN"/>
              </w:rPr>
              <w:t>/</w:t>
            </w:r>
            <w:r>
              <w:rPr>
                <w:rFonts w:hint="eastAsia" w:ascii="宋体" w:hAnsi="宋体" w:eastAsia="宋体" w:cs="宋体"/>
                <w:b/>
                <w:bCs/>
                <w:color w:val="auto"/>
                <w:szCs w:val="21"/>
                <w:highlight w:val="none"/>
                <w:u w:val="single"/>
              </w:rPr>
              <w:t xml:space="preserve"> </w:t>
            </w:r>
            <w:r>
              <w:rPr>
                <w:rFonts w:hint="eastAsia" w:ascii="宋体" w:hAnsi="宋体" w:eastAsia="宋体" w:cs="宋体"/>
                <w:b/>
                <w:bCs/>
                <w:color w:val="auto"/>
                <w:szCs w:val="21"/>
                <w:highlight w:val="none"/>
              </w:rPr>
              <w:t>；</w:t>
            </w:r>
          </w:p>
        </w:tc>
      </w:tr>
      <w:tr w14:paraId="639A9D6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2" w:hRule="atLeast"/>
          <w:jc w:val="center"/>
        </w:trPr>
        <w:tc>
          <w:tcPr>
            <w:tcW w:w="878" w:type="dxa"/>
            <w:vMerge w:val="restart"/>
            <w:tcBorders>
              <w:tl2br w:val="nil"/>
              <w:tr2bl w:val="nil"/>
            </w:tcBorders>
            <w:vAlign w:val="center"/>
          </w:tcPr>
          <w:p w14:paraId="23D56731">
            <w:pPr>
              <w:shd w:val="clea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7532" w:type="dxa"/>
            <w:gridSpan w:val="2"/>
            <w:tcBorders>
              <w:tl2br w:val="nil"/>
              <w:tr2bl w:val="nil"/>
            </w:tcBorders>
            <w:vAlign w:val="center"/>
          </w:tcPr>
          <w:p w14:paraId="798C00C2">
            <w:pPr>
              <w:shd w:val="clea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是否接受联合体投标</w:t>
            </w:r>
          </w:p>
        </w:tc>
      </w:tr>
      <w:tr w14:paraId="46A557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2" w:hRule="atLeast"/>
          <w:jc w:val="center"/>
        </w:trPr>
        <w:tc>
          <w:tcPr>
            <w:tcW w:w="878" w:type="dxa"/>
            <w:vMerge w:val="continue"/>
            <w:tcBorders>
              <w:tl2br w:val="nil"/>
              <w:tr2bl w:val="nil"/>
            </w:tcBorders>
            <w:vAlign w:val="center"/>
          </w:tcPr>
          <w:p w14:paraId="3B6F5B46">
            <w:pPr>
              <w:shd w:val="clear"/>
              <w:jc w:val="center"/>
              <w:rPr>
                <w:rFonts w:hint="eastAsia" w:ascii="宋体" w:hAnsi="宋体" w:eastAsia="宋体" w:cs="宋体"/>
                <w:color w:val="auto"/>
                <w:szCs w:val="21"/>
                <w:highlight w:val="none"/>
              </w:rPr>
            </w:pPr>
          </w:p>
        </w:tc>
        <w:tc>
          <w:tcPr>
            <w:tcW w:w="7532" w:type="dxa"/>
            <w:gridSpan w:val="2"/>
            <w:tcBorders>
              <w:tl2br w:val="nil"/>
              <w:tr2bl w:val="nil"/>
            </w:tcBorders>
            <w:vAlign w:val="center"/>
          </w:tcPr>
          <w:p w14:paraId="7FD63241">
            <w:pPr>
              <w:pStyle w:val="47"/>
              <w:shd w:val="clear"/>
              <w:ind w:firstLine="0" w:firstLineChars="0"/>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w:t>
            </w:r>
            <w:r>
              <w:rPr>
                <w:rFonts w:hint="eastAsia" w:ascii="宋体" w:hAnsi="宋体" w:eastAsia="宋体" w:cs="宋体"/>
                <w:color w:val="auto"/>
                <w:szCs w:val="21"/>
                <w:highlight w:val="none"/>
              </w:rPr>
              <w:t>是，联合体投标的，应满足下列要求：</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1B2DBD63">
            <w:pPr>
              <w:shd w:val="clear"/>
              <w:rPr>
                <w:rFonts w:hint="eastAsia" w:ascii="宋体" w:hAnsi="宋体" w:eastAsia="宋体" w:cs="宋体"/>
                <w:b/>
                <w:bCs/>
                <w:color w:val="auto"/>
                <w:szCs w:val="21"/>
                <w:highlight w:val="none"/>
              </w:rPr>
            </w:pPr>
            <w:r>
              <w:rPr>
                <w:rFonts w:hint="eastAsia" w:ascii="宋体" w:hAnsi="宋体" w:eastAsia="宋体" w:cs="宋体"/>
                <w:bCs/>
                <w:color w:val="auto"/>
                <w:szCs w:val="21"/>
                <w:highlight w:val="none"/>
                <w:lang w:eastAsia="zh-CN"/>
              </w:rPr>
              <w:t>☑</w:t>
            </w:r>
            <w:r>
              <w:rPr>
                <w:rFonts w:hint="eastAsia" w:ascii="宋体" w:hAnsi="宋体" w:eastAsia="宋体" w:cs="宋体"/>
                <w:color w:val="auto"/>
                <w:szCs w:val="21"/>
                <w:highlight w:val="none"/>
              </w:rPr>
              <w:t>否；</w:t>
            </w:r>
          </w:p>
        </w:tc>
      </w:tr>
      <w:tr w14:paraId="7A24495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3" w:hRule="atLeast"/>
          <w:jc w:val="center"/>
        </w:trPr>
        <w:tc>
          <w:tcPr>
            <w:tcW w:w="878" w:type="dxa"/>
            <w:vMerge w:val="restart"/>
            <w:tcBorders>
              <w:tl2br w:val="nil"/>
              <w:tr2bl w:val="nil"/>
            </w:tcBorders>
            <w:vAlign w:val="center"/>
          </w:tcPr>
          <w:p w14:paraId="0848B85C">
            <w:pPr>
              <w:shd w:val="clea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7532" w:type="dxa"/>
            <w:gridSpan w:val="2"/>
            <w:tcBorders>
              <w:tl2br w:val="nil"/>
              <w:tr2bl w:val="nil"/>
            </w:tcBorders>
            <w:vAlign w:val="center"/>
          </w:tcPr>
          <w:p w14:paraId="5766916A">
            <w:pPr>
              <w:shd w:val="clea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资金来源</w:t>
            </w:r>
          </w:p>
        </w:tc>
      </w:tr>
      <w:tr w14:paraId="2BC675E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2" w:hRule="atLeast"/>
          <w:jc w:val="center"/>
        </w:trPr>
        <w:tc>
          <w:tcPr>
            <w:tcW w:w="878" w:type="dxa"/>
            <w:vMerge w:val="continue"/>
            <w:tcBorders>
              <w:tl2br w:val="nil"/>
              <w:tr2bl w:val="nil"/>
            </w:tcBorders>
            <w:vAlign w:val="center"/>
          </w:tcPr>
          <w:p w14:paraId="7644ED58">
            <w:pPr>
              <w:shd w:val="clear"/>
              <w:jc w:val="center"/>
              <w:rPr>
                <w:rFonts w:hint="eastAsia" w:ascii="宋体" w:hAnsi="宋体" w:eastAsia="宋体" w:cs="宋体"/>
                <w:color w:val="auto"/>
                <w:szCs w:val="21"/>
                <w:highlight w:val="none"/>
              </w:rPr>
            </w:pPr>
          </w:p>
        </w:tc>
        <w:tc>
          <w:tcPr>
            <w:tcW w:w="7532" w:type="dxa"/>
            <w:gridSpan w:val="2"/>
            <w:tcBorders>
              <w:tl2br w:val="nil"/>
              <w:tr2bl w:val="nil"/>
            </w:tcBorders>
            <w:vAlign w:val="center"/>
          </w:tcPr>
          <w:p w14:paraId="31EA83FD">
            <w:pPr>
              <w:shd w:val="clear"/>
              <w:rPr>
                <w:rFonts w:hint="eastAsia" w:ascii="宋体" w:hAnsi="宋体" w:eastAsia="宋体" w:cs="宋体"/>
                <w:b/>
                <w:bCs/>
                <w:color w:val="auto"/>
                <w:szCs w:val="21"/>
                <w:highlight w:val="none"/>
              </w:rPr>
            </w:pPr>
            <w:r>
              <w:rPr>
                <w:rFonts w:hint="eastAsia" w:ascii="宋体" w:hAnsi="宋体" w:eastAsia="宋体" w:cs="宋体"/>
                <w:color w:val="auto"/>
                <w:szCs w:val="21"/>
                <w:highlight w:val="none"/>
                <w:u w:val="single"/>
              </w:rPr>
              <w:t>自筹资金。</w:t>
            </w:r>
          </w:p>
        </w:tc>
      </w:tr>
      <w:tr w14:paraId="456980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3" w:hRule="atLeast"/>
          <w:jc w:val="center"/>
        </w:trPr>
        <w:tc>
          <w:tcPr>
            <w:tcW w:w="878" w:type="dxa"/>
            <w:vMerge w:val="restart"/>
            <w:tcBorders>
              <w:tl2br w:val="nil"/>
              <w:tr2bl w:val="nil"/>
            </w:tcBorders>
            <w:vAlign w:val="center"/>
          </w:tcPr>
          <w:p w14:paraId="649C3152">
            <w:pPr>
              <w:shd w:val="clea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p>
        </w:tc>
        <w:tc>
          <w:tcPr>
            <w:tcW w:w="7532" w:type="dxa"/>
            <w:gridSpan w:val="2"/>
            <w:tcBorders>
              <w:tl2br w:val="nil"/>
              <w:tr2bl w:val="nil"/>
            </w:tcBorders>
            <w:vAlign w:val="center"/>
          </w:tcPr>
          <w:p w14:paraId="68A30FD5">
            <w:pPr>
              <w:shd w:val="clea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踏勘现场</w:t>
            </w:r>
          </w:p>
        </w:tc>
      </w:tr>
      <w:tr w14:paraId="2656D01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2" w:hRule="atLeast"/>
          <w:jc w:val="center"/>
        </w:trPr>
        <w:tc>
          <w:tcPr>
            <w:tcW w:w="878" w:type="dxa"/>
            <w:vMerge w:val="continue"/>
            <w:tcBorders>
              <w:tl2br w:val="nil"/>
              <w:tr2bl w:val="nil"/>
            </w:tcBorders>
            <w:vAlign w:val="center"/>
          </w:tcPr>
          <w:p w14:paraId="2CD81C7C">
            <w:pPr>
              <w:shd w:val="clear"/>
              <w:jc w:val="center"/>
              <w:rPr>
                <w:rFonts w:hint="eastAsia" w:ascii="宋体" w:hAnsi="宋体" w:eastAsia="宋体" w:cs="宋体"/>
                <w:color w:val="auto"/>
                <w:szCs w:val="21"/>
                <w:highlight w:val="none"/>
              </w:rPr>
            </w:pPr>
          </w:p>
        </w:tc>
        <w:tc>
          <w:tcPr>
            <w:tcW w:w="7532" w:type="dxa"/>
            <w:gridSpan w:val="2"/>
            <w:tcBorders>
              <w:tl2br w:val="nil"/>
              <w:tr2bl w:val="nil"/>
            </w:tcBorders>
            <w:vAlign w:val="center"/>
          </w:tcPr>
          <w:p w14:paraId="0FD2E884">
            <w:pPr>
              <w:shd w:val="clear"/>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lang w:eastAsia="zh-CN"/>
              </w:rPr>
              <w:t>☑</w:t>
            </w:r>
            <w:r>
              <w:rPr>
                <w:rFonts w:hint="eastAsia" w:ascii="宋体" w:hAnsi="宋体" w:eastAsia="宋体" w:cs="宋体"/>
                <w:bCs/>
                <w:color w:val="auto"/>
                <w:szCs w:val="21"/>
                <w:highlight w:val="none"/>
              </w:rPr>
              <w:t>不组织 。</w:t>
            </w:r>
          </w:p>
          <w:p w14:paraId="7031DDCE">
            <w:pPr>
              <w:shd w:val="clear"/>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□组织，踏勘现场时间、地点：</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 xml:space="preserve">。 </w:t>
            </w:r>
          </w:p>
        </w:tc>
      </w:tr>
      <w:tr w14:paraId="2A3330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cantSplit/>
          <w:trHeight w:val="629" w:hRule="atLeast"/>
          <w:jc w:val="center"/>
        </w:trPr>
        <w:tc>
          <w:tcPr>
            <w:tcW w:w="8410" w:type="dxa"/>
            <w:gridSpan w:val="3"/>
            <w:tcBorders>
              <w:tl2br w:val="nil"/>
              <w:tr2bl w:val="nil"/>
            </w:tcBorders>
            <w:vAlign w:val="center"/>
          </w:tcPr>
          <w:p w14:paraId="5A2D206A">
            <w:pPr>
              <w:shd w:val="clear"/>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二、投标文件的编制</w:t>
            </w:r>
          </w:p>
        </w:tc>
      </w:tr>
      <w:tr w14:paraId="3E176C3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3" w:hRule="atLeast"/>
          <w:jc w:val="center"/>
        </w:trPr>
        <w:tc>
          <w:tcPr>
            <w:tcW w:w="878" w:type="dxa"/>
            <w:vMerge w:val="restart"/>
            <w:tcBorders>
              <w:tl2br w:val="nil"/>
              <w:tr2bl w:val="nil"/>
            </w:tcBorders>
            <w:vAlign w:val="center"/>
          </w:tcPr>
          <w:p w14:paraId="281F62A7">
            <w:pPr>
              <w:shd w:val="clea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6</w:t>
            </w:r>
          </w:p>
        </w:tc>
        <w:tc>
          <w:tcPr>
            <w:tcW w:w="7532" w:type="dxa"/>
            <w:gridSpan w:val="2"/>
            <w:tcBorders>
              <w:tl2br w:val="nil"/>
              <w:tr2bl w:val="nil"/>
            </w:tcBorders>
            <w:vAlign w:val="center"/>
          </w:tcPr>
          <w:p w14:paraId="0B25E64F">
            <w:pPr>
              <w:shd w:val="clea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投标语言</w:t>
            </w:r>
          </w:p>
        </w:tc>
      </w:tr>
      <w:tr w14:paraId="67FD8F3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2" w:hRule="atLeast"/>
          <w:jc w:val="center"/>
        </w:trPr>
        <w:tc>
          <w:tcPr>
            <w:tcW w:w="878" w:type="dxa"/>
            <w:vMerge w:val="continue"/>
            <w:tcBorders>
              <w:tl2br w:val="nil"/>
              <w:tr2bl w:val="nil"/>
            </w:tcBorders>
            <w:vAlign w:val="center"/>
          </w:tcPr>
          <w:p w14:paraId="4F23C1BD">
            <w:pPr>
              <w:shd w:val="clear"/>
              <w:jc w:val="center"/>
              <w:rPr>
                <w:rFonts w:hint="eastAsia" w:ascii="宋体" w:hAnsi="宋体" w:eastAsia="宋体" w:cs="宋体"/>
                <w:color w:val="auto"/>
                <w:szCs w:val="21"/>
                <w:highlight w:val="none"/>
              </w:rPr>
            </w:pPr>
          </w:p>
        </w:tc>
        <w:tc>
          <w:tcPr>
            <w:tcW w:w="7532" w:type="dxa"/>
            <w:gridSpan w:val="2"/>
            <w:tcBorders>
              <w:tl2br w:val="nil"/>
              <w:tr2bl w:val="nil"/>
            </w:tcBorders>
            <w:vAlign w:val="center"/>
          </w:tcPr>
          <w:p w14:paraId="1EB6D045">
            <w:pPr>
              <w:shd w:val="clear"/>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中文。</w:t>
            </w:r>
          </w:p>
        </w:tc>
      </w:tr>
      <w:tr w14:paraId="160694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3" w:hRule="atLeast"/>
          <w:jc w:val="center"/>
        </w:trPr>
        <w:tc>
          <w:tcPr>
            <w:tcW w:w="878" w:type="dxa"/>
            <w:vMerge w:val="restart"/>
            <w:tcBorders>
              <w:tl2br w:val="nil"/>
              <w:tr2bl w:val="nil"/>
            </w:tcBorders>
            <w:vAlign w:val="center"/>
          </w:tcPr>
          <w:p w14:paraId="3BC792C0">
            <w:pPr>
              <w:shd w:val="clea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p>
        </w:tc>
        <w:tc>
          <w:tcPr>
            <w:tcW w:w="7532" w:type="dxa"/>
            <w:gridSpan w:val="2"/>
            <w:tcBorders>
              <w:tl2br w:val="nil"/>
              <w:tr2bl w:val="nil"/>
            </w:tcBorders>
            <w:vAlign w:val="center"/>
          </w:tcPr>
          <w:p w14:paraId="7C9346DA">
            <w:pPr>
              <w:shd w:val="clear"/>
              <w:jc w:val="both"/>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投标报价</w:t>
            </w:r>
          </w:p>
        </w:tc>
      </w:tr>
      <w:tr w14:paraId="1034E5C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2" w:hRule="atLeast"/>
          <w:jc w:val="center"/>
        </w:trPr>
        <w:tc>
          <w:tcPr>
            <w:tcW w:w="878" w:type="dxa"/>
            <w:vMerge w:val="continue"/>
            <w:tcBorders>
              <w:tl2br w:val="nil"/>
              <w:tr2bl w:val="nil"/>
            </w:tcBorders>
            <w:vAlign w:val="center"/>
          </w:tcPr>
          <w:p w14:paraId="0CA79EFC">
            <w:pPr>
              <w:shd w:val="clear"/>
              <w:jc w:val="center"/>
              <w:rPr>
                <w:rFonts w:hint="eastAsia" w:ascii="宋体" w:hAnsi="宋体" w:eastAsia="宋体" w:cs="宋体"/>
                <w:color w:val="auto"/>
                <w:szCs w:val="21"/>
                <w:highlight w:val="none"/>
              </w:rPr>
            </w:pPr>
          </w:p>
        </w:tc>
        <w:tc>
          <w:tcPr>
            <w:tcW w:w="7532" w:type="dxa"/>
            <w:gridSpan w:val="2"/>
            <w:tcBorders>
              <w:tl2br w:val="nil"/>
              <w:tr2bl w:val="nil"/>
            </w:tcBorders>
            <w:vAlign w:val="center"/>
          </w:tcPr>
          <w:p w14:paraId="40D74893">
            <w:pPr>
              <w:shd w:val="clear"/>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详见投标人须知。</w:t>
            </w:r>
          </w:p>
        </w:tc>
      </w:tr>
      <w:tr w14:paraId="789DFF2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0" w:hRule="atLeast"/>
          <w:jc w:val="center"/>
        </w:trPr>
        <w:tc>
          <w:tcPr>
            <w:tcW w:w="878" w:type="dxa"/>
            <w:vMerge w:val="restart"/>
            <w:tcBorders>
              <w:tl2br w:val="nil"/>
              <w:tr2bl w:val="nil"/>
            </w:tcBorders>
            <w:vAlign w:val="center"/>
          </w:tcPr>
          <w:p w14:paraId="2F86525E">
            <w:pPr>
              <w:shd w:val="clea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8</w:t>
            </w:r>
          </w:p>
        </w:tc>
        <w:tc>
          <w:tcPr>
            <w:tcW w:w="7532" w:type="dxa"/>
            <w:gridSpan w:val="2"/>
            <w:tcBorders>
              <w:tl2br w:val="nil"/>
              <w:tr2bl w:val="nil"/>
            </w:tcBorders>
            <w:vAlign w:val="center"/>
          </w:tcPr>
          <w:p w14:paraId="41688776">
            <w:pPr>
              <w:shd w:val="clear"/>
              <w:jc w:val="both"/>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投标保证金</w:t>
            </w:r>
          </w:p>
        </w:tc>
      </w:tr>
      <w:tr w14:paraId="32FB685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0" w:hRule="atLeast"/>
          <w:jc w:val="center"/>
        </w:trPr>
        <w:tc>
          <w:tcPr>
            <w:tcW w:w="878" w:type="dxa"/>
            <w:vMerge w:val="continue"/>
            <w:tcBorders>
              <w:tl2br w:val="nil"/>
              <w:tr2bl w:val="nil"/>
            </w:tcBorders>
            <w:vAlign w:val="center"/>
          </w:tcPr>
          <w:p w14:paraId="5A5BE9A8">
            <w:pPr>
              <w:shd w:val="clear"/>
              <w:jc w:val="center"/>
              <w:rPr>
                <w:rFonts w:hint="eastAsia" w:ascii="宋体" w:hAnsi="宋体" w:eastAsia="宋体" w:cs="宋体"/>
                <w:color w:val="auto"/>
                <w:szCs w:val="21"/>
                <w:highlight w:val="none"/>
              </w:rPr>
            </w:pPr>
          </w:p>
        </w:tc>
        <w:tc>
          <w:tcPr>
            <w:tcW w:w="7532" w:type="dxa"/>
            <w:gridSpan w:val="2"/>
            <w:tcBorders>
              <w:tl2br w:val="nil"/>
              <w:tr2bl w:val="nil"/>
            </w:tcBorders>
            <w:vAlign w:val="center"/>
          </w:tcPr>
          <w:p w14:paraId="73C76C71">
            <w:pPr>
              <w:shd w:val="clear"/>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（1）投标保证金金额：人民币</w:t>
            </w:r>
            <w:r>
              <w:rPr>
                <w:rFonts w:hint="eastAsia" w:ascii="宋体" w:hAnsi="宋体" w:eastAsia="宋体" w:cs="宋体"/>
                <w:b/>
                <w:color w:val="auto"/>
                <w:szCs w:val="21"/>
                <w:highlight w:val="none"/>
              </w:rPr>
              <w:t>（大写）</w:t>
            </w:r>
            <w:r>
              <w:rPr>
                <w:rFonts w:hint="eastAsia" w:ascii="宋体" w:hAnsi="宋体" w:cs="宋体"/>
                <w:b/>
                <w:color w:val="auto"/>
                <w:szCs w:val="21"/>
                <w:highlight w:val="none"/>
                <w:u w:val="single"/>
                <w:lang w:val="en-US" w:eastAsia="zh-CN"/>
              </w:rPr>
              <w:t>壹</w:t>
            </w:r>
            <w:r>
              <w:rPr>
                <w:rFonts w:hint="eastAsia" w:ascii="宋体" w:hAnsi="宋体" w:eastAsia="宋体" w:cs="宋体"/>
                <w:b/>
                <w:color w:val="auto"/>
                <w:szCs w:val="21"/>
                <w:highlight w:val="none"/>
                <w:u w:val="single"/>
                <w:lang w:val="en-US" w:eastAsia="zh-CN"/>
              </w:rPr>
              <w:t>万元整</w:t>
            </w:r>
            <w:r>
              <w:rPr>
                <w:rFonts w:hint="eastAsia" w:ascii="宋体" w:hAnsi="宋体" w:eastAsia="宋体" w:cs="宋体"/>
                <w:color w:val="auto"/>
                <w:szCs w:val="21"/>
                <w:highlight w:val="none"/>
              </w:rPr>
              <w:t>（</w:t>
            </w:r>
            <w:r>
              <w:rPr>
                <w:rFonts w:hint="eastAsia" w:ascii="宋体" w:hAnsi="宋体" w:eastAsia="宋体" w:cs="宋体"/>
                <w:b/>
                <w:bCs/>
                <w:color w:val="auto"/>
                <w:szCs w:val="21"/>
                <w:highlight w:val="none"/>
              </w:rPr>
              <w:t>￥</w:t>
            </w:r>
            <w:r>
              <w:rPr>
                <w:rFonts w:hint="eastAsia" w:ascii="宋体" w:hAnsi="宋体" w:cs="宋体"/>
                <w:b/>
                <w:color w:val="auto"/>
                <w:szCs w:val="21"/>
                <w:highlight w:val="none"/>
                <w:u w:val="single"/>
                <w:lang w:val="en-US" w:eastAsia="zh-CN"/>
              </w:rPr>
              <w:t>1</w:t>
            </w:r>
            <w:r>
              <w:rPr>
                <w:rFonts w:hint="eastAsia" w:ascii="宋体" w:hAnsi="宋体" w:eastAsia="宋体" w:cs="宋体"/>
                <w:b/>
                <w:color w:val="auto"/>
                <w:szCs w:val="21"/>
                <w:highlight w:val="none"/>
                <w:u w:val="single"/>
                <w:lang w:val="en-US" w:eastAsia="zh-CN"/>
              </w:rPr>
              <w:t>0,000.00</w:t>
            </w:r>
            <w:r>
              <w:rPr>
                <w:rFonts w:hint="eastAsia" w:ascii="宋体" w:hAnsi="宋体" w:eastAsia="宋体" w:cs="宋体"/>
                <w:b/>
                <w:color w:val="auto"/>
                <w:szCs w:val="21"/>
                <w:highlight w:val="none"/>
                <w:u w:val="single"/>
              </w:rPr>
              <w:t>元</w:t>
            </w:r>
            <w:r>
              <w:rPr>
                <w:rFonts w:hint="eastAsia" w:ascii="宋体" w:hAnsi="宋体" w:eastAsia="宋体" w:cs="宋体"/>
                <w:color w:val="auto"/>
                <w:szCs w:val="21"/>
                <w:highlight w:val="none"/>
              </w:rPr>
              <w:t>）。</w:t>
            </w:r>
          </w:p>
        </w:tc>
      </w:tr>
      <w:tr w14:paraId="7E3090B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273" w:hRule="atLeast"/>
          <w:jc w:val="center"/>
        </w:trPr>
        <w:tc>
          <w:tcPr>
            <w:tcW w:w="878" w:type="dxa"/>
            <w:vMerge w:val="continue"/>
            <w:tcBorders>
              <w:tl2br w:val="nil"/>
              <w:tr2bl w:val="nil"/>
            </w:tcBorders>
            <w:vAlign w:val="center"/>
          </w:tcPr>
          <w:p w14:paraId="17C88079">
            <w:pPr>
              <w:shd w:val="clear"/>
              <w:jc w:val="center"/>
              <w:rPr>
                <w:rFonts w:hint="eastAsia" w:ascii="宋体" w:hAnsi="宋体" w:eastAsia="宋体" w:cs="宋体"/>
                <w:color w:val="auto"/>
                <w:szCs w:val="21"/>
                <w:highlight w:val="none"/>
              </w:rPr>
            </w:pPr>
          </w:p>
        </w:tc>
        <w:tc>
          <w:tcPr>
            <w:tcW w:w="7532" w:type="dxa"/>
            <w:gridSpan w:val="2"/>
            <w:tcBorders>
              <w:tl2br w:val="nil"/>
              <w:tr2bl w:val="nil"/>
            </w:tcBorders>
            <w:vAlign w:val="center"/>
          </w:tcPr>
          <w:p w14:paraId="16C1B7BE">
            <w:pPr>
              <w:shd w:val="clear"/>
              <w:tabs>
                <w:tab w:val="left" w:pos="567"/>
              </w:tabs>
              <w:ind w:firstLine="0" w:firstLineChars="0"/>
              <w:jc w:val="both"/>
              <w:rPr>
                <w:rFonts w:hint="eastAsia" w:ascii="宋体" w:hAnsi="宋体" w:eastAsia="宋体" w:cs="宋体"/>
                <w:color w:val="auto"/>
                <w:kern w:val="2"/>
                <w:szCs w:val="21"/>
                <w:highlight w:val="none"/>
                <w:lang w:val="zh-CN"/>
              </w:rPr>
            </w:pPr>
            <w:r>
              <w:rPr>
                <w:rFonts w:hint="eastAsia" w:ascii="宋体" w:hAnsi="宋体" w:eastAsia="宋体" w:cs="宋体"/>
                <w:color w:val="auto"/>
                <w:szCs w:val="21"/>
                <w:highlight w:val="none"/>
              </w:rPr>
              <w:t>（2）</w:t>
            </w:r>
            <w:r>
              <w:rPr>
                <w:rFonts w:hint="eastAsia" w:ascii="宋体" w:hAnsi="宋体" w:eastAsia="宋体" w:cs="宋体"/>
                <w:color w:val="auto"/>
                <w:kern w:val="2"/>
                <w:szCs w:val="21"/>
                <w:highlight w:val="none"/>
                <w:lang w:val="zh-CN"/>
              </w:rPr>
              <w:t>投标保证金采用转帐、电汇方式提交，应符合以下要求：采用银行转账、电汇方式提交的，保证金汇入以下投标保证金专用账户，不接收由以投标人分支机构、私人帐户和其他单位转入的保证金。投标保证金必须在投标文件递交截止前到账，投标保证金未按规定时间到达指定账户或提交金额不足的，将被视为无效投标。且在备注或用途中注明本项目的项目编号。</w:t>
            </w:r>
          </w:p>
          <w:p w14:paraId="04A62407">
            <w:pPr>
              <w:shd w:val="clear"/>
              <w:tabs>
                <w:tab w:val="left" w:pos="567"/>
              </w:tabs>
              <w:ind w:left="0" w:firstLine="0" w:firstLineChars="0"/>
              <w:jc w:val="both"/>
              <w:rPr>
                <w:rFonts w:hint="eastAsia" w:ascii="宋体" w:hAnsi="宋体" w:eastAsia="宋体" w:cs="宋体"/>
                <w:color w:val="auto"/>
                <w:kern w:val="2"/>
                <w:szCs w:val="21"/>
                <w:highlight w:val="none"/>
                <w:lang w:val="zh-CN"/>
              </w:rPr>
            </w:pPr>
            <w:r>
              <w:rPr>
                <w:rFonts w:hint="eastAsia" w:ascii="宋体" w:hAnsi="宋体" w:eastAsia="宋体" w:cs="宋体"/>
                <w:color w:val="auto"/>
                <w:kern w:val="2"/>
                <w:szCs w:val="21"/>
                <w:highlight w:val="none"/>
                <w:lang w:val="zh-CN"/>
              </w:rPr>
              <w:t>投标保证金专用账户如下：</w:t>
            </w:r>
          </w:p>
          <w:p w14:paraId="1FF94502">
            <w:pPr>
              <w:shd w:val="clear"/>
              <w:tabs>
                <w:tab w:val="left" w:pos="567"/>
              </w:tabs>
              <w:ind w:firstLine="0" w:firstLineChars="0"/>
              <w:jc w:val="both"/>
              <w:rPr>
                <w:rFonts w:hint="eastAsia" w:ascii="宋体" w:hAnsi="宋体" w:eastAsia="宋体" w:cs="宋体"/>
                <w:color w:val="auto"/>
                <w:kern w:val="2"/>
                <w:szCs w:val="21"/>
                <w:highlight w:val="none"/>
                <w:lang w:val="zh-CN"/>
              </w:rPr>
            </w:pPr>
            <w:r>
              <w:rPr>
                <w:rFonts w:hint="eastAsia" w:ascii="宋体" w:hAnsi="宋体" w:eastAsia="宋体" w:cs="宋体"/>
                <w:color w:val="auto"/>
                <w:kern w:val="2"/>
                <w:szCs w:val="21"/>
                <w:highlight w:val="none"/>
                <w:lang w:val="zh-CN"/>
              </w:rPr>
              <w:t>账户名称：</w:t>
            </w:r>
            <w:r>
              <w:rPr>
                <w:rFonts w:hint="eastAsia" w:ascii="宋体" w:hAnsi="宋体" w:cs="宋体"/>
                <w:color w:val="auto"/>
                <w:kern w:val="2"/>
                <w:szCs w:val="21"/>
                <w:highlight w:val="none"/>
                <w:u w:val="single"/>
                <w:lang w:val="zh-CN"/>
              </w:rPr>
              <w:t>广州宏达工程顾问集团有限公司东莞分公司</w:t>
            </w:r>
          </w:p>
          <w:p w14:paraId="4304BBAC">
            <w:pPr>
              <w:shd w:val="clear"/>
              <w:tabs>
                <w:tab w:val="left" w:pos="567"/>
              </w:tabs>
              <w:ind w:firstLine="0" w:firstLineChars="0"/>
              <w:jc w:val="both"/>
              <w:rPr>
                <w:rFonts w:hint="eastAsia" w:ascii="宋体" w:hAnsi="宋体" w:eastAsia="宋体" w:cs="宋体"/>
                <w:color w:val="auto"/>
                <w:kern w:val="2"/>
                <w:szCs w:val="21"/>
                <w:highlight w:val="none"/>
                <w:lang w:val="zh-CN"/>
              </w:rPr>
            </w:pPr>
            <w:r>
              <w:rPr>
                <w:rFonts w:hint="eastAsia" w:ascii="宋体" w:hAnsi="宋体" w:eastAsia="宋体" w:cs="宋体"/>
                <w:color w:val="auto"/>
                <w:kern w:val="2"/>
                <w:szCs w:val="21"/>
                <w:highlight w:val="none"/>
                <w:lang w:val="zh-CN"/>
              </w:rPr>
              <w:t>账    号：</w:t>
            </w:r>
            <w:r>
              <w:rPr>
                <w:rFonts w:hint="eastAsia" w:ascii="宋体" w:hAnsi="宋体" w:eastAsia="宋体" w:cs="宋体"/>
                <w:color w:val="auto"/>
                <w:kern w:val="2"/>
                <w:sz w:val="21"/>
                <w:szCs w:val="21"/>
                <w:highlight w:val="none"/>
                <w:u w:val="single"/>
                <w:lang w:val="en-US" w:eastAsia="zh-CN"/>
              </w:rPr>
              <w:t>6232590699051018636</w:t>
            </w:r>
          </w:p>
          <w:p w14:paraId="5EBE336C">
            <w:pPr>
              <w:shd w:val="clear"/>
              <w:tabs>
                <w:tab w:val="left" w:pos="567"/>
              </w:tabs>
              <w:spacing w:line="240" w:lineRule="auto"/>
              <w:ind w:firstLine="0" w:firstLineChars="0"/>
              <w:jc w:val="both"/>
              <w:rPr>
                <w:rFonts w:hAnsi="宋体"/>
                <w:b w:val="0"/>
                <w:bCs w:val="0"/>
                <w:color w:val="auto"/>
                <w:kern w:val="2"/>
                <w:sz w:val="21"/>
                <w:szCs w:val="21"/>
                <w:highlight w:val="none"/>
                <w:lang w:val="zh-CN"/>
              </w:rPr>
            </w:pPr>
            <w:r>
              <w:rPr>
                <w:rFonts w:hint="eastAsia" w:ascii="宋体" w:hAnsi="宋体" w:eastAsia="宋体" w:cs="宋体"/>
                <w:color w:val="auto"/>
                <w:kern w:val="2"/>
                <w:szCs w:val="21"/>
                <w:highlight w:val="none"/>
                <w:lang w:val="zh-CN"/>
              </w:rPr>
              <w:t>开 户 行：</w:t>
            </w:r>
            <w:r>
              <w:rPr>
                <w:rFonts w:hint="eastAsia" w:hAnsi="宋体"/>
                <w:b w:val="0"/>
                <w:bCs w:val="0"/>
                <w:color w:val="auto"/>
                <w:kern w:val="2"/>
                <w:sz w:val="21"/>
                <w:szCs w:val="21"/>
                <w:highlight w:val="none"/>
                <w:u w:val="single"/>
                <w:lang w:val="zh-CN"/>
              </w:rPr>
              <w:t>广发银行股份有限公司东莞城区支行</w:t>
            </w:r>
          </w:p>
          <w:p w14:paraId="0D5372F5">
            <w:pPr>
              <w:shd w:val="clear"/>
              <w:tabs>
                <w:tab w:val="left" w:pos="567"/>
              </w:tabs>
              <w:ind w:firstLine="0" w:firstLineChars="0"/>
              <w:jc w:val="both"/>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（注：各投标人在转帐或电汇时须在用途栏上备注项目编号，及项目名称，如有字数限制项目名称可简写。）</w:t>
            </w:r>
          </w:p>
        </w:tc>
      </w:tr>
      <w:tr w14:paraId="3A9A283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520" w:hRule="atLeast"/>
          <w:jc w:val="center"/>
        </w:trPr>
        <w:tc>
          <w:tcPr>
            <w:tcW w:w="878" w:type="dxa"/>
            <w:vMerge w:val="restart"/>
            <w:tcBorders>
              <w:tl2br w:val="nil"/>
              <w:tr2bl w:val="nil"/>
            </w:tcBorders>
            <w:vAlign w:val="center"/>
          </w:tcPr>
          <w:p w14:paraId="20F93542">
            <w:pPr>
              <w:shd w:val="clea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9</w:t>
            </w:r>
          </w:p>
        </w:tc>
        <w:tc>
          <w:tcPr>
            <w:tcW w:w="7532" w:type="dxa"/>
            <w:gridSpan w:val="2"/>
            <w:tcBorders>
              <w:tl2br w:val="nil"/>
              <w:tr2bl w:val="nil"/>
            </w:tcBorders>
            <w:vAlign w:val="center"/>
          </w:tcPr>
          <w:p w14:paraId="7662285F">
            <w:pPr>
              <w:shd w:val="clear"/>
              <w:jc w:val="both"/>
              <w:rPr>
                <w:rFonts w:hint="eastAsia" w:ascii="宋体" w:hAnsi="宋体" w:eastAsia="宋体" w:cs="宋体"/>
                <w:b/>
                <w:bCs/>
                <w:color w:val="auto"/>
                <w:szCs w:val="21"/>
                <w:highlight w:val="none"/>
                <w:lang w:val="zh-CN"/>
              </w:rPr>
            </w:pPr>
            <w:r>
              <w:rPr>
                <w:rFonts w:hint="eastAsia" w:ascii="宋体" w:hAnsi="宋体" w:eastAsia="宋体" w:cs="宋体"/>
                <w:b/>
                <w:bCs/>
                <w:color w:val="auto"/>
                <w:szCs w:val="21"/>
                <w:highlight w:val="none"/>
                <w:lang w:val="zh-CN"/>
              </w:rPr>
              <w:t>投标保证金退还</w:t>
            </w:r>
          </w:p>
        </w:tc>
      </w:tr>
      <w:tr w14:paraId="3C2AC5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1535" w:hRule="atLeast"/>
          <w:jc w:val="center"/>
        </w:trPr>
        <w:tc>
          <w:tcPr>
            <w:tcW w:w="878" w:type="dxa"/>
            <w:vMerge w:val="continue"/>
            <w:tcBorders>
              <w:tl2br w:val="nil"/>
              <w:tr2bl w:val="nil"/>
            </w:tcBorders>
            <w:vAlign w:val="center"/>
          </w:tcPr>
          <w:p w14:paraId="34A4B371">
            <w:pPr>
              <w:shd w:val="clear"/>
              <w:jc w:val="center"/>
              <w:rPr>
                <w:rFonts w:hint="eastAsia" w:ascii="宋体" w:hAnsi="宋体" w:eastAsia="宋体" w:cs="宋体"/>
                <w:color w:val="auto"/>
                <w:szCs w:val="21"/>
                <w:highlight w:val="none"/>
              </w:rPr>
            </w:pPr>
          </w:p>
        </w:tc>
        <w:tc>
          <w:tcPr>
            <w:tcW w:w="7532" w:type="dxa"/>
            <w:gridSpan w:val="2"/>
            <w:tcBorders>
              <w:tl2br w:val="nil"/>
              <w:tr2bl w:val="nil"/>
            </w:tcBorders>
            <w:vAlign w:val="center"/>
          </w:tcPr>
          <w:p w14:paraId="0A20E75E">
            <w:pPr>
              <w:shd w:val="clear"/>
              <w:jc w:val="both"/>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w:t>
            </w: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zh-CN"/>
              </w:rPr>
              <w:t>）未中标的投标人的保证金应当在中标通知书发出后退还，中标</w:t>
            </w:r>
            <w:r>
              <w:rPr>
                <w:rFonts w:hint="eastAsia" w:ascii="宋体" w:hAnsi="宋体" w:eastAsia="宋体" w:cs="宋体"/>
                <w:color w:val="auto"/>
                <w:szCs w:val="21"/>
                <w:highlight w:val="none"/>
              </w:rPr>
              <w:t>的</w:t>
            </w:r>
            <w:r>
              <w:rPr>
                <w:rFonts w:hint="eastAsia" w:ascii="宋体" w:hAnsi="宋体" w:eastAsia="宋体" w:cs="宋体"/>
                <w:color w:val="auto"/>
                <w:szCs w:val="21"/>
                <w:highlight w:val="none"/>
                <w:lang w:val="zh-CN"/>
              </w:rPr>
              <w:t>投标人的保证金应当在采购合同签订后退还。</w:t>
            </w:r>
          </w:p>
          <w:p w14:paraId="5400B063">
            <w:pPr>
              <w:shd w:val="clear"/>
              <w:jc w:val="both"/>
              <w:rPr>
                <w:rFonts w:hint="eastAsia" w:ascii="宋体" w:hAnsi="宋体" w:eastAsia="宋体" w:cs="宋体"/>
                <w:color w:val="auto"/>
                <w:highlight w:val="none"/>
              </w:rPr>
            </w:pPr>
            <w:r>
              <w:rPr>
                <w:rFonts w:hint="eastAsia" w:ascii="宋体" w:hAnsi="宋体" w:eastAsia="宋体" w:cs="宋体"/>
                <w:color w:val="auto"/>
                <w:szCs w:val="21"/>
                <w:highlight w:val="none"/>
                <w:lang w:val="zh-CN"/>
              </w:rPr>
              <w:t>（</w:t>
            </w: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zh-CN"/>
              </w:rPr>
              <w:t>）为方便退还未中标的投标人的保证金，投标人应制作《投标保证金汇入情况说明》随唱标信封一并递交。</w:t>
            </w:r>
          </w:p>
        </w:tc>
      </w:tr>
      <w:tr w14:paraId="7B9D4C1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3" w:hRule="atLeast"/>
          <w:jc w:val="center"/>
        </w:trPr>
        <w:tc>
          <w:tcPr>
            <w:tcW w:w="878" w:type="dxa"/>
            <w:vMerge w:val="restart"/>
            <w:tcBorders>
              <w:tl2br w:val="nil"/>
              <w:tr2bl w:val="nil"/>
            </w:tcBorders>
            <w:vAlign w:val="center"/>
          </w:tcPr>
          <w:p w14:paraId="41927062">
            <w:pPr>
              <w:shd w:val="clea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w:t>
            </w:r>
          </w:p>
        </w:tc>
        <w:tc>
          <w:tcPr>
            <w:tcW w:w="7532" w:type="dxa"/>
            <w:gridSpan w:val="2"/>
            <w:tcBorders>
              <w:tl2br w:val="nil"/>
              <w:tr2bl w:val="nil"/>
            </w:tcBorders>
            <w:vAlign w:val="center"/>
          </w:tcPr>
          <w:p w14:paraId="29CF8C88">
            <w:pPr>
              <w:shd w:val="clear"/>
              <w:jc w:val="both"/>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投标有效期</w:t>
            </w:r>
          </w:p>
        </w:tc>
      </w:tr>
      <w:tr w14:paraId="46F0A0D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2" w:hRule="atLeast"/>
          <w:jc w:val="center"/>
        </w:trPr>
        <w:tc>
          <w:tcPr>
            <w:tcW w:w="878" w:type="dxa"/>
            <w:vMerge w:val="continue"/>
            <w:tcBorders>
              <w:tl2br w:val="nil"/>
              <w:tr2bl w:val="nil"/>
            </w:tcBorders>
            <w:vAlign w:val="center"/>
          </w:tcPr>
          <w:p w14:paraId="578A52D6">
            <w:pPr>
              <w:shd w:val="clear"/>
              <w:jc w:val="center"/>
              <w:rPr>
                <w:rFonts w:hint="eastAsia" w:ascii="宋体" w:hAnsi="宋体" w:eastAsia="宋体" w:cs="宋体"/>
                <w:color w:val="auto"/>
                <w:szCs w:val="21"/>
                <w:highlight w:val="none"/>
              </w:rPr>
            </w:pPr>
          </w:p>
        </w:tc>
        <w:tc>
          <w:tcPr>
            <w:tcW w:w="7532" w:type="dxa"/>
            <w:gridSpan w:val="2"/>
            <w:tcBorders>
              <w:tl2br w:val="nil"/>
              <w:tr2bl w:val="nil"/>
            </w:tcBorders>
            <w:vAlign w:val="center"/>
          </w:tcPr>
          <w:p w14:paraId="4C5CFA58">
            <w:pPr>
              <w:shd w:val="clear"/>
              <w:jc w:val="both"/>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九十天。</w:t>
            </w:r>
          </w:p>
        </w:tc>
      </w:tr>
      <w:tr w14:paraId="4B05A5C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94" w:hRule="atLeast"/>
          <w:jc w:val="center"/>
        </w:trPr>
        <w:tc>
          <w:tcPr>
            <w:tcW w:w="878" w:type="dxa"/>
            <w:vMerge w:val="restart"/>
            <w:tcBorders>
              <w:tl2br w:val="nil"/>
              <w:tr2bl w:val="nil"/>
            </w:tcBorders>
            <w:vAlign w:val="center"/>
          </w:tcPr>
          <w:p w14:paraId="5E8D8803">
            <w:pPr>
              <w:shd w:val="clea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11</w:t>
            </w:r>
          </w:p>
        </w:tc>
        <w:tc>
          <w:tcPr>
            <w:tcW w:w="7532" w:type="dxa"/>
            <w:gridSpan w:val="2"/>
            <w:tcBorders>
              <w:tl2br w:val="nil"/>
              <w:tr2bl w:val="nil"/>
            </w:tcBorders>
            <w:vAlign w:val="center"/>
          </w:tcPr>
          <w:p w14:paraId="1841D828">
            <w:pPr>
              <w:shd w:val="clear"/>
              <w:jc w:val="both"/>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投标人应提交以下投标文件（投标文件由唱标信封、商务文件、技术文件、电子文档五部分组成；商务文件、技术文件分别单独装订成册，电子文档装入唱标信封一同封装；具体编制和封装要求详见第四部分投标人须知）</w:t>
            </w:r>
          </w:p>
        </w:tc>
      </w:tr>
      <w:tr w14:paraId="0D76EBC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94" w:hRule="atLeast"/>
          <w:jc w:val="center"/>
        </w:trPr>
        <w:tc>
          <w:tcPr>
            <w:tcW w:w="878" w:type="dxa"/>
            <w:vMerge w:val="continue"/>
            <w:tcBorders>
              <w:tl2br w:val="nil"/>
              <w:tr2bl w:val="nil"/>
            </w:tcBorders>
            <w:vAlign w:val="center"/>
          </w:tcPr>
          <w:p w14:paraId="174B161A">
            <w:pPr>
              <w:shd w:val="clear"/>
              <w:jc w:val="center"/>
              <w:rPr>
                <w:rFonts w:hint="eastAsia" w:ascii="宋体" w:hAnsi="宋体" w:eastAsia="宋体" w:cs="宋体"/>
                <w:color w:val="auto"/>
                <w:szCs w:val="21"/>
                <w:highlight w:val="none"/>
              </w:rPr>
            </w:pPr>
          </w:p>
        </w:tc>
        <w:tc>
          <w:tcPr>
            <w:tcW w:w="2608" w:type="dxa"/>
            <w:tcBorders>
              <w:tl2br w:val="nil"/>
              <w:tr2bl w:val="nil"/>
            </w:tcBorders>
            <w:vAlign w:val="center"/>
          </w:tcPr>
          <w:p w14:paraId="09010668">
            <w:pPr>
              <w:shd w:val="clear"/>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投标文件类型</w:t>
            </w:r>
          </w:p>
        </w:tc>
        <w:tc>
          <w:tcPr>
            <w:tcW w:w="4924" w:type="dxa"/>
            <w:tcBorders>
              <w:tl2br w:val="nil"/>
              <w:tr2bl w:val="nil"/>
            </w:tcBorders>
            <w:vAlign w:val="center"/>
          </w:tcPr>
          <w:p w14:paraId="49858594">
            <w:pPr>
              <w:shd w:val="clear"/>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份数</w:t>
            </w:r>
          </w:p>
        </w:tc>
      </w:tr>
      <w:tr w14:paraId="4CD7891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94" w:hRule="atLeast"/>
          <w:jc w:val="center"/>
        </w:trPr>
        <w:tc>
          <w:tcPr>
            <w:tcW w:w="878" w:type="dxa"/>
            <w:vMerge w:val="continue"/>
            <w:tcBorders>
              <w:tl2br w:val="nil"/>
              <w:tr2bl w:val="nil"/>
            </w:tcBorders>
            <w:vAlign w:val="center"/>
          </w:tcPr>
          <w:p w14:paraId="40B64B05">
            <w:pPr>
              <w:shd w:val="clear"/>
              <w:jc w:val="center"/>
              <w:rPr>
                <w:rFonts w:hint="eastAsia" w:ascii="宋体" w:hAnsi="宋体" w:eastAsia="宋体" w:cs="宋体"/>
                <w:color w:val="auto"/>
                <w:szCs w:val="21"/>
                <w:highlight w:val="none"/>
              </w:rPr>
            </w:pPr>
          </w:p>
        </w:tc>
        <w:tc>
          <w:tcPr>
            <w:tcW w:w="2608" w:type="dxa"/>
            <w:tcBorders>
              <w:tl2br w:val="nil"/>
              <w:tr2bl w:val="nil"/>
            </w:tcBorders>
            <w:vAlign w:val="center"/>
          </w:tcPr>
          <w:p w14:paraId="2D64C879">
            <w:pPr>
              <w:shd w:val="clear"/>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唱标信封</w:t>
            </w:r>
          </w:p>
        </w:tc>
        <w:tc>
          <w:tcPr>
            <w:tcW w:w="4924" w:type="dxa"/>
            <w:tcBorders>
              <w:tl2br w:val="nil"/>
              <w:tr2bl w:val="nil"/>
            </w:tcBorders>
            <w:vAlign w:val="center"/>
          </w:tcPr>
          <w:p w14:paraId="01435925">
            <w:pPr>
              <w:shd w:val="clear"/>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1</w:t>
            </w:r>
          </w:p>
        </w:tc>
      </w:tr>
      <w:tr w14:paraId="66ECAFC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94" w:hRule="atLeast"/>
          <w:jc w:val="center"/>
        </w:trPr>
        <w:tc>
          <w:tcPr>
            <w:tcW w:w="878" w:type="dxa"/>
            <w:vMerge w:val="continue"/>
            <w:tcBorders>
              <w:tl2br w:val="nil"/>
              <w:tr2bl w:val="nil"/>
            </w:tcBorders>
            <w:vAlign w:val="center"/>
          </w:tcPr>
          <w:p w14:paraId="526971CF">
            <w:pPr>
              <w:shd w:val="clear"/>
              <w:jc w:val="center"/>
              <w:rPr>
                <w:rFonts w:hint="eastAsia" w:ascii="宋体" w:hAnsi="宋体" w:eastAsia="宋体" w:cs="宋体"/>
                <w:color w:val="auto"/>
                <w:szCs w:val="21"/>
                <w:highlight w:val="none"/>
              </w:rPr>
            </w:pPr>
          </w:p>
        </w:tc>
        <w:tc>
          <w:tcPr>
            <w:tcW w:w="2608" w:type="dxa"/>
            <w:tcBorders>
              <w:tl2br w:val="nil"/>
              <w:tr2bl w:val="nil"/>
            </w:tcBorders>
            <w:vAlign w:val="center"/>
          </w:tcPr>
          <w:p w14:paraId="279BAE2D">
            <w:pPr>
              <w:shd w:val="clear"/>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投标文件正本</w:t>
            </w:r>
          </w:p>
        </w:tc>
        <w:tc>
          <w:tcPr>
            <w:tcW w:w="4924" w:type="dxa"/>
            <w:tcBorders>
              <w:tl2br w:val="nil"/>
              <w:tr2bl w:val="nil"/>
            </w:tcBorders>
            <w:vAlign w:val="center"/>
          </w:tcPr>
          <w:p w14:paraId="4A8A6B2C">
            <w:pPr>
              <w:shd w:val="clear"/>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1</w:t>
            </w:r>
          </w:p>
        </w:tc>
      </w:tr>
      <w:tr w14:paraId="38DF483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537" w:hRule="atLeast"/>
          <w:jc w:val="center"/>
        </w:trPr>
        <w:tc>
          <w:tcPr>
            <w:tcW w:w="878" w:type="dxa"/>
            <w:vMerge w:val="continue"/>
            <w:tcBorders>
              <w:tl2br w:val="nil"/>
              <w:tr2bl w:val="nil"/>
            </w:tcBorders>
            <w:vAlign w:val="center"/>
          </w:tcPr>
          <w:p w14:paraId="5736AFDB">
            <w:pPr>
              <w:shd w:val="clear"/>
              <w:jc w:val="center"/>
              <w:rPr>
                <w:rFonts w:hint="eastAsia" w:ascii="宋体" w:hAnsi="宋体" w:eastAsia="宋体" w:cs="宋体"/>
                <w:color w:val="auto"/>
                <w:szCs w:val="21"/>
                <w:highlight w:val="none"/>
              </w:rPr>
            </w:pPr>
          </w:p>
        </w:tc>
        <w:tc>
          <w:tcPr>
            <w:tcW w:w="2608" w:type="dxa"/>
            <w:tcBorders>
              <w:tl2br w:val="nil"/>
              <w:tr2bl w:val="nil"/>
            </w:tcBorders>
            <w:vAlign w:val="center"/>
          </w:tcPr>
          <w:p w14:paraId="4056C009">
            <w:pPr>
              <w:shd w:val="clear"/>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投标文件副本</w:t>
            </w:r>
          </w:p>
        </w:tc>
        <w:tc>
          <w:tcPr>
            <w:tcW w:w="4924" w:type="dxa"/>
            <w:tcBorders>
              <w:tl2br w:val="nil"/>
              <w:tr2bl w:val="nil"/>
            </w:tcBorders>
            <w:vAlign w:val="center"/>
          </w:tcPr>
          <w:p w14:paraId="4D327EDF">
            <w:pPr>
              <w:shd w:val="clear"/>
              <w:jc w:val="center"/>
              <w:rPr>
                <w:rFonts w:hint="eastAsia" w:ascii="宋体" w:hAnsi="宋体" w:eastAsia="宋体" w:cs="宋体"/>
                <w:b/>
                <w:color w:val="auto"/>
                <w:szCs w:val="21"/>
                <w:highlight w:val="none"/>
              </w:rPr>
            </w:pPr>
            <w:r>
              <w:rPr>
                <w:rFonts w:hint="eastAsia" w:ascii="宋体" w:hAnsi="宋体" w:cs="宋体"/>
                <w:b/>
                <w:color w:val="auto"/>
                <w:szCs w:val="21"/>
                <w:highlight w:val="none"/>
                <w:lang w:eastAsia="zh-CN"/>
              </w:rPr>
              <w:sym w:font="Wingdings 2" w:char="0052"/>
            </w:r>
            <w:r>
              <w:rPr>
                <w:rFonts w:hint="eastAsia" w:ascii="宋体" w:hAnsi="宋体" w:eastAsia="宋体" w:cs="宋体"/>
                <w:b/>
                <w:color w:val="auto"/>
                <w:szCs w:val="21"/>
                <w:highlight w:val="none"/>
              </w:rPr>
              <w:t xml:space="preserve">5  </w:t>
            </w:r>
            <w:r>
              <w:rPr>
                <w:rFonts w:hint="eastAsia" w:ascii="宋体" w:hAnsi="宋体" w:cs="宋体"/>
                <w:b/>
                <w:color w:val="auto"/>
                <w:szCs w:val="21"/>
                <w:highlight w:val="none"/>
                <w:lang w:eastAsia="zh-CN"/>
              </w:rPr>
              <w:sym w:font="Wingdings 2" w:char="00A3"/>
            </w:r>
            <w:r>
              <w:rPr>
                <w:rFonts w:hint="eastAsia" w:ascii="宋体" w:hAnsi="宋体" w:eastAsia="宋体" w:cs="宋体"/>
                <w:b/>
                <w:color w:val="auto"/>
                <w:szCs w:val="21"/>
                <w:highlight w:val="none"/>
              </w:rPr>
              <w:t>7</w:t>
            </w:r>
          </w:p>
        </w:tc>
      </w:tr>
      <w:tr w14:paraId="44F4B32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94" w:hRule="atLeast"/>
          <w:jc w:val="center"/>
        </w:trPr>
        <w:tc>
          <w:tcPr>
            <w:tcW w:w="878" w:type="dxa"/>
            <w:vMerge w:val="continue"/>
            <w:tcBorders>
              <w:tl2br w:val="nil"/>
              <w:tr2bl w:val="nil"/>
            </w:tcBorders>
            <w:vAlign w:val="center"/>
          </w:tcPr>
          <w:p w14:paraId="4392A7C3">
            <w:pPr>
              <w:shd w:val="clear"/>
              <w:jc w:val="center"/>
              <w:rPr>
                <w:rFonts w:hint="eastAsia" w:ascii="宋体" w:hAnsi="宋体" w:eastAsia="宋体" w:cs="宋体"/>
                <w:color w:val="auto"/>
                <w:szCs w:val="21"/>
                <w:highlight w:val="none"/>
              </w:rPr>
            </w:pPr>
          </w:p>
        </w:tc>
        <w:tc>
          <w:tcPr>
            <w:tcW w:w="2608" w:type="dxa"/>
            <w:vMerge w:val="restart"/>
            <w:tcBorders>
              <w:tl2br w:val="nil"/>
              <w:tr2bl w:val="nil"/>
            </w:tcBorders>
            <w:vAlign w:val="center"/>
          </w:tcPr>
          <w:p w14:paraId="051FD013">
            <w:pPr>
              <w:shd w:val="clear"/>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电子文档</w:t>
            </w:r>
          </w:p>
        </w:tc>
        <w:tc>
          <w:tcPr>
            <w:tcW w:w="4924" w:type="dxa"/>
            <w:tcBorders>
              <w:tl2br w:val="nil"/>
              <w:tr2bl w:val="nil"/>
            </w:tcBorders>
            <w:vAlign w:val="center"/>
          </w:tcPr>
          <w:p w14:paraId="350E4367">
            <w:pPr>
              <w:shd w:val="clear"/>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1</w:t>
            </w:r>
          </w:p>
        </w:tc>
      </w:tr>
      <w:tr w14:paraId="1111604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94" w:hRule="atLeast"/>
          <w:jc w:val="center"/>
        </w:trPr>
        <w:tc>
          <w:tcPr>
            <w:tcW w:w="878" w:type="dxa"/>
            <w:vMerge w:val="continue"/>
            <w:tcBorders>
              <w:tl2br w:val="nil"/>
              <w:tr2bl w:val="nil"/>
            </w:tcBorders>
            <w:vAlign w:val="center"/>
          </w:tcPr>
          <w:p w14:paraId="6D106C33">
            <w:pPr>
              <w:shd w:val="clear"/>
              <w:jc w:val="center"/>
              <w:rPr>
                <w:rFonts w:hint="eastAsia" w:ascii="宋体" w:hAnsi="宋体" w:eastAsia="宋体" w:cs="宋体"/>
                <w:color w:val="auto"/>
                <w:szCs w:val="21"/>
                <w:highlight w:val="none"/>
              </w:rPr>
            </w:pPr>
          </w:p>
        </w:tc>
        <w:tc>
          <w:tcPr>
            <w:tcW w:w="2608" w:type="dxa"/>
            <w:vMerge w:val="continue"/>
            <w:tcBorders>
              <w:tl2br w:val="nil"/>
              <w:tr2bl w:val="nil"/>
            </w:tcBorders>
            <w:vAlign w:val="center"/>
          </w:tcPr>
          <w:p w14:paraId="2E553192">
            <w:pPr>
              <w:shd w:val="clear"/>
              <w:jc w:val="center"/>
              <w:rPr>
                <w:rFonts w:hint="eastAsia" w:ascii="宋体" w:hAnsi="宋体" w:eastAsia="宋体" w:cs="宋体"/>
                <w:b/>
                <w:color w:val="auto"/>
                <w:szCs w:val="21"/>
                <w:highlight w:val="none"/>
              </w:rPr>
            </w:pPr>
          </w:p>
        </w:tc>
        <w:tc>
          <w:tcPr>
            <w:tcW w:w="4924" w:type="dxa"/>
            <w:tcBorders>
              <w:tl2br w:val="nil"/>
              <w:tr2bl w:val="nil"/>
            </w:tcBorders>
            <w:vAlign w:val="center"/>
          </w:tcPr>
          <w:p w14:paraId="4D8A888C">
            <w:pPr>
              <w:shd w:val="clear"/>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U盘，须含盖章版PDF投标文件和WORD版投标文件各一版，文字采用WORD文档，计算表格采用 EXCEL文档。</w:t>
            </w:r>
          </w:p>
        </w:tc>
      </w:tr>
      <w:tr w14:paraId="60E5CBC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857" w:hRule="atLeast"/>
          <w:jc w:val="center"/>
        </w:trPr>
        <w:tc>
          <w:tcPr>
            <w:tcW w:w="8410" w:type="dxa"/>
            <w:gridSpan w:val="3"/>
            <w:tcBorders>
              <w:tl2br w:val="nil"/>
              <w:tr2bl w:val="nil"/>
            </w:tcBorders>
            <w:vAlign w:val="center"/>
          </w:tcPr>
          <w:p w14:paraId="66D2F5C1">
            <w:pPr>
              <w:shd w:val="clear"/>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三、开标与评标</w:t>
            </w:r>
          </w:p>
        </w:tc>
      </w:tr>
      <w:tr w14:paraId="6197CAE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3" w:hRule="atLeast"/>
          <w:jc w:val="center"/>
        </w:trPr>
        <w:tc>
          <w:tcPr>
            <w:tcW w:w="878" w:type="dxa"/>
            <w:vMerge w:val="restart"/>
            <w:tcBorders>
              <w:tl2br w:val="nil"/>
              <w:tr2bl w:val="nil"/>
            </w:tcBorders>
            <w:vAlign w:val="center"/>
          </w:tcPr>
          <w:p w14:paraId="40BFCC33">
            <w:pPr>
              <w:shd w:val="clea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12</w:t>
            </w:r>
          </w:p>
        </w:tc>
        <w:tc>
          <w:tcPr>
            <w:tcW w:w="7532" w:type="dxa"/>
            <w:gridSpan w:val="2"/>
            <w:tcBorders>
              <w:tl2br w:val="nil"/>
              <w:tr2bl w:val="nil"/>
            </w:tcBorders>
            <w:vAlign w:val="center"/>
          </w:tcPr>
          <w:p w14:paraId="517B33AD">
            <w:pPr>
              <w:shd w:val="clear"/>
              <w:jc w:val="both"/>
              <w:rPr>
                <w:rFonts w:hint="eastAsia" w:ascii="宋体" w:hAnsi="宋体" w:eastAsia="宋体" w:cs="宋体"/>
                <w:color w:val="auto"/>
                <w:szCs w:val="21"/>
                <w:highlight w:val="none"/>
              </w:rPr>
            </w:pPr>
            <w:r>
              <w:rPr>
                <w:rFonts w:hint="eastAsia" w:ascii="宋体" w:hAnsi="宋体" w:eastAsia="宋体" w:cs="宋体"/>
                <w:b/>
                <w:color w:val="auto"/>
                <w:szCs w:val="21"/>
                <w:highlight w:val="none"/>
              </w:rPr>
              <w:t>本项目评标方法</w:t>
            </w:r>
          </w:p>
        </w:tc>
      </w:tr>
      <w:tr w14:paraId="14132F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2" w:hRule="atLeast"/>
          <w:jc w:val="center"/>
        </w:trPr>
        <w:tc>
          <w:tcPr>
            <w:tcW w:w="878" w:type="dxa"/>
            <w:vMerge w:val="continue"/>
            <w:tcBorders>
              <w:tl2br w:val="nil"/>
              <w:tr2bl w:val="nil"/>
            </w:tcBorders>
            <w:vAlign w:val="center"/>
          </w:tcPr>
          <w:p w14:paraId="3E67389D">
            <w:pPr>
              <w:shd w:val="clear"/>
              <w:jc w:val="center"/>
              <w:rPr>
                <w:rFonts w:hint="eastAsia" w:ascii="宋体" w:hAnsi="宋体" w:eastAsia="宋体" w:cs="宋体"/>
                <w:color w:val="auto"/>
                <w:szCs w:val="21"/>
                <w:highlight w:val="none"/>
              </w:rPr>
            </w:pPr>
          </w:p>
        </w:tc>
        <w:tc>
          <w:tcPr>
            <w:tcW w:w="7532" w:type="dxa"/>
            <w:gridSpan w:val="2"/>
            <w:tcBorders>
              <w:tl2br w:val="nil"/>
              <w:tr2bl w:val="nil"/>
            </w:tcBorders>
            <w:vAlign w:val="center"/>
          </w:tcPr>
          <w:p w14:paraId="38E4AF5C">
            <w:pPr>
              <w:shd w:val="clear"/>
              <w:jc w:val="both"/>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综合评分法。</w:t>
            </w:r>
          </w:p>
        </w:tc>
      </w:tr>
      <w:tr w14:paraId="240DC84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3" w:hRule="atLeast"/>
          <w:jc w:val="center"/>
        </w:trPr>
        <w:tc>
          <w:tcPr>
            <w:tcW w:w="878" w:type="dxa"/>
            <w:vMerge w:val="restart"/>
            <w:tcBorders>
              <w:tl2br w:val="nil"/>
              <w:tr2bl w:val="nil"/>
            </w:tcBorders>
            <w:vAlign w:val="center"/>
          </w:tcPr>
          <w:p w14:paraId="32DE091C">
            <w:pPr>
              <w:shd w:val="clea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13</w:t>
            </w:r>
          </w:p>
        </w:tc>
        <w:tc>
          <w:tcPr>
            <w:tcW w:w="7532" w:type="dxa"/>
            <w:gridSpan w:val="2"/>
            <w:tcBorders>
              <w:tl2br w:val="nil"/>
              <w:tr2bl w:val="nil"/>
            </w:tcBorders>
            <w:vAlign w:val="center"/>
          </w:tcPr>
          <w:p w14:paraId="08E9E322">
            <w:pPr>
              <w:shd w:val="clear"/>
              <w:jc w:val="both"/>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综合评分法评分因素和权重分值</w:t>
            </w:r>
          </w:p>
        </w:tc>
      </w:tr>
      <w:tr w14:paraId="0E88BB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2" w:hRule="atLeast"/>
          <w:jc w:val="center"/>
        </w:trPr>
        <w:tc>
          <w:tcPr>
            <w:tcW w:w="878" w:type="dxa"/>
            <w:vMerge w:val="continue"/>
            <w:tcBorders>
              <w:tl2br w:val="nil"/>
              <w:tr2bl w:val="nil"/>
            </w:tcBorders>
            <w:vAlign w:val="center"/>
          </w:tcPr>
          <w:p w14:paraId="64AF7572">
            <w:pPr>
              <w:shd w:val="clear"/>
              <w:jc w:val="center"/>
              <w:rPr>
                <w:rFonts w:hint="eastAsia" w:ascii="宋体" w:hAnsi="宋体" w:eastAsia="宋体" w:cs="宋体"/>
                <w:color w:val="auto"/>
                <w:szCs w:val="21"/>
                <w:highlight w:val="none"/>
              </w:rPr>
            </w:pPr>
          </w:p>
        </w:tc>
        <w:tc>
          <w:tcPr>
            <w:tcW w:w="7532" w:type="dxa"/>
            <w:gridSpan w:val="2"/>
            <w:tcBorders>
              <w:tl2br w:val="nil"/>
              <w:tr2bl w:val="nil"/>
            </w:tcBorders>
            <w:vAlign w:val="center"/>
          </w:tcPr>
          <w:p w14:paraId="7406A28D">
            <w:pPr>
              <w:shd w:val="clear"/>
              <w:jc w:val="both"/>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见附表二。</w:t>
            </w:r>
          </w:p>
        </w:tc>
      </w:tr>
      <w:tr w14:paraId="035B3E5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2" w:hRule="atLeast"/>
          <w:jc w:val="center"/>
        </w:trPr>
        <w:tc>
          <w:tcPr>
            <w:tcW w:w="878" w:type="dxa"/>
            <w:vMerge w:val="restart"/>
            <w:tcBorders>
              <w:tl2br w:val="nil"/>
              <w:tr2bl w:val="nil"/>
            </w:tcBorders>
            <w:vAlign w:val="center"/>
          </w:tcPr>
          <w:p w14:paraId="67C9FFE7">
            <w:pPr>
              <w:shd w:val="clea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14</w:t>
            </w:r>
          </w:p>
        </w:tc>
        <w:tc>
          <w:tcPr>
            <w:tcW w:w="7532" w:type="dxa"/>
            <w:gridSpan w:val="2"/>
            <w:tcBorders>
              <w:tl2br w:val="nil"/>
              <w:tr2bl w:val="nil"/>
            </w:tcBorders>
            <w:vAlign w:val="center"/>
          </w:tcPr>
          <w:p w14:paraId="20073B41">
            <w:pPr>
              <w:shd w:val="clear"/>
              <w:jc w:val="both"/>
              <w:rPr>
                <w:rFonts w:hint="eastAsia" w:ascii="宋体" w:hAnsi="宋体" w:eastAsia="宋体" w:cs="宋体"/>
                <w:color w:val="auto"/>
                <w:szCs w:val="21"/>
                <w:highlight w:val="none"/>
              </w:rPr>
            </w:pPr>
            <w:r>
              <w:rPr>
                <w:rFonts w:hint="eastAsia" w:ascii="宋体" w:hAnsi="宋体" w:eastAsia="宋体" w:cs="宋体"/>
                <w:b/>
                <w:color w:val="auto"/>
                <w:szCs w:val="21"/>
                <w:highlight w:val="none"/>
              </w:rPr>
              <w:t>评标委员会</w:t>
            </w:r>
          </w:p>
        </w:tc>
      </w:tr>
      <w:tr w14:paraId="7AC341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2" w:hRule="atLeast"/>
          <w:jc w:val="center"/>
        </w:trPr>
        <w:tc>
          <w:tcPr>
            <w:tcW w:w="878" w:type="dxa"/>
            <w:vMerge w:val="continue"/>
            <w:tcBorders>
              <w:tl2br w:val="nil"/>
              <w:tr2bl w:val="nil"/>
            </w:tcBorders>
            <w:vAlign w:val="center"/>
          </w:tcPr>
          <w:p w14:paraId="79001077">
            <w:pPr>
              <w:shd w:val="clear"/>
              <w:jc w:val="center"/>
              <w:rPr>
                <w:rFonts w:hint="eastAsia" w:ascii="宋体" w:hAnsi="宋体" w:eastAsia="宋体" w:cs="宋体"/>
                <w:color w:val="auto"/>
                <w:szCs w:val="21"/>
                <w:highlight w:val="none"/>
              </w:rPr>
            </w:pPr>
          </w:p>
        </w:tc>
        <w:tc>
          <w:tcPr>
            <w:tcW w:w="7532" w:type="dxa"/>
            <w:gridSpan w:val="2"/>
            <w:tcBorders>
              <w:tl2br w:val="nil"/>
              <w:tr2bl w:val="nil"/>
            </w:tcBorders>
            <w:vAlign w:val="center"/>
          </w:tcPr>
          <w:p w14:paraId="1B3CEE67">
            <w:pPr>
              <w:shd w:val="clear"/>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评标委员会成员共</w:t>
            </w:r>
            <w:r>
              <w:rPr>
                <w:rFonts w:hint="eastAsia" w:ascii="宋体" w:hAnsi="宋体" w:cs="宋体"/>
                <w:color w:val="auto"/>
                <w:szCs w:val="21"/>
                <w:highlight w:val="none"/>
                <w:u w:val="single"/>
                <w:lang w:val="en-US" w:eastAsia="zh-CN"/>
              </w:rPr>
              <w:t>5</w:t>
            </w:r>
            <w:r>
              <w:rPr>
                <w:rFonts w:hint="eastAsia" w:ascii="宋体" w:hAnsi="宋体" w:eastAsia="宋体" w:cs="宋体"/>
                <w:color w:val="auto"/>
                <w:szCs w:val="21"/>
                <w:highlight w:val="none"/>
              </w:rPr>
              <w:t>人：</w:t>
            </w:r>
            <w:r>
              <w:rPr>
                <w:rFonts w:hint="eastAsia" w:ascii="宋体" w:hAnsi="宋体" w:eastAsia="宋体" w:cs="宋体"/>
                <w:color w:val="auto"/>
                <w:szCs w:val="21"/>
                <w:highlight w:val="none"/>
                <w:lang w:val="zh-CN"/>
              </w:rPr>
              <w:t>评标委员会由采购人</w:t>
            </w:r>
            <w:r>
              <w:rPr>
                <w:rFonts w:hint="eastAsia" w:ascii="宋体" w:hAnsi="宋体" w:eastAsia="宋体" w:cs="宋体"/>
                <w:color w:val="auto"/>
                <w:szCs w:val="21"/>
                <w:highlight w:val="none"/>
              </w:rPr>
              <w:t>的</w:t>
            </w:r>
            <w:r>
              <w:rPr>
                <w:rFonts w:hint="eastAsia" w:ascii="宋体" w:hAnsi="宋体" w:eastAsia="宋体" w:cs="宋体"/>
                <w:color w:val="auto"/>
                <w:szCs w:val="21"/>
                <w:highlight w:val="none"/>
                <w:lang w:val="zh-CN"/>
              </w:rPr>
              <w:t>代表和</w:t>
            </w:r>
            <w:r>
              <w:rPr>
                <w:rFonts w:hint="eastAsia" w:ascii="宋体" w:hAnsi="宋体" w:eastAsia="宋体" w:cs="宋体"/>
                <w:color w:val="auto"/>
                <w:szCs w:val="21"/>
                <w:highlight w:val="none"/>
              </w:rPr>
              <w:t>有关方面的</w:t>
            </w:r>
            <w:r>
              <w:rPr>
                <w:rFonts w:hint="eastAsia" w:ascii="宋体" w:hAnsi="宋体" w:eastAsia="宋体" w:cs="宋体"/>
                <w:color w:val="auto"/>
                <w:szCs w:val="21"/>
                <w:highlight w:val="none"/>
                <w:lang w:val="zh-CN"/>
              </w:rPr>
              <w:t>专家组成，</w:t>
            </w:r>
            <w:r>
              <w:rPr>
                <w:rFonts w:hint="eastAsia" w:ascii="宋体" w:hAnsi="宋体" w:eastAsia="宋体" w:cs="宋体"/>
                <w:color w:val="auto"/>
                <w:szCs w:val="21"/>
                <w:highlight w:val="none"/>
              </w:rPr>
              <w:t>成员人数为五人或五人以上单数</w:t>
            </w:r>
            <w:r>
              <w:rPr>
                <w:rFonts w:hint="eastAsia" w:ascii="宋体" w:hAnsi="宋体" w:eastAsia="宋体" w:cs="宋体"/>
                <w:color w:val="auto"/>
                <w:szCs w:val="21"/>
                <w:highlight w:val="none"/>
                <w:lang w:val="zh-CN"/>
              </w:rPr>
              <w:t>，其中专家不得少于成员总数的三分之二。</w:t>
            </w:r>
          </w:p>
        </w:tc>
      </w:tr>
      <w:tr w14:paraId="68AD85C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cantSplit/>
          <w:trHeight w:val="748" w:hRule="atLeast"/>
          <w:jc w:val="center"/>
        </w:trPr>
        <w:tc>
          <w:tcPr>
            <w:tcW w:w="8410" w:type="dxa"/>
            <w:gridSpan w:val="3"/>
            <w:tcBorders>
              <w:tl2br w:val="nil"/>
              <w:tr2bl w:val="nil"/>
            </w:tcBorders>
            <w:vAlign w:val="center"/>
          </w:tcPr>
          <w:p w14:paraId="554F6B67">
            <w:pPr>
              <w:shd w:val="clear"/>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四、授予合同</w:t>
            </w:r>
          </w:p>
        </w:tc>
      </w:tr>
      <w:tr w14:paraId="749C122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663" w:hRule="atLeast"/>
          <w:jc w:val="center"/>
        </w:trPr>
        <w:tc>
          <w:tcPr>
            <w:tcW w:w="878" w:type="dxa"/>
            <w:tcBorders>
              <w:tl2br w:val="nil"/>
              <w:tr2bl w:val="nil"/>
            </w:tcBorders>
            <w:vAlign w:val="center"/>
          </w:tcPr>
          <w:p w14:paraId="7215E23B">
            <w:pPr>
              <w:shd w:val="clea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15</w:t>
            </w:r>
          </w:p>
        </w:tc>
        <w:tc>
          <w:tcPr>
            <w:tcW w:w="7532" w:type="dxa"/>
            <w:gridSpan w:val="2"/>
            <w:tcBorders>
              <w:tl2br w:val="nil"/>
              <w:tr2bl w:val="nil"/>
            </w:tcBorders>
            <w:shd w:val="clear" w:color="auto" w:fill="auto"/>
            <w:vAlign w:val="center"/>
          </w:tcPr>
          <w:p w14:paraId="38772C0F">
            <w:pPr>
              <w:shd w:val="clear"/>
              <w:jc w:val="both"/>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履约</w:t>
            </w:r>
            <w:r>
              <w:rPr>
                <w:rFonts w:hint="eastAsia" w:ascii="宋体" w:hAnsi="宋体" w:cs="宋体"/>
                <w:b/>
                <w:color w:val="auto"/>
                <w:szCs w:val="21"/>
                <w:highlight w:val="none"/>
                <w:lang w:val="en-US" w:eastAsia="zh-CN"/>
              </w:rPr>
              <w:t>保证金：不收取</w:t>
            </w:r>
          </w:p>
        </w:tc>
      </w:tr>
      <w:tr w14:paraId="3E728F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52" w:hRule="atLeast"/>
          <w:jc w:val="center"/>
        </w:trPr>
        <w:tc>
          <w:tcPr>
            <w:tcW w:w="878" w:type="dxa"/>
            <w:vMerge w:val="restart"/>
            <w:tcBorders>
              <w:tl2br w:val="nil"/>
              <w:tr2bl w:val="nil"/>
            </w:tcBorders>
            <w:vAlign w:val="center"/>
          </w:tcPr>
          <w:p w14:paraId="44F8BB22">
            <w:pPr>
              <w:shd w:val="clea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16</w:t>
            </w:r>
          </w:p>
        </w:tc>
        <w:tc>
          <w:tcPr>
            <w:tcW w:w="7532" w:type="dxa"/>
            <w:gridSpan w:val="2"/>
            <w:tcBorders>
              <w:tl2br w:val="nil"/>
              <w:tr2bl w:val="nil"/>
            </w:tcBorders>
            <w:vAlign w:val="center"/>
          </w:tcPr>
          <w:p w14:paraId="05493473">
            <w:pPr>
              <w:shd w:val="clear"/>
              <w:jc w:val="both"/>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中标服务费</w:t>
            </w:r>
          </w:p>
        </w:tc>
      </w:tr>
      <w:tr w14:paraId="2AC1F1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52" w:hRule="atLeast"/>
          <w:jc w:val="center"/>
        </w:trPr>
        <w:tc>
          <w:tcPr>
            <w:tcW w:w="878" w:type="dxa"/>
            <w:vMerge w:val="continue"/>
            <w:tcBorders>
              <w:tl2br w:val="nil"/>
              <w:tr2bl w:val="nil"/>
            </w:tcBorders>
            <w:vAlign w:val="center"/>
          </w:tcPr>
          <w:p w14:paraId="6CC4F5D5">
            <w:pPr>
              <w:shd w:val="clear"/>
              <w:jc w:val="center"/>
              <w:rPr>
                <w:rFonts w:hint="eastAsia" w:ascii="宋体" w:hAnsi="宋体" w:eastAsia="宋体" w:cs="宋体"/>
                <w:color w:val="auto"/>
                <w:szCs w:val="21"/>
                <w:highlight w:val="none"/>
              </w:rPr>
            </w:pPr>
          </w:p>
        </w:tc>
        <w:tc>
          <w:tcPr>
            <w:tcW w:w="7532" w:type="dxa"/>
            <w:gridSpan w:val="2"/>
            <w:tcBorders>
              <w:tl2br w:val="nil"/>
              <w:tr2bl w:val="nil"/>
            </w:tcBorders>
            <w:vAlign w:val="center"/>
          </w:tcPr>
          <w:p w14:paraId="271E4B9B">
            <w:pPr>
              <w:widowControl/>
              <w:shd w:val="clear"/>
              <w:adjustRightInd/>
              <w:snapToGrid/>
              <w:spacing w:line="360" w:lineRule="auto"/>
              <w:jc w:val="both"/>
              <w:rPr>
                <w:b w:val="0"/>
                <w:bCs/>
                <w:color w:val="auto"/>
                <w:highlight w:val="none"/>
              </w:rPr>
            </w:pPr>
            <w:r>
              <w:rPr>
                <w:rFonts w:hint="eastAsia" w:ascii="宋体" w:hAnsi="宋体" w:cs="宋体"/>
                <w:b w:val="0"/>
                <w:bCs/>
                <w:color w:val="auto"/>
                <w:szCs w:val="21"/>
                <w:highlight w:val="none"/>
                <w:lang w:eastAsia="zh-CN"/>
              </w:rPr>
              <w:t>（</w:t>
            </w:r>
            <w:r>
              <w:rPr>
                <w:rFonts w:hint="eastAsia" w:ascii="宋体" w:hAnsi="宋体" w:cs="宋体"/>
                <w:b w:val="0"/>
                <w:bCs/>
                <w:color w:val="auto"/>
                <w:szCs w:val="21"/>
                <w:highlight w:val="none"/>
                <w:lang w:val="en-US" w:eastAsia="zh-CN"/>
              </w:rPr>
              <w:t>1</w:t>
            </w:r>
            <w:r>
              <w:rPr>
                <w:rFonts w:hint="eastAsia" w:ascii="宋体" w:hAnsi="宋体" w:cs="宋体"/>
                <w:b w:val="0"/>
                <w:bCs/>
                <w:color w:val="auto"/>
                <w:szCs w:val="21"/>
                <w:highlight w:val="none"/>
                <w:lang w:eastAsia="zh-CN"/>
              </w:rPr>
              <w:t>）</w:t>
            </w:r>
            <w:r>
              <w:rPr>
                <w:rFonts w:hint="eastAsia" w:ascii="宋体" w:hAnsi="宋体" w:eastAsia="宋体" w:cs="宋体"/>
                <w:b w:val="0"/>
                <w:bCs/>
                <w:color w:val="auto"/>
                <w:szCs w:val="21"/>
                <w:highlight w:val="none"/>
              </w:rPr>
              <w:t>中标服务费</w:t>
            </w:r>
            <w:r>
              <w:rPr>
                <w:rFonts w:hint="eastAsia" w:ascii="宋体" w:hAnsi="宋体" w:cs="宋体"/>
                <w:b w:val="0"/>
                <w:bCs/>
                <w:color w:val="auto"/>
                <w:szCs w:val="21"/>
                <w:highlight w:val="none"/>
                <w:lang w:val="en-US" w:eastAsia="zh-CN"/>
              </w:rPr>
              <w:t>固定金额7500元，</w:t>
            </w:r>
            <w:r>
              <w:rPr>
                <w:rFonts w:hint="eastAsia" w:ascii="宋体" w:hAnsi="宋体" w:eastAsia="宋体" w:cs="宋体"/>
                <w:b w:val="0"/>
                <w:bCs/>
                <w:color w:val="auto"/>
                <w:szCs w:val="21"/>
                <w:highlight w:val="none"/>
                <w:lang w:val="en-US" w:eastAsia="zh-CN"/>
              </w:rPr>
              <w:t>由</w:t>
            </w:r>
            <w:r>
              <w:rPr>
                <w:rFonts w:hint="eastAsia" w:ascii="宋体" w:hAnsi="宋体" w:cs="宋体"/>
                <w:b w:val="0"/>
                <w:bCs/>
                <w:color w:val="auto"/>
                <w:szCs w:val="21"/>
                <w:highlight w:val="none"/>
                <w:lang w:val="en-US" w:eastAsia="zh-CN"/>
              </w:rPr>
              <w:t>中标人</w:t>
            </w:r>
            <w:r>
              <w:rPr>
                <w:rFonts w:hint="eastAsia" w:ascii="宋体" w:hAnsi="宋体" w:eastAsia="宋体" w:cs="宋体"/>
                <w:b w:val="0"/>
                <w:bCs/>
                <w:color w:val="auto"/>
                <w:szCs w:val="21"/>
                <w:highlight w:val="none"/>
                <w:lang w:val="en-US" w:eastAsia="zh-CN"/>
              </w:rPr>
              <w:t>支付</w:t>
            </w:r>
            <w:r>
              <w:rPr>
                <w:rFonts w:hint="eastAsia" w:ascii="宋体" w:hAnsi="宋体" w:cs="宋体"/>
                <w:b w:val="0"/>
                <w:bCs/>
                <w:color w:val="auto"/>
                <w:szCs w:val="21"/>
                <w:highlight w:val="none"/>
                <w:lang w:val="en-US" w:eastAsia="zh-CN"/>
              </w:rPr>
              <w:t>。</w:t>
            </w:r>
          </w:p>
          <w:p w14:paraId="0404596D">
            <w:pPr>
              <w:shd w:val="clear"/>
              <w:adjustRightInd/>
              <w:snapToGrid/>
              <w:spacing w:line="360" w:lineRule="auto"/>
              <w:jc w:val="both"/>
              <w:rPr>
                <w:rFonts w:hint="eastAsia" w:ascii="宋体" w:hAnsi="宋体" w:eastAsia="宋体"/>
                <w:b w:val="0"/>
                <w:bCs/>
                <w:color w:val="auto"/>
                <w:sz w:val="21"/>
                <w:szCs w:val="21"/>
                <w:highlight w:val="none"/>
              </w:rPr>
            </w:pPr>
            <w:r>
              <w:rPr>
                <w:rFonts w:hint="eastAsia" w:ascii="宋体" w:hAnsi="宋体" w:eastAsia="宋体"/>
                <w:b w:val="0"/>
                <w:bCs/>
                <w:color w:val="auto"/>
                <w:sz w:val="21"/>
                <w:szCs w:val="21"/>
                <w:highlight w:val="none"/>
              </w:rPr>
              <w:t>（2）中标服务费以转账的形式支付。</w:t>
            </w:r>
            <w:r>
              <w:rPr>
                <w:rFonts w:hint="eastAsia" w:ascii="宋体" w:hAnsi="宋体" w:eastAsia="宋体"/>
                <w:b w:val="0"/>
                <w:bCs/>
                <w:color w:val="auto"/>
                <w:sz w:val="21"/>
                <w:szCs w:val="21"/>
                <w:highlight w:val="none"/>
                <w:lang w:eastAsia="zh-CN"/>
              </w:rPr>
              <w:t>招标代理机构</w:t>
            </w:r>
            <w:r>
              <w:rPr>
                <w:rFonts w:hint="eastAsia" w:ascii="宋体" w:hAnsi="宋体" w:eastAsia="宋体"/>
                <w:b w:val="0"/>
                <w:bCs/>
                <w:color w:val="auto"/>
                <w:sz w:val="21"/>
                <w:szCs w:val="21"/>
                <w:highlight w:val="none"/>
              </w:rPr>
              <w:t>服务费汇入账号：</w:t>
            </w:r>
          </w:p>
          <w:p w14:paraId="7600CDC3">
            <w:pPr>
              <w:shd w:val="clear"/>
              <w:adjustRightInd/>
              <w:snapToGrid/>
              <w:spacing w:line="360" w:lineRule="auto"/>
              <w:jc w:val="both"/>
              <w:rPr>
                <w:rFonts w:hint="eastAsia" w:ascii="宋体" w:hAnsi="宋体"/>
                <w:b w:val="0"/>
                <w:bCs/>
                <w:color w:val="auto"/>
                <w:szCs w:val="21"/>
                <w:highlight w:val="none"/>
              </w:rPr>
            </w:pPr>
            <w:r>
              <w:rPr>
                <w:rFonts w:hint="eastAsia" w:ascii="宋体" w:hAnsi="宋体"/>
                <w:b w:val="0"/>
                <w:bCs/>
                <w:color w:val="auto"/>
                <w:szCs w:val="21"/>
                <w:highlight w:val="none"/>
              </w:rPr>
              <w:t>收 款 人：</w:t>
            </w:r>
            <w:r>
              <w:rPr>
                <w:rFonts w:hint="eastAsia" w:ascii="宋体" w:hAnsi="宋体"/>
                <w:b w:val="0"/>
                <w:bCs/>
                <w:color w:val="auto"/>
                <w:szCs w:val="21"/>
                <w:highlight w:val="none"/>
                <w:lang w:eastAsia="zh-CN"/>
              </w:rPr>
              <w:t>广州宏达工程顾问集团有限公司</w:t>
            </w:r>
            <w:r>
              <w:rPr>
                <w:rFonts w:hint="eastAsia" w:ascii="宋体" w:hAnsi="宋体"/>
                <w:b w:val="0"/>
                <w:bCs/>
                <w:color w:val="auto"/>
                <w:szCs w:val="21"/>
                <w:highlight w:val="none"/>
              </w:rPr>
              <w:t>东莞分公司</w:t>
            </w:r>
          </w:p>
          <w:p w14:paraId="42F718E6">
            <w:pPr>
              <w:widowControl/>
              <w:shd w:val="clear"/>
              <w:adjustRightInd/>
              <w:snapToGrid/>
              <w:spacing w:line="360" w:lineRule="auto"/>
              <w:jc w:val="both"/>
              <w:rPr>
                <w:rFonts w:hint="eastAsia" w:ascii="宋体" w:hAnsi="宋体"/>
                <w:b w:val="0"/>
                <w:bCs/>
                <w:color w:val="auto"/>
                <w:szCs w:val="21"/>
                <w:highlight w:val="none"/>
                <w:lang w:eastAsia="zh-CN"/>
              </w:rPr>
            </w:pPr>
            <w:r>
              <w:rPr>
                <w:rFonts w:hint="eastAsia" w:ascii="宋体" w:hAnsi="宋体"/>
                <w:b w:val="0"/>
                <w:bCs/>
                <w:color w:val="auto"/>
                <w:szCs w:val="21"/>
                <w:highlight w:val="none"/>
              </w:rPr>
              <w:t>开户银行：</w:t>
            </w:r>
            <w:r>
              <w:rPr>
                <w:rFonts w:hint="eastAsia" w:ascii="宋体" w:hAnsi="宋体"/>
                <w:b w:val="0"/>
                <w:bCs/>
                <w:color w:val="auto"/>
                <w:szCs w:val="21"/>
                <w:highlight w:val="none"/>
                <w:lang w:eastAsia="zh-CN"/>
              </w:rPr>
              <w:t>招商银行东莞分行营业部</w:t>
            </w:r>
          </w:p>
          <w:p w14:paraId="45957500">
            <w:pPr>
              <w:widowControl/>
              <w:shd w:val="clear"/>
              <w:adjustRightInd/>
              <w:snapToGrid/>
              <w:spacing w:line="360" w:lineRule="auto"/>
              <w:jc w:val="both"/>
              <w:rPr>
                <w:rFonts w:hint="eastAsia" w:ascii="宋体" w:hAnsi="宋体" w:eastAsia="宋体" w:cs="宋体"/>
                <w:b/>
                <w:color w:val="auto"/>
                <w:szCs w:val="21"/>
                <w:highlight w:val="none"/>
              </w:rPr>
            </w:pPr>
            <w:r>
              <w:rPr>
                <w:rFonts w:hint="eastAsia" w:ascii="宋体" w:hAnsi="宋体"/>
                <w:b w:val="0"/>
                <w:bCs/>
                <w:color w:val="auto"/>
                <w:szCs w:val="21"/>
                <w:highlight w:val="none"/>
              </w:rPr>
              <w:t>账</w:t>
            </w:r>
            <w:r>
              <w:rPr>
                <w:rFonts w:hint="eastAsia" w:ascii="宋体" w:hAnsi="宋体"/>
                <w:b w:val="0"/>
                <w:bCs/>
                <w:color w:val="auto"/>
                <w:szCs w:val="21"/>
                <w:highlight w:val="none"/>
                <w:lang w:val="en-US" w:eastAsia="zh-CN"/>
              </w:rPr>
              <w:t xml:space="preserve">    </w:t>
            </w:r>
            <w:r>
              <w:rPr>
                <w:rFonts w:hint="eastAsia" w:ascii="宋体" w:hAnsi="宋体"/>
                <w:b w:val="0"/>
                <w:bCs/>
                <w:color w:val="auto"/>
                <w:szCs w:val="21"/>
                <w:highlight w:val="none"/>
              </w:rPr>
              <w:t>号：</w:t>
            </w:r>
            <w:r>
              <w:rPr>
                <w:rFonts w:hint="eastAsia" w:ascii="宋体" w:hAnsi="宋体"/>
                <w:b w:val="0"/>
                <w:bCs/>
                <w:color w:val="auto"/>
                <w:szCs w:val="21"/>
                <w:highlight w:val="none"/>
                <w:lang w:eastAsia="zh-CN"/>
              </w:rPr>
              <w:t>769911939210000</w:t>
            </w:r>
          </w:p>
        </w:tc>
      </w:tr>
      <w:tr w14:paraId="0AE05B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820" w:hRule="atLeast"/>
          <w:jc w:val="center"/>
        </w:trPr>
        <w:tc>
          <w:tcPr>
            <w:tcW w:w="8410" w:type="dxa"/>
            <w:gridSpan w:val="3"/>
            <w:tcBorders>
              <w:tl2br w:val="nil"/>
              <w:tr2bl w:val="nil"/>
            </w:tcBorders>
            <w:vAlign w:val="center"/>
          </w:tcPr>
          <w:p w14:paraId="7D6CBC72">
            <w:pPr>
              <w:widowControl w:val="0"/>
              <w:shd w:val="clear"/>
              <w:tabs>
                <w:tab w:val="left" w:pos="907"/>
              </w:tabs>
              <w:adjustRightInd/>
              <w:snapToGrid/>
              <w:ind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注：本表关于要采购项目的具体资料，是对投标人须知的具体补充和修改，如有矛盾，应以本资料表为准。不满足采购文件中 “★”条款的投标文件将作无效投标处理。</w:t>
            </w:r>
          </w:p>
        </w:tc>
      </w:tr>
    </w:tbl>
    <w:p w14:paraId="5D3CEE4F">
      <w:pPr>
        <w:shd w:val="clear"/>
        <w:jc w:val="cente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5B9AFA2D">
      <w:pPr>
        <w:pStyle w:val="4"/>
        <w:shd w:val="clear"/>
        <w:spacing w:before="0" w:after="0" w:line="240" w:lineRule="auto"/>
        <w:jc w:val="center"/>
        <w:rPr>
          <w:rFonts w:hint="eastAsia" w:ascii="宋体" w:hAnsi="宋体" w:eastAsia="宋体" w:cs="宋体"/>
          <w:color w:val="auto"/>
          <w:sz w:val="21"/>
          <w:szCs w:val="21"/>
          <w:highlight w:val="none"/>
        </w:rPr>
      </w:pPr>
      <w:bookmarkStart w:id="42" w:name="_Toc1445"/>
      <w:bookmarkStart w:id="43" w:name="_Toc8618"/>
      <w:bookmarkStart w:id="44" w:name="_Toc2243"/>
      <w:bookmarkStart w:id="45" w:name="_Toc13298"/>
      <w:bookmarkStart w:id="46" w:name="_Toc18729"/>
      <w:bookmarkStart w:id="47" w:name="_Toc13107"/>
      <w:bookmarkStart w:id="48" w:name="_Toc11303"/>
      <w:bookmarkStart w:id="49" w:name="_Toc28237"/>
      <w:r>
        <w:rPr>
          <w:rFonts w:hint="eastAsia" w:ascii="宋体" w:hAnsi="宋体" w:eastAsia="宋体" w:cs="宋体"/>
          <w:color w:val="auto"/>
          <w:sz w:val="24"/>
          <w:szCs w:val="24"/>
          <w:highlight w:val="none"/>
        </w:rPr>
        <w:t>附表二：商务技术评分权重表（满分100分）</w:t>
      </w:r>
      <w:bookmarkEnd w:id="42"/>
      <w:bookmarkEnd w:id="43"/>
      <w:bookmarkEnd w:id="44"/>
      <w:bookmarkEnd w:id="45"/>
      <w:bookmarkEnd w:id="46"/>
      <w:bookmarkEnd w:id="47"/>
      <w:bookmarkEnd w:id="48"/>
      <w:bookmarkEnd w:id="49"/>
    </w:p>
    <w:tbl>
      <w:tblPr>
        <w:tblStyle w:val="34"/>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1609"/>
        <w:gridCol w:w="900"/>
        <w:gridCol w:w="5323"/>
      </w:tblGrid>
      <w:tr w14:paraId="01032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14:paraId="633AA1B8">
            <w:pPr>
              <w:pStyle w:val="50"/>
              <w:shd w:val="clear"/>
              <w:spacing w:line="360" w:lineRule="auto"/>
              <w:ind w:firstLine="0" w:firstLineChars="0"/>
              <w:jc w:val="center"/>
              <w:rPr>
                <w:rFonts w:hint="eastAsia" w:ascii="宋体" w:hAnsi="宋体" w:eastAsia="宋体" w:cs="宋体"/>
                <w:b/>
                <w:bCs/>
                <w:color w:val="auto"/>
                <w:sz w:val="21"/>
                <w:szCs w:val="21"/>
                <w:highlight w:val="none"/>
                <w:u w:val="none"/>
              </w:rPr>
            </w:pPr>
            <w:r>
              <w:rPr>
                <w:rFonts w:hint="eastAsia" w:ascii="宋体" w:hAnsi="宋体" w:eastAsia="宋体" w:cs="宋体"/>
                <w:b/>
                <w:bCs/>
                <w:color w:val="auto"/>
                <w:sz w:val="21"/>
                <w:szCs w:val="21"/>
                <w:highlight w:val="none"/>
                <w:u w:val="none"/>
              </w:rPr>
              <w:t>序号</w:t>
            </w:r>
          </w:p>
        </w:tc>
        <w:tc>
          <w:tcPr>
            <w:tcW w:w="1609" w:type="dxa"/>
            <w:tcBorders>
              <w:top w:val="single" w:color="auto" w:sz="4" w:space="0"/>
              <w:left w:val="single" w:color="auto" w:sz="4" w:space="0"/>
              <w:bottom w:val="single" w:color="auto" w:sz="4" w:space="0"/>
              <w:right w:val="single" w:color="auto" w:sz="4" w:space="0"/>
            </w:tcBorders>
            <w:vAlign w:val="center"/>
          </w:tcPr>
          <w:p w14:paraId="6A8E2108">
            <w:pPr>
              <w:pStyle w:val="50"/>
              <w:shd w:val="clear"/>
              <w:spacing w:line="360" w:lineRule="auto"/>
              <w:ind w:firstLine="0" w:firstLineChars="0"/>
              <w:jc w:val="center"/>
              <w:rPr>
                <w:rFonts w:hint="eastAsia" w:ascii="宋体" w:hAnsi="宋体" w:eastAsia="宋体" w:cs="宋体"/>
                <w:b/>
                <w:bCs/>
                <w:color w:val="auto"/>
                <w:sz w:val="21"/>
                <w:szCs w:val="21"/>
                <w:highlight w:val="none"/>
                <w:u w:val="none"/>
              </w:rPr>
            </w:pPr>
            <w:r>
              <w:rPr>
                <w:rFonts w:hint="eastAsia" w:ascii="宋体" w:hAnsi="宋体" w:eastAsia="宋体" w:cs="宋体"/>
                <w:b/>
                <w:bCs/>
                <w:color w:val="auto"/>
                <w:sz w:val="21"/>
                <w:szCs w:val="21"/>
                <w:highlight w:val="none"/>
                <w:u w:val="none"/>
              </w:rPr>
              <w:t>评审项目</w:t>
            </w:r>
          </w:p>
        </w:tc>
        <w:tc>
          <w:tcPr>
            <w:tcW w:w="900" w:type="dxa"/>
            <w:tcBorders>
              <w:top w:val="single" w:color="auto" w:sz="4" w:space="0"/>
              <w:left w:val="single" w:color="auto" w:sz="4" w:space="0"/>
              <w:bottom w:val="single" w:color="auto" w:sz="4" w:space="0"/>
              <w:right w:val="single" w:color="auto" w:sz="4" w:space="0"/>
            </w:tcBorders>
            <w:vAlign w:val="center"/>
          </w:tcPr>
          <w:p w14:paraId="76928B52">
            <w:pPr>
              <w:pStyle w:val="50"/>
              <w:shd w:val="clear"/>
              <w:spacing w:line="360" w:lineRule="auto"/>
              <w:ind w:firstLine="0" w:firstLineChars="0"/>
              <w:jc w:val="center"/>
              <w:rPr>
                <w:rFonts w:hint="eastAsia" w:ascii="宋体" w:hAnsi="宋体" w:eastAsia="宋体" w:cs="宋体"/>
                <w:b/>
                <w:bCs/>
                <w:color w:val="auto"/>
                <w:sz w:val="21"/>
                <w:szCs w:val="21"/>
                <w:highlight w:val="none"/>
                <w:u w:val="none"/>
              </w:rPr>
            </w:pPr>
            <w:r>
              <w:rPr>
                <w:rFonts w:hint="eastAsia" w:ascii="宋体" w:hAnsi="宋体" w:eastAsia="宋体" w:cs="宋体"/>
                <w:b/>
                <w:bCs/>
                <w:color w:val="auto"/>
                <w:sz w:val="21"/>
                <w:szCs w:val="21"/>
                <w:highlight w:val="none"/>
                <w:u w:val="none"/>
              </w:rPr>
              <w:t>分值</w:t>
            </w:r>
          </w:p>
        </w:tc>
        <w:tc>
          <w:tcPr>
            <w:tcW w:w="5323" w:type="dxa"/>
            <w:tcBorders>
              <w:top w:val="single" w:color="auto" w:sz="4" w:space="0"/>
              <w:left w:val="single" w:color="auto" w:sz="4" w:space="0"/>
              <w:bottom w:val="single" w:color="auto" w:sz="4" w:space="0"/>
              <w:right w:val="single" w:color="auto" w:sz="4" w:space="0"/>
            </w:tcBorders>
            <w:vAlign w:val="center"/>
          </w:tcPr>
          <w:p w14:paraId="56337D71">
            <w:pPr>
              <w:pStyle w:val="50"/>
              <w:shd w:val="clear"/>
              <w:spacing w:line="360" w:lineRule="auto"/>
              <w:ind w:firstLine="0" w:firstLineChars="0"/>
              <w:jc w:val="center"/>
              <w:rPr>
                <w:rFonts w:hint="eastAsia" w:ascii="宋体" w:hAnsi="宋体" w:eastAsia="宋体" w:cs="宋体"/>
                <w:b/>
                <w:bCs/>
                <w:color w:val="auto"/>
                <w:sz w:val="21"/>
                <w:szCs w:val="21"/>
                <w:highlight w:val="none"/>
                <w:u w:val="none"/>
              </w:rPr>
            </w:pPr>
            <w:r>
              <w:rPr>
                <w:rFonts w:hint="eastAsia" w:ascii="宋体" w:hAnsi="宋体" w:eastAsia="宋体" w:cs="宋体"/>
                <w:b/>
                <w:bCs/>
                <w:color w:val="auto"/>
                <w:sz w:val="21"/>
                <w:szCs w:val="21"/>
                <w:highlight w:val="none"/>
                <w:u w:val="none"/>
              </w:rPr>
              <w:t>评审细则</w:t>
            </w:r>
          </w:p>
        </w:tc>
      </w:tr>
      <w:tr w14:paraId="145B5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8522" w:type="dxa"/>
            <w:gridSpan w:val="4"/>
            <w:tcBorders>
              <w:top w:val="single" w:color="auto" w:sz="4" w:space="0"/>
              <w:left w:val="single" w:color="auto" w:sz="4" w:space="0"/>
              <w:bottom w:val="single" w:color="auto" w:sz="4" w:space="0"/>
              <w:right w:val="single" w:color="auto" w:sz="4" w:space="0"/>
            </w:tcBorders>
            <w:vAlign w:val="center"/>
          </w:tcPr>
          <w:p w14:paraId="7EE7E33C">
            <w:pPr>
              <w:pStyle w:val="50"/>
              <w:shd w:val="clear"/>
              <w:spacing w:line="360" w:lineRule="auto"/>
              <w:ind w:firstLine="0" w:firstLineChars="0"/>
              <w:jc w:val="center"/>
              <w:rPr>
                <w:rFonts w:hint="eastAsia" w:ascii="宋体" w:hAnsi="宋体" w:eastAsia="宋体" w:cs="宋体"/>
                <w:b/>
                <w:bCs/>
                <w:color w:val="auto"/>
                <w:sz w:val="21"/>
                <w:szCs w:val="21"/>
                <w:highlight w:val="none"/>
                <w:u w:val="none"/>
              </w:rPr>
            </w:pPr>
            <w:r>
              <w:rPr>
                <w:rFonts w:hint="eastAsia" w:ascii="宋体" w:hAnsi="宋体" w:eastAsia="宋体" w:cs="宋体"/>
                <w:b/>
                <w:bCs/>
                <w:color w:val="auto"/>
                <w:sz w:val="21"/>
                <w:szCs w:val="21"/>
                <w:highlight w:val="none"/>
                <w:u w:val="none"/>
              </w:rPr>
              <w:t>商务评审（</w:t>
            </w:r>
            <w:r>
              <w:rPr>
                <w:rFonts w:hint="eastAsia" w:ascii="宋体" w:eastAsia="宋体" w:cs="宋体"/>
                <w:b/>
                <w:bCs/>
                <w:color w:val="auto"/>
                <w:sz w:val="21"/>
                <w:szCs w:val="21"/>
                <w:highlight w:val="none"/>
                <w:u w:val="none"/>
                <w:lang w:val="en-US" w:eastAsia="zh-CN"/>
              </w:rPr>
              <w:t>40</w:t>
            </w:r>
            <w:r>
              <w:rPr>
                <w:rFonts w:hint="eastAsia" w:ascii="宋体" w:hAnsi="宋体" w:eastAsia="宋体" w:cs="宋体"/>
                <w:b/>
                <w:bCs/>
                <w:color w:val="auto"/>
                <w:sz w:val="21"/>
                <w:szCs w:val="21"/>
                <w:highlight w:val="none"/>
                <w:u w:val="none"/>
              </w:rPr>
              <w:t>分）</w:t>
            </w:r>
          </w:p>
        </w:tc>
      </w:tr>
      <w:tr w14:paraId="23E07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690" w:type="dxa"/>
            <w:tcBorders>
              <w:top w:val="single" w:color="auto" w:sz="4" w:space="0"/>
              <w:left w:val="single" w:color="auto" w:sz="4" w:space="0"/>
              <w:right w:val="single" w:color="auto" w:sz="4" w:space="0"/>
            </w:tcBorders>
            <w:vAlign w:val="center"/>
          </w:tcPr>
          <w:p w14:paraId="06C37A02">
            <w:pPr>
              <w:pStyle w:val="50"/>
              <w:shd w:val="clear"/>
              <w:spacing w:line="360" w:lineRule="auto"/>
              <w:ind w:firstLine="0" w:firstLineChars="0"/>
              <w:jc w:val="center"/>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1</w:t>
            </w:r>
          </w:p>
        </w:tc>
        <w:tc>
          <w:tcPr>
            <w:tcW w:w="1609" w:type="dxa"/>
            <w:tcBorders>
              <w:top w:val="single" w:color="auto" w:sz="4" w:space="0"/>
              <w:left w:val="single" w:color="auto" w:sz="4" w:space="0"/>
              <w:right w:val="single" w:color="auto" w:sz="4" w:space="0"/>
            </w:tcBorders>
            <w:vAlign w:val="center"/>
          </w:tcPr>
          <w:p w14:paraId="2BF87EC0">
            <w:pPr>
              <w:shd w:val="clear"/>
              <w:spacing w:line="360" w:lineRule="auto"/>
              <w:jc w:val="cente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企业业绩</w:t>
            </w:r>
          </w:p>
        </w:tc>
        <w:tc>
          <w:tcPr>
            <w:tcW w:w="900" w:type="dxa"/>
            <w:tcBorders>
              <w:top w:val="single" w:color="auto" w:sz="4" w:space="0"/>
              <w:left w:val="single" w:color="auto" w:sz="4" w:space="0"/>
              <w:bottom w:val="single" w:color="auto" w:sz="4" w:space="0"/>
              <w:right w:val="single" w:color="auto" w:sz="4" w:space="0"/>
            </w:tcBorders>
            <w:vAlign w:val="center"/>
          </w:tcPr>
          <w:p w14:paraId="17A50EC2">
            <w:pPr>
              <w:shd w:val="clear"/>
              <w:spacing w:line="360" w:lineRule="auto"/>
              <w:jc w:val="center"/>
              <w:rPr>
                <w:rFonts w:hint="eastAsia" w:ascii="宋体" w:hAnsi="宋体" w:eastAsia="宋体" w:cs="宋体"/>
                <w:color w:val="auto"/>
                <w:sz w:val="21"/>
                <w:szCs w:val="21"/>
                <w:highlight w:val="none"/>
                <w:lang w:val="en-US" w:eastAsia="zh-CN" w:bidi="ar-SA"/>
              </w:rPr>
            </w:pPr>
            <w:r>
              <w:rPr>
                <w:rFonts w:hint="eastAsia" w:ascii="宋体" w:hAnsi="宋体" w:cs="宋体"/>
                <w:color w:val="auto"/>
                <w:sz w:val="21"/>
                <w:szCs w:val="21"/>
                <w:highlight w:val="none"/>
                <w:lang w:val="en-US" w:eastAsia="zh-CN"/>
              </w:rPr>
              <w:t>27</w:t>
            </w:r>
            <w:r>
              <w:rPr>
                <w:rFonts w:hint="eastAsia" w:ascii="宋体" w:hAnsi="宋体" w:eastAsia="宋体" w:cs="宋体"/>
                <w:color w:val="auto"/>
                <w:sz w:val="21"/>
                <w:szCs w:val="21"/>
                <w:highlight w:val="none"/>
              </w:rPr>
              <w:t>分</w:t>
            </w:r>
          </w:p>
        </w:tc>
        <w:tc>
          <w:tcPr>
            <w:tcW w:w="5323" w:type="dxa"/>
            <w:tcBorders>
              <w:top w:val="single" w:color="auto" w:sz="4" w:space="0"/>
              <w:left w:val="single" w:color="auto" w:sz="4" w:space="0"/>
              <w:bottom w:val="single" w:color="auto" w:sz="4" w:space="0"/>
              <w:right w:val="single" w:color="auto" w:sz="4" w:space="0"/>
            </w:tcBorders>
            <w:vAlign w:val="center"/>
          </w:tcPr>
          <w:p w14:paraId="0D3B6AFE">
            <w:pPr>
              <w:shd w:val="clear"/>
              <w:snapToGrid/>
              <w:spacing w:line="300" w:lineRule="auto"/>
              <w:rPr>
                <w:rFonts w:hint="eastAsia" w:ascii="宋体" w:hAnsi="宋体" w:cs="宋体"/>
                <w:color w:val="auto"/>
                <w:szCs w:val="21"/>
                <w:highlight w:val="none"/>
              </w:rPr>
            </w:pPr>
            <w:r>
              <w:rPr>
                <w:rFonts w:hint="eastAsia" w:ascii="宋体" w:hAnsi="宋体" w:cs="宋体"/>
                <w:color w:val="auto"/>
                <w:szCs w:val="21"/>
                <w:highlight w:val="none"/>
              </w:rPr>
              <w:t>1、投标人自2022年1月1日至本项目</w:t>
            </w:r>
            <w:r>
              <w:rPr>
                <w:rFonts w:hint="eastAsia" w:ascii="宋体" w:hAnsi="宋体" w:cs="宋体"/>
                <w:color w:val="auto"/>
                <w:szCs w:val="21"/>
                <w:highlight w:val="none"/>
                <w:lang w:val="en-US" w:eastAsia="zh-CN"/>
              </w:rPr>
              <w:t>招标公告</w:t>
            </w:r>
            <w:r>
              <w:rPr>
                <w:rFonts w:hint="eastAsia" w:ascii="宋体" w:hAnsi="宋体" w:cs="宋体"/>
                <w:color w:val="auto"/>
                <w:szCs w:val="21"/>
                <w:highlight w:val="none"/>
              </w:rPr>
              <w:t>发布之日前，有日杂品同类项目业绩者，每个</w:t>
            </w:r>
            <w:r>
              <w:rPr>
                <w:rFonts w:hint="eastAsia" w:ascii="宋体" w:hAnsi="宋体" w:cs="宋体"/>
                <w:color w:val="auto"/>
                <w:szCs w:val="21"/>
                <w:highlight w:val="none"/>
                <w:lang w:val="en-US" w:eastAsia="zh-CN"/>
              </w:rPr>
              <w:t>业绩</w:t>
            </w:r>
            <w:r>
              <w:rPr>
                <w:rFonts w:hint="eastAsia" w:ascii="宋体" w:hAnsi="宋体" w:cs="宋体"/>
                <w:color w:val="auto"/>
                <w:szCs w:val="21"/>
                <w:highlight w:val="none"/>
              </w:rPr>
              <w:t>得2分，</w:t>
            </w:r>
            <w:r>
              <w:rPr>
                <w:rFonts w:hint="eastAsia" w:ascii="宋体" w:hAnsi="宋体" w:cs="宋体"/>
                <w:color w:val="auto"/>
                <w:szCs w:val="21"/>
                <w:highlight w:val="none"/>
                <w:lang w:val="en-US" w:eastAsia="zh-CN"/>
              </w:rPr>
              <w:t>本小项</w:t>
            </w:r>
            <w:r>
              <w:rPr>
                <w:rFonts w:hint="eastAsia" w:ascii="宋体" w:hAnsi="宋体" w:cs="宋体"/>
                <w:color w:val="auto"/>
                <w:szCs w:val="21"/>
                <w:highlight w:val="none"/>
              </w:rPr>
              <w:t>满分20分。</w:t>
            </w:r>
          </w:p>
          <w:p w14:paraId="59BDADB7">
            <w:pPr>
              <w:shd w:val="clear"/>
              <w:snapToGrid/>
              <w:spacing w:line="300" w:lineRule="auto"/>
              <w:rPr>
                <w:rFonts w:hint="eastAsia" w:ascii="宋体" w:hAnsi="宋体" w:cs="宋体"/>
                <w:color w:val="auto"/>
                <w:szCs w:val="21"/>
                <w:highlight w:val="none"/>
              </w:rPr>
            </w:pPr>
            <w:r>
              <w:rPr>
                <w:rFonts w:hint="eastAsia" w:ascii="宋体" w:hAnsi="宋体" w:cs="宋体"/>
                <w:color w:val="auto"/>
                <w:szCs w:val="21"/>
                <w:highlight w:val="none"/>
              </w:rPr>
              <w:t>本采购项目所指日杂品，主要涵盖预包装食品、电子配件、五金配件、劳保用品</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办公用品</w:t>
            </w:r>
            <w:r>
              <w:rPr>
                <w:rFonts w:hint="eastAsia" w:ascii="宋体" w:hAnsi="宋体" w:cs="宋体"/>
                <w:color w:val="auto"/>
                <w:szCs w:val="21"/>
                <w:highlight w:val="none"/>
              </w:rPr>
              <w:t>等</w:t>
            </w:r>
            <w:r>
              <w:rPr>
                <w:rFonts w:hint="eastAsia" w:ascii="宋体" w:hAnsi="宋体" w:cs="宋体"/>
                <w:color w:val="auto"/>
                <w:szCs w:val="21"/>
                <w:highlight w:val="none"/>
                <w:lang w:val="en-US" w:eastAsia="zh-CN"/>
              </w:rPr>
              <w:t>五</w:t>
            </w:r>
            <w:r>
              <w:rPr>
                <w:rFonts w:hint="eastAsia" w:ascii="宋体" w:hAnsi="宋体" w:cs="宋体"/>
                <w:color w:val="auto"/>
                <w:szCs w:val="21"/>
                <w:highlight w:val="none"/>
              </w:rPr>
              <w:t>大类产品。非此四类产品者，不视为有效业绩。</w:t>
            </w:r>
          </w:p>
          <w:p w14:paraId="28588AD1">
            <w:pPr>
              <w:shd w:val="clear"/>
              <w:snapToGrid/>
              <w:spacing w:line="300" w:lineRule="auto"/>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2、投标人</w:t>
            </w:r>
            <w:r>
              <w:rPr>
                <w:rFonts w:hint="eastAsia" w:ascii="宋体" w:hAnsi="宋体" w:cs="宋体"/>
                <w:color w:val="auto"/>
                <w:szCs w:val="21"/>
                <w:highlight w:val="none"/>
                <w:lang w:val="en-US" w:eastAsia="zh-CN"/>
              </w:rPr>
              <w:t>所提供的单个业绩合同或多个业绩合同中的产品</w:t>
            </w:r>
            <w:r>
              <w:rPr>
                <w:rFonts w:hint="eastAsia" w:ascii="宋体" w:hAnsi="宋体" w:cs="宋体"/>
                <w:color w:val="auto"/>
                <w:szCs w:val="21"/>
                <w:highlight w:val="none"/>
              </w:rPr>
              <w:t>能同时覆盖预包装食品、电子配件、五金配件、劳保用品四大类产品</w:t>
            </w:r>
            <w:r>
              <w:rPr>
                <w:rFonts w:hint="eastAsia" w:ascii="宋体" w:hAnsi="宋体" w:cs="宋体"/>
                <w:color w:val="auto"/>
                <w:szCs w:val="21"/>
                <w:highlight w:val="none"/>
                <w:lang w:eastAsia="zh-CN"/>
              </w:rPr>
              <w:t>的</w:t>
            </w:r>
            <w:r>
              <w:rPr>
                <w:rFonts w:hint="eastAsia" w:ascii="宋体" w:hAnsi="宋体" w:cs="宋体"/>
                <w:color w:val="auto"/>
                <w:szCs w:val="21"/>
                <w:highlight w:val="none"/>
              </w:rPr>
              <w:t>，得7分，否则得0分</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本小项满分7分</w:t>
            </w:r>
            <w:r>
              <w:rPr>
                <w:rFonts w:hint="eastAsia" w:ascii="宋体" w:hAnsi="宋体" w:cs="宋体"/>
                <w:color w:val="auto"/>
                <w:szCs w:val="21"/>
                <w:highlight w:val="none"/>
              </w:rPr>
              <w:t>。</w:t>
            </w:r>
          </w:p>
          <w:p w14:paraId="5719FDD2">
            <w:pPr>
              <w:shd w:val="clear"/>
              <w:snapToGrid/>
              <w:spacing w:line="300" w:lineRule="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本项总分27分。</w:t>
            </w:r>
          </w:p>
          <w:p w14:paraId="12A06B93">
            <w:pPr>
              <w:shd w:val="clear"/>
              <w:snapToGrid/>
              <w:spacing w:line="300" w:lineRule="auto"/>
              <w:rPr>
                <w:rFonts w:hint="eastAsia" w:ascii="宋体" w:hAnsi="宋体" w:eastAsia="宋体" w:cs="宋体"/>
                <w:color w:val="auto"/>
                <w:sz w:val="21"/>
                <w:szCs w:val="21"/>
                <w:highlight w:val="none"/>
                <w:lang w:val="zh-CN" w:eastAsia="zh-CN" w:bidi="ar-SA"/>
              </w:rPr>
            </w:pPr>
            <w:r>
              <w:rPr>
                <w:rFonts w:hint="eastAsia" w:ascii="宋体" w:hAnsi="宋体" w:cs="宋体"/>
                <w:color w:val="auto"/>
                <w:szCs w:val="21"/>
                <w:highlight w:val="none"/>
              </w:rPr>
              <w:t>注：须提供项目合同（或协议书）关键页，以及该项目对应的任意一份发票（</w:t>
            </w:r>
            <w:r>
              <w:rPr>
                <w:rFonts w:hint="eastAsia" w:ascii="宋体" w:hAnsi="宋体" w:cs="宋体"/>
                <w:color w:val="auto"/>
                <w:szCs w:val="21"/>
                <w:highlight w:val="none"/>
                <w:lang w:val="en-US" w:eastAsia="zh-CN"/>
              </w:rPr>
              <w:t>开票日期</w:t>
            </w:r>
            <w:r>
              <w:rPr>
                <w:rFonts w:hint="eastAsia" w:ascii="宋体" w:hAnsi="宋体" w:cs="宋体"/>
                <w:color w:val="auto"/>
                <w:szCs w:val="21"/>
                <w:highlight w:val="none"/>
              </w:rPr>
              <w:t>须在合同期内、且</w:t>
            </w:r>
            <w:r>
              <w:rPr>
                <w:rFonts w:hint="eastAsia" w:ascii="宋体" w:hAnsi="宋体" w:cs="宋体"/>
                <w:color w:val="auto"/>
                <w:szCs w:val="21"/>
                <w:highlight w:val="none"/>
                <w:lang w:eastAsia="zh-CN"/>
              </w:rPr>
              <w:t>在</w:t>
            </w:r>
            <w:r>
              <w:rPr>
                <w:rFonts w:hint="eastAsia" w:ascii="宋体" w:hAnsi="宋体" w:cs="宋体"/>
                <w:color w:val="auto"/>
                <w:szCs w:val="21"/>
                <w:highlight w:val="none"/>
              </w:rPr>
              <w:t>本项目</w:t>
            </w:r>
            <w:r>
              <w:rPr>
                <w:rFonts w:hint="eastAsia" w:ascii="宋体" w:hAnsi="宋体" w:cs="宋体"/>
                <w:color w:val="auto"/>
                <w:szCs w:val="21"/>
                <w:highlight w:val="none"/>
                <w:lang w:val="en-US" w:eastAsia="zh-CN"/>
              </w:rPr>
              <w:t>招标公告</w:t>
            </w:r>
            <w:r>
              <w:rPr>
                <w:rFonts w:hint="eastAsia" w:ascii="宋体" w:hAnsi="宋体" w:cs="宋体"/>
                <w:color w:val="auto"/>
                <w:szCs w:val="21"/>
                <w:highlight w:val="none"/>
              </w:rPr>
              <w:t>发布之日前），无发票的项目不计入有效业绩。提供复印件并加盖投标人公章。</w:t>
            </w:r>
          </w:p>
        </w:tc>
      </w:tr>
      <w:tr w14:paraId="2497F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690" w:type="dxa"/>
            <w:tcBorders>
              <w:top w:val="single" w:color="auto" w:sz="4" w:space="0"/>
              <w:left w:val="single" w:color="auto" w:sz="4" w:space="0"/>
              <w:right w:val="single" w:color="auto" w:sz="4" w:space="0"/>
            </w:tcBorders>
            <w:vAlign w:val="center"/>
          </w:tcPr>
          <w:p w14:paraId="22372281">
            <w:pPr>
              <w:pStyle w:val="50"/>
              <w:shd w:val="clear"/>
              <w:spacing w:line="360" w:lineRule="auto"/>
              <w:ind w:firstLine="0" w:firstLineChars="0"/>
              <w:jc w:val="center"/>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2</w:t>
            </w:r>
          </w:p>
        </w:tc>
        <w:tc>
          <w:tcPr>
            <w:tcW w:w="1609" w:type="dxa"/>
            <w:tcBorders>
              <w:top w:val="single" w:color="auto" w:sz="4" w:space="0"/>
              <w:left w:val="single" w:color="auto" w:sz="4" w:space="0"/>
              <w:right w:val="single" w:color="auto" w:sz="4" w:space="0"/>
            </w:tcBorders>
            <w:vAlign w:val="center"/>
          </w:tcPr>
          <w:p w14:paraId="2B54431A">
            <w:pPr>
              <w:shd w:val="clea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管理体系认证</w:t>
            </w:r>
          </w:p>
        </w:tc>
        <w:tc>
          <w:tcPr>
            <w:tcW w:w="900" w:type="dxa"/>
            <w:tcBorders>
              <w:top w:val="single" w:color="auto" w:sz="4" w:space="0"/>
              <w:left w:val="single" w:color="auto" w:sz="4" w:space="0"/>
              <w:bottom w:val="single" w:color="auto" w:sz="4" w:space="0"/>
              <w:right w:val="single" w:color="auto" w:sz="4" w:space="0"/>
            </w:tcBorders>
            <w:vAlign w:val="center"/>
          </w:tcPr>
          <w:p w14:paraId="1CF1EED7">
            <w:pPr>
              <w:shd w:val="clear"/>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分</w:t>
            </w:r>
          </w:p>
        </w:tc>
        <w:tc>
          <w:tcPr>
            <w:tcW w:w="5323" w:type="dxa"/>
            <w:tcBorders>
              <w:top w:val="single" w:color="auto" w:sz="4" w:space="0"/>
              <w:left w:val="single" w:color="auto" w:sz="4" w:space="0"/>
              <w:bottom w:val="single" w:color="auto" w:sz="4" w:space="0"/>
              <w:right w:val="single" w:color="auto" w:sz="4" w:space="0"/>
            </w:tcBorders>
            <w:vAlign w:val="center"/>
          </w:tcPr>
          <w:p w14:paraId="6B8BF5FA">
            <w:pPr>
              <w:shd w:val="clear"/>
              <w:spacing w:line="300" w:lineRule="auto"/>
              <w:rPr>
                <w:rFonts w:hint="eastAsia" w:ascii="宋体" w:hAnsi="宋体" w:eastAsia="宋体"/>
                <w:color w:val="auto"/>
                <w:highlight w:val="none"/>
              </w:rPr>
            </w:pPr>
            <w:r>
              <w:rPr>
                <w:rFonts w:ascii="宋体" w:hAnsi="宋体" w:eastAsia="宋体"/>
                <w:color w:val="auto"/>
                <w:highlight w:val="none"/>
              </w:rPr>
              <w:t>投标人或投标产品的制造商具有有效的质量管理体系认证证书</w:t>
            </w:r>
            <w:r>
              <w:rPr>
                <w:rFonts w:hint="eastAsia" w:ascii="宋体" w:hAnsi="宋体" w:eastAsia="宋体"/>
                <w:color w:val="auto"/>
                <w:highlight w:val="none"/>
              </w:rPr>
              <w:t>，有则得3分，否则得0分。</w:t>
            </w:r>
          </w:p>
          <w:p w14:paraId="266178C9">
            <w:pPr>
              <w:shd w:val="clear"/>
              <w:snapToGrid/>
              <w:spacing w:line="300" w:lineRule="auto"/>
              <w:rPr>
                <w:rFonts w:hint="eastAsia" w:ascii="宋体" w:hAnsi="宋体" w:eastAsia="宋体" w:cs="宋体"/>
                <w:color w:val="auto"/>
                <w:sz w:val="21"/>
                <w:szCs w:val="21"/>
                <w:highlight w:val="none"/>
              </w:rPr>
            </w:pPr>
            <w:r>
              <w:rPr>
                <w:rFonts w:ascii="宋体" w:hAnsi="宋体" w:eastAsia="宋体"/>
                <w:color w:val="auto"/>
                <w:highlight w:val="none"/>
              </w:rPr>
              <w:t>注：须提供证书复印件及全国认证认可信息公告服务平台</w:t>
            </w:r>
            <w:r>
              <w:rPr>
                <w:rFonts w:hint="eastAsia" w:ascii="宋体" w:hAnsi="宋体" w:eastAsia="宋体" w:cs="宋体"/>
                <w:color w:val="auto"/>
                <w:highlight w:val="none"/>
              </w:rPr>
              <w:t>（http://cx.cnca.cn）</w:t>
            </w:r>
            <w:r>
              <w:rPr>
                <w:rFonts w:ascii="宋体" w:hAnsi="宋体" w:eastAsia="宋体"/>
                <w:color w:val="auto"/>
                <w:highlight w:val="none"/>
              </w:rPr>
              <w:t>认证结果查询列表截图并加盖投标人公章。</w:t>
            </w:r>
          </w:p>
        </w:tc>
      </w:tr>
      <w:tr w14:paraId="17066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14:paraId="19CAC0C2">
            <w:pPr>
              <w:pStyle w:val="50"/>
              <w:shd w:val="clear"/>
              <w:spacing w:line="360" w:lineRule="auto"/>
              <w:ind w:firstLine="0" w:firstLineChars="0"/>
              <w:jc w:val="center"/>
              <w:rPr>
                <w:rFonts w:hint="default" w:ascii="宋体" w:hAnsi="宋体" w:eastAsia="宋体" w:cs="宋体"/>
                <w:color w:val="auto"/>
                <w:sz w:val="21"/>
                <w:szCs w:val="21"/>
                <w:highlight w:val="none"/>
                <w:u w:val="none"/>
                <w:lang w:val="en-US" w:eastAsia="zh-CN"/>
              </w:rPr>
            </w:pPr>
            <w:r>
              <w:rPr>
                <w:rFonts w:hint="eastAsia" w:ascii="宋体" w:eastAsia="宋体" w:cs="宋体"/>
                <w:color w:val="auto"/>
                <w:sz w:val="21"/>
                <w:szCs w:val="21"/>
                <w:highlight w:val="none"/>
                <w:u w:val="none"/>
                <w:lang w:val="en-US" w:eastAsia="zh-CN"/>
              </w:rPr>
              <w:t>3</w:t>
            </w:r>
          </w:p>
        </w:tc>
        <w:tc>
          <w:tcPr>
            <w:tcW w:w="1609" w:type="dxa"/>
            <w:tcBorders>
              <w:top w:val="single" w:color="auto" w:sz="4" w:space="0"/>
              <w:left w:val="single" w:color="auto" w:sz="4" w:space="0"/>
              <w:bottom w:val="single" w:color="auto" w:sz="4" w:space="0"/>
              <w:right w:val="single" w:color="auto" w:sz="4" w:space="0"/>
            </w:tcBorders>
            <w:vAlign w:val="center"/>
          </w:tcPr>
          <w:p w14:paraId="0CBD160D">
            <w:pPr>
              <w:shd w:val="clear"/>
              <w:spacing w:line="360" w:lineRule="auto"/>
              <w:jc w:val="center"/>
              <w:rPr>
                <w:rFonts w:hint="eastAsia" w:ascii="宋体" w:hAnsi="宋体" w:eastAsia="宋体" w:cs="宋体"/>
                <w:color w:val="auto"/>
                <w:sz w:val="21"/>
                <w:szCs w:val="21"/>
                <w:highlight w:val="none"/>
                <w:lang w:val="en-US" w:eastAsia="zh-CN"/>
              </w:rPr>
            </w:pPr>
            <w:r>
              <w:rPr>
                <w:color w:val="auto"/>
                <w:highlight w:val="none"/>
              </w:rPr>
              <w:t>仓储能力</w:t>
            </w:r>
          </w:p>
        </w:tc>
        <w:tc>
          <w:tcPr>
            <w:tcW w:w="900" w:type="dxa"/>
            <w:tcBorders>
              <w:top w:val="single" w:color="auto" w:sz="4" w:space="0"/>
              <w:left w:val="single" w:color="auto" w:sz="4" w:space="0"/>
              <w:bottom w:val="single" w:color="auto" w:sz="4" w:space="0"/>
              <w:right w:val="single" w:color="auto" w:sz="4" w:space="0"/>
            </w:tcBorders>
            <w:vAlign w:val="center"/>
          </w:tcPr>
          <w:p w14:paraId="746DF78C">
            <w:pPr>
              <w:shd w:val="clear"/>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分</w:t>
            </w:r>
          </w:p>
        </w:tc>
        <w:tc>
          <w:tcPr>
            <w:tcW w:w="5323" w:type="dxa"/>
            <w:tcBorders>
              <w:top w:val="single" w:color="auto" w:sz="4" w:space="0"/>
              <w:left w:val="single" w:color="auto" w:sz="4" w:space="0"/>
              <w:bottom w:val="single" w:color="auto" w:sz="4" w:space="0"/>
              <w:right w:val="single" w:color="auto" w:sz="4" w:space="0"/>
            </w:tcBorders>
            <w:vAlign w:val="center"/>
          </w:tcPr>
          <w:p w14:paraId="40D7B906">
            <w:pPr>
              <w:shd w:val="clear"/>
              <w:snapToGrid/>
              <w:spacing w:line="300" w:lineRule="auto"/>
              <w:rPr>
                <w:rFonts w:hint="eastAsia" w:ascii="宋体" w:hAnsi="宋体" w:cs="宋体"/>
                <w:color w:val="auto"/>
                <w:highlight w:val="none"/>
              </w:rPr>
            </w:pPr>
            <w:r>
              <w:rPr>
                <w:rFonts w:hint="eastAsia" w:ascii="宋体" w:hAnsi="宋体" w:cs="宋体"/>
                <w:color w:val="auto"/>
                <w:highlight w:val="none"/>
              </w:rPr>
              <w:t>投标人须具有仓库储存场地，须同时提供：①自有产权证明或租赁合同及合同期内任意一份发票复印件（本项目招标公告发布之日前）复印件并加盖投标人公章；②场地图片并加盖投标人公章。</w:t>
            </w:r>
          </w:p>
          <w:p w14:paraId="19BC0B5B">
            <w:pPr>
              <w:shd w:val="clear"/>
              <w:snapToGrid/>
              <w:spacing w:line="300" w:lineRule="auto"/>
              <w:rPr>
                <w:rFonts w:hint="eastAsia" w:ascii="宋体" w:hAnsi="宋体" w:cs="宋体"/>
                <w:color w:val="auto"/>
                <w:highlight w:val="none"/>
              </w:rPr>
            </w:pPr>
            <w:r>
              <w:rPr>
                <w:rFonts w:hint="eastAsia" w:ascii="宋体" w:hAnsi="宋体" w:cs="宋体"/>
                <w:color w:val="auto"/>
                <w:highlight w:val="none"/>
              </w:rPr>
              <w:t>1、仓储面积不低于500平方、且按要求提供者，得5分。</w:t>
            </w:r>
          </w:p>
          <w:p w14:paraId="60CEBD71">
            <w:pPr>
              <w:shd w:val="clear"/>
              <w:snapToGrid/>
              <w:spacing w:line="300" w:lineRule="auto"/>
              <w:rPr>
                <w:rFonts w:hint="eastAsia" w:ascii="宋体" w:hAnsi="宋体" w:cs="宋体"/>
                <w:color w:val="auto"/>
                <w:highlight w:val="none"/>
              </w:rPr>
            </w:pPr>
            <w:r>
              <w:rPr>
                <w:rFonts w:hint="eastAsia" w:ascii="宋体" w:hAnsi="宋体" w:cs="宋体"/>
                <w:color w:val="auto"/>
                <w:highlight w:val="none"/>
              </w:rPr>
              <w:t>2、仓储面积不低于200平方但低于500平方、且按要求提供者，得3分。</w:t>
            </w:r>
          </w:p>
          <w:p w14:paraId="0C43AA79">
            <w:pPr>
              <w:shd w:val="clear"/>
              <w:snapToGrid/>
              <w:spacing w:line="300" w:lineRule="auto"/>
              <w:rPr>
                <w:rFonts w:hint="eastAsia" w:ascii="宋体" w:hAnsi="宋体" w:cs="宋体"/>
                <w:color w:val="auto"/>
                <w:highlight w:val="none"/>
              </w:rPr>
            </w:pPr>
            <w:r>
              <w:rPr>
                <w:rFonts w:hint="eastAsia" w:ascii="宋体" w:hAnsi="宋体" w:cs="宋体"/>
                <w:color w:val="auto"/>
                <w:highlight w:val="none"/>
              </w:rPr>
              <w:t>3、仓储面积不低于50平方但低于200平方、且按要求提供者，得1分。</w:t>
            </w:r>
          </w:p>
          <w:p w14:paraId="01A63F26">
            <w:pPr>
              <w:shd w:val="clear"/>
              <w:snapToGrid/>
              <w:spacing w:line="300" w:lineRule="auto"/>
              <w:rPr>
                <w:rFonts w:hint="eastAsia" w:ascii="宋体" w:hAnsi="宋体" w:cs="宋体"/>
                <w:color w:val="auto"/>
                <w:highlight w:val="none"/>
              </w:rPr>
            </w:pPr>
            <w:r>
              <w:rPr>
                <w:rFonts w:hint="eastAsia" w:ascii="宋体" w:hAnsi="宋体" w:cs="宋体"/>
                <w:color w:val="auto"/>
                <w:highlight w:val="none"/>
              </w:rPr>
              <w:t>4、无仓储场地，或仓储面积</w:t>
            </w:r>
            <w:r>
              <w:rPr>
                <w:rFonts w:hint="eastAsia" w:ascii="宋体" w:hAnsi="宋体" w:cs="宋体"/>
                <w:color w:val="auto"/>
                <w:highlight w:val="none"/>
                <w:lang w:val="en-US" w:eastAsia="zh-CN"/>
              </w:rPr>
              <w:t>低于50平方</w:t>
            </w:r>
            <w:r>
              <w:rPr>
                <w:rFonts w:hint="eastAsia" w:ascii="宋体" w:hAnsi="宋体" w:cs="宋体"/>
                <w:color w:val="auto"/>
                <w:highlight w:val="none"/>
              </w:rPr>
              <w:t>，本项不得分。</w:t>
            </w:r>
          </w:p>
          <w:p w14:paraId="23601335">
            <w:pPr>
              <w:shd w:val="clear"/>
              <w:snapToGrid/>
              <w:spacing w:line="300" w:lineRule="auto"/>
              <w:rPr>
                <w:rFonts w:hint="eastAsia" w:ascii="宋体" w:hAnsi="宋体" w:eastAsia="宋体" w:cs="宋体"/>
                <w:color w:val="auto"/>
                <w:szCs w:val="21"/>
                <w:highlight w:val="none"/>
              </w:rPr>
            </w:pPr>
            <w:r>
              <w:rPr>
                <w:rFonts w:hint="eastAsia" w:ascii="宋体" w:hAnsi="宋体" w:cs="宋体"/>
                <w:color w:val="auto"/>
                <w:highlight w:val="none"/>
              </w:rPr>
              <w:t>注：未提供或未按要求提供者，本项不得分。</w:t>
            </w:r>
          </w:p>
        </w:tc>
      </w:tr>
      <w:tr w14:paraId="24D39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14:paraId="5B71A133">
            <w:pPr>
              <w:pStyle w:val="50"/>
              <w:shd w:val="clear"/>
              <w:spacing w:line="360" w:lineRule="auto"/>
              <w:ind w:firstLine="0" w:firstLineChars="0"/>
              <w:jc w:val="center"/>
              <w:rPr>
                <w:rFonts w:hint="eastAsia" w:ascii="宋体" w:hAnsi="宋体" w:eastAsia="宋体" w:cs="宋体"/>
                <w:color w:val="auto"/>
                <w:sz w:val="21"/>
                <w:szCs w:val="21"/>
                <w:highlight w:val="none"/>
                <w:u w:val="none"/>
                <w:lang w:eastAsia="zh-CN"/>
              </w:rPr>
            </w:pPr>
            <w:r>
              <w:rPr>
                <w:rFonts w:hint="eastAsia" w:ascii="宋体" w:eastAsia="宋体" w:cs="宋体"/>
                <w:color w:val="auto"/>
                <w:sz w:val="21"/>
                <w:szCs w:val="21"/>
                <w:highlight w:val="none"/>
                <w:u w:val="none"/>
                <w:lang w:val="en-US" w:eastAsia="zh-CN"/>
              </w:rPr>
              <w:t>4</w:t>
            </w:r>
          </w:p>
        </w:tc>
        <w:tc>
          <w:tcPr>
            <w:tcW w:w="1609" w:type="dxa"/>
            <w:tcBorders>
              <w:top w:val="single" w:color="auto" w:sz="4" w:space="0"/>
              <w:left w:val="single" w:color="auto" w:sz="4" w:space="0"/>
              <w:bottom w:val="single" w:color="auto" w:sz="4" w:space="0"/>
              <w:right w:val="single" w:color="auto" w:sz="4" w:space="0"/>
            </w:tcBorders>
            <w:vAlign w:val="center"/>
          </w:tcPr>
          <w:p w14:paraId="42ED16AE">
            <w:pPr>
              <w:shd w:val="clear"/>
              <w:spacing w:line="360" w:lineRule="auto"/>
              <w:jc w:val="center"/>
              <w:rPr>
                <w:rFonts w:hint="default" w:ascii="宋体" w:hAnsi="宋体" w:eastAsia="宋体" w:cs="宋体"/>
                <w:color w:val="auto"/>
                <w:sz w:val="21"/>
                <w:szCs w:val="21"/>
                <w:highlight w:val="none"/>
                <w:lang w:val="en-US" w:eastAsia="zh-CN" w:bidi="ar-SA"/>
              </w:rPr>
            </w:pPr>
            <w:r>
              <w:rPr>
                <w:rFonts w:hint="eastAsia" w:ascii="宋体" w:hAnsi="宋体" w:cs="宋体"/>
                <w:color w:val="auto"/>
                <w:szCs w:val="21"/>
                <w:highlight w:val="none"/>
                <w:lang w:val="en-US" w:eastAsia="zh-CN"/>
              </w:rPr>
              <w:t>紧急供货</w:t>
            </w:r>
            <w:r>
              <w:rPr>
                <w:rFonts w:hint="eastAsia" w:ascii="宋体" w:hAnsi="宋体" w:cs="宋体"/>
                <w:color w:val="auto"/>
                <w:sz w:val="21"/>
                <w:szCs w:val="21"/>
                <w:highlight w:val="none"/>
                <w:lang w:val="en-US" w:eastAsia="zh-CN"/>
              </w:rPr>
              <w:t>服务到场时间承诺</w:t>
            </w:r>
          </w:p>
        </w:tc>
        <w:tc>
          <w:tcPr>
            <w:tcW w:w="900" w:type="dxa"/>
            <w:tcBorders>
              <w:top w:val="single" w:color="auto" w:sz="4" w:space="0"/>
              <w:left w:val="single" w:color="auto" w:sz="4" w:space="0"/>
              <w:bottom w:val="single" w:color="auto" w:sz="4" w:space="0"/>
              <w:right w:val="single" w:color="auto" w:sz="4" w:space="0"/>
            </w:tcBorders>
            <w:vAlign w:val="center"/>
          </w:tcPr>
          <w:p w14:paraId="233DD6BD">
            <w:pPr>
              <w:shd w:val="clear"/>
              <w:spacing w:line="360" w:lineRule="auto"/>
              <w:jc w:val="center"/>
              <w:rPr>
                <w:rFonts w:hint="eastAsia" w:ascii="宋体" w:hAnsi="宋体" w:eastAsia="宋体" w:cs="宋体"/>
                <w:color w:val="auto"/>
                <w:sz w:val="21"/>
                <w:szCs w:val="21"/>
                <w:highlight w:val="none"/>
                <w:lang w:val="en-US" w:eastAsia="zh-CN" w:bidi="ar-SA"/>
              </w:rPr>
            </w:pP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分</w:t>
            </w:r>
          </w:p>
        </w:tc>
        <w:tc>
          <w:tcPr>
            <w:tcW w:w="5323" w:type="dxa"/>
            <w:tcBorders>
              <w:top w:val="single" w:color="auto" w:sz="4" w:space="0"/>
              <w:left w:val="single" w:color="auto" w:sz="4" w:space="0"/>
              <w:bottom w:val="single" w:color="auto" w:sz="4" w:space="0"/>
              <w:right w:val="single" w:color="auto" w:sz="4" w:space="0"/>
            </w:tcBorders>
            <w:vAlign w:val="center"/>
          </w:tcPr>
          <w:p w14:paraId="2EF6B020">
            <w:pPr>
              <w:shd w:val="clear"/>
              <w:spacing w:line="30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根据投标人在接到采购人紧急供货需求通知后到达采购人现场时间的响应情况进行评审：</w:t>
            </w:r>
          </w:p>
          <w:p w14:paraId="48CF7518">
            <w:pPr>
              <w:shd w:val="clear"/>
              <w:spacing w:line="30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1、根据投标人提供的承诺可在接到采购人紧急供货需求通知后1小时内到达采购人现场的，得5分。</w:t>
            </w:r>
          </w:p>
          <w:p w14:paraId="59CBFFC5">
            <w:pPr>
              <w:shd w:val="clear"/>
              <w:spacing w:line="30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2、根据投标人提供的承诺可在接到采购人紧急供货需求通知后1小时（不含1小时）至2小时内到达采购人现场的，得3分。</w:t>
            </w:r>
          </w:p>
          <w:p w14:paraId="0220118C">
            <w:pPr>
              <w:shd w:val="clear"/>
              <w:spacing w:line="30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3、根据投标人提供的承诺可在接到采购人紧急供货需求通知后2小时以上（不含2小时）到达采购人现场的，不得分。</w:t>
            </w:r>
          </w:p>
          <w:p w14:paraId="78BE3436">
            <w:pPr>
              <w:shd w:val="clear"/>
              <w:snapToGrid/>
              <w:spacing w:line="300" w:lineRule="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Cs w:val="21"/>
                <w:highlight w:val="none"/>
              </w:rPr>
              <w:t>注：须单独提供紧急供货服务到场时间承诺函加盖投标人公章。</w:t>
            </w:r>
          </w:p>
        </w:tc>
      </w:tr>
      <w:tr w14:paraId="0246F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522" w:type="dxa"/>
            <w:gridSpan w:val="4"/>
            <w:tcBorders>
              <w:top w:val="single" w:color="auto" w:sz="4" w:space="0"/>
              <w:left w:val="single" w:color="auto" w:sz="4" w:space="0"/>
              <w:bottom w:val="single" w:color="auto" w:sz="4" w:space="0"/>
              <w:right w:val="single" w:color="auto" w:sz="4" w:space="0"/>
            </w:tcBorders>
            <w:vAlign w:val="center"/>
          </w:tcPr>
          <w:p w14:paraId="2AF3371A">
            <w:pPr>
              <w:pStyle w:val="50"/>
              <w:shd w:val="clear"/>
              <w:spacing w:line="360" w:lineRule="auto"/>
              <w:ind w:firstLine="0" w:firstLineChars="0"/>
              <w:jc w:val="center"/>
              <w:rPr>
                <w:rFonts w:hint="eastAsia" w:ascii="宋体" w:hAnsi="宋体" w:eastAsia="宋体" w:cs="宋体"/>
                <w:color w:val="auto"/>
                <w:sz w:val="21"/>
                <w:szCs w:val="21"/>
                <w:highlight w:val="none"/>
                <w:u w:val="none"/>
              </w:rPr>
            </w:pPr>
            <w:r>
              <w:rPr>
                <w:rFonts w:hint="eastAsia" w:ascii="宋体" w:hAnsi="宋体" w:eastAsia="宋体" w:cs="宋体"/>
                <w:b/>
                <w:bCs/>
                <w:color w:val="auto"/>
                <w:sz w:val="21"/>
                <w:szCs w:val="21"/>
                <w:highlight w:val="none"/>
                <w:u w:val="none"/>
              </w:rPr>
              <w:t>技术评审（</w:t>
            </w:r>
            <w:r>
              <w:rPr>
                <w:rFonts w:hint="eastAsia" w:ascii="宋体" w:eastAsia="宋体" w:cs="宋体"/>
                <w:b/>
                <w:bCs/>
                <w:color w:val="auto"/>
                <w:sz w:val="21"/>
                <w:szCs w:val="21"/>
                <w:highlight w:val="none"/>
                <w:u w:val="none"/>
                <w:lang w:val="en-US" w:eastAsia="zh-CN"/>
              </w:rPr>
              <w:t>30</w:t>
            </w:r>
            <w:r>
              <w:rPr>
                <w:rFonts w:hint="eastAsia" w:ascii="宋体" w:hAnsi="宋体" w:eastAsia="宋体" w:cs="宋体"/>
                <w:b/>
                <w:bCs/>
                <w:color w:val="auto"/>
                <w:sz w:val="21"/>
                <w:szCs w:val="21"/>
                <w:highlight w:val="none"/>
                <w:u w:val="none"/>
              </w:rPr>
              <w:t>分）</w:t>
            </w:r>
          </w:p>
        </w:tc>
      </w:tr>
      <w:tr w14:paraId="031D3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14:paraId="4331A641">
            <w:pPr>
              <w:pStyle w:val="50"/>
              <w:shd w:val="clear"/>
              <w:spacing w:line="360" w:lineRule="auto"/>
              <w:ind w:firstLine="0" w:firstLineChars="0"/>
              <w:jc w:val="center"/>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rPr>
              <w:t>1</w:t>
            </w:r>
          </w:p>
        </w:tc>
        <w:tc>
          <w:tcPr>
            <w:tcW w:w="1609" w:type="dxa"/>
            <w:tcBorders>
              <w:top w:val="single" w:color="auto" w:sz="4" w:space="0"/>
              <w:left w:val="single" w:color="auto" w:sz="4" w:space="0"/>
              <w:bottom w:val="single" w:color="auto" w:sz="4" w:space="0"/>
              <w:right w:val="single" w:color="auto" w:sz="4" w:space="0"/>
            </w:tcBorders>
            <w:vAlign w:val="center"/>
          </w:tcPr>
          <w:p w14:paraId="1522F50C">
            <w:pPr>
              <w:shd w:val="clear"/>
              <w:spacing w:line="360" w:lineRule="auto"/>
              <w:jc w:val="center"/>
              <w:rPr>
                <w:rFonts w:hint="eastAsia" w:ascii="宋体" w:hAnsi="宋体" w:eastAsia="宋体" w:cs="宋体"/>
                <w:bCs/>
                <w:color w:val="auto"/>
                <w:kern w:val="2"/>
                <w:sz w:val="21"/>
                <w:szCs w:val="21"/>
                <w:highlight w:val="none"/>
                <w:u w:val="none"/>
                <w:lang w:val="en-US" w:eastAsia="zh-CN" w:bidi="ar-SA"/>
              </w:rPr>
            </w:pPr>
            <w:r>
              <w:rPr>
                <w:color w:val="auto"/>
                <w:highlight w:val="none"/>
              </w:rPr>
              <w:t>总体实施方案</w:t>
            </w:r>
          </w:p>
        </w:tc>
        <w:tc>
          <w:tcPr>
            <w:tcW w:w="900" w:type="dxa"/>
            <w:tcBorders>
              <w:top w:val="single" w:color="auto" w:sz="4" w:space="0"/>
              <w:left w:val="single" w:color="auto" w:sz="4" w:space="0"/>
              <w:bottom w:val="single" w:color="auto" w:sz="4" w:space="0"/>
              <w:right w:val="single" w:color="auto" w:sz="4" w:space="0"/>
            </w:tcBorders>
            <w:vAlign w:val="center"/>
          </w:tcPr>
          <w:p w14:paraId="16EF99DB">
            <w:pPr>
              <w:shd w:val="clear"/>
              <w:spacing w:line="360" w:lineRule="auto"/>
              <w:jc w:val="center"/>
              <w:rPr>
                <w:rFonts w:hint="eastAsia" w:ascii="宋体" w:hAnsi="宋体" w:eastAsia="宋体" w:cs="宋体"/>
                <w:bCs/>
                <w:color w:val="auto"/>
                <w:kern w:val="2"/>
                <w:sz w:val="21"/>
                <w:szCs w:val="21"/>
                <w:highlight w:val="none"/>
                <w:u w:val="none"/>
                <w:lang w:val="en-US" w:eastAsia="zh-CN" w:bidi="ar-SA"/>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分</w:t>
            </w:r>
          </w:p>
        </w:tc>
        <w:tc>
          <w:tcPr>
            <w:tcW w:w="5323" w:type="dxa"/>
            <w:tcBorders>
              <w:top w:val="single" w:color="auto" w:sz="4" w:space="0"/>
              <w:left w:val="single" w:color="auto" w:sz="4" w:space="0"/>
              <w:bottom w:val="single" w:color="auto" w:sz="4" w:space="0"/>
              <w:right w:val="single" w:color="auto" w:sz="4" w:space="0"/>
            </w:tcBorders>
            <w:vAlign w:val="center"/>
          </w:tcPr>
          <w:p w14:paraId="46EC6EA3">
            <w:pPr>
              <w:shd w:val="clear"/>
              <w:spacing w:line="300" w:lineRule="auto"/>
              <w:rPr>
                <w:rFonts w:hint="eastAsia" w:ascii="宋体" w:hAnsi="宋体" w:eastAsia="宋体" w:cs="宋体"/>
                <w:color w:val="auto"/>
                <w:highlight w:val="none"/>
              </w:rPr>
            </w:pPr>
            <w:r>
              <w:rPr>
                <w:rFonts w:ascii="宋体" w:hAnsi="宋体" w:eastAsia="宋体"/>
                <w:color w:val="auto"/>
                <w:highlight w:val="none"/>
              </w:rPr>
              <w:t>根</w:t>
            </w:r>
            <w:r>
              <w:rPr>
                <w:rFonts w:hint="eastAsia" w:ascii="宋体" w:hAnsi="宋体" w:eastAsia="宋体" w:cs="宋体"/>
                <w:color w:val="auto"/>
                <w:highlight w:val="none"/>
              </w:rPr>
              <w:t>据投标人提供的本项目总体实施方案（包括但不限于实施组织计划、总体工作流程和服务保障措施及配送方案等）进行综合评审：</w:t>
            </w:r>
          </w:p>
          <w:p w14:paraId="775D4BE3">
            <w:pPr>
              <w:shd w:val="clear"/>
              <w:spacing w:line="300" w:lineRule="auto"/>
              <w:rPr>
                <w:rFonts w:hint="eastAsia" w:ascii="宋体" w:hAnsi="宋体" w:eastAsia="宋体" w:cs="宋体"/>
                <w:color w:val="auto"/>
                <w:highlight w:val="none"/>
              </w:rPr>
            </w:pPr>
            <w:r>
              <w:rPr>
                <w:rFonts w:hint="eastAsia" w:ascii="宋体" w:hAnsi="宋体" w:eastAsia="宋体" w:cs="宋体"/>
                <w:color w:val="auto"/>
                <w:highlight w:val="none"/>
              </w:rPr>
              <w:t>1、实施组织计划详细完整、科学合理，总体工作流程详尽完善、步骤清晰明确，质量服务标准高、保障措施切实可行，配送方案详细完整，完全满足且优于采购项目的得7分；</w:t>
            </w:r>
          </w:p>
          <w:p w14:paraId="51353A27">
            <w:pPr>
              <w:shd w:val="clear"/>
              <w:spacing w:line="300" w:lineRule="auto"/>
              <w:rPr>
                <w:rFonts w:hint="eastAsia" w:ascii="宋体" w:hAnsi="宋体" w:eastAsia="宋体" w:cs="宋体"/>
                <w:color w:val="auto"/>
                <w:highlight w:val="none"/>
              </w:rPr>
            </w:pPr>
            <w:r>
              <w:rPr>
                <w:rFonts w:hint="eastAsia" w:ascii="宋体" w:hAnsi="宋体" w:eastAsia="宋体" w:cs="宋体"/>
                <w:color w:val="auto"/>
                <w:highlight w:val="none"/>
              </w:rPr>
              <w:t>2、实施组织计划详细较完整，总体工作流程较细致完善，质量服务标准较高、保障措施基本可行，配送方案较详细完整，完全满足采购项目的得5分；</w:t>
            </w:r>
          </w:p>
          <w:p w14:paraId="0204B939">
            <w:pPr>
              <w:shd w:val="clear"/>
              <w:spacing w:line="300" w:lineRule="auto"/>
              <w:rPr>
                <w:rFonts w:hint="eastAsia" w:ascii="宋体" w:hAnsi="宋体" w:eastAsia="宋体" w:cs="宋体"/>
                <w:color w:val="auto"/>
                <w:highlight w:val="none"/>
              </w:rPr>
            </w:pPr>
            <w:r>
              <w:rPr>
                <w:rFonts w:hint="eastAsia" w:ascii="宋体" w:hAnsi="宋体" w:eastAsia="宋体" w:cs="宋体"/>
                <w:color w:val="auto"/>
                <w:highlight w:val="none"/>
              </w:rPr>
              <w:t>3、实施组织计划完整性一般，总体工作流程基本完整，质量服务标准及保障措施可行性一般，配送方案详细程度一般，基本满足采购项目需求的得3分；</w:t>
            </w:r>
          </w:p>
          <w:p w14:paraId="0A426506">
            <w:pPr>
              <w:shd w:val="clear"/>
              <w:spacing w:line="300" w:lineRule="auto"/>
              <w:rPr>
                <w:rFonts w:hint="eastAsia" w:ascii="宋体" w:hAnsi="宋体" w:eastAsia="宋体" w:cs="宋体"/>
                <w:color w:val="auto"/>
                <w:highlight w:val="none"/>
              </w:rPr>
            </w:pPr>
            <w:r>
              <w:rPr>
                <w:rFonts w:hint="eastAsia" w:ascii="宋体" w:hAnsi="宋体" w:eastAsia="宋体" w:cs="宋体"/>
                <w:color w:val="auto"/>
                <w:highlight w:val="none"/>
              </w:rPr>
              <w:t>4、实施组织计划、总体工作流程不完整，质量服务标准及保障措施可行性较差，配送方案内容不详细，不完全满足项目需求的得1分；</w:t>
            </w:r>
          </w:p>
          <w:p w14:paraId="406932C9">
            <w:pPr>
              <w:widowControl/>
              <w:shd w:val="clear"/>
              <w:snapToGrid/>
              <w:spacing w:line="300" w:lineRule="auto"/>
              <w:rPr>
                <w:rFonts w:hint="eastAsia" w:ascii="宋体" w:hAnsi="宋体" w:eastAsia="宋体" w:cs="宋体"/>
                <w:color w:val="auto"/>
                <w:szCs w:val="21"/>
                <w:highlight w:val="none"/>
                <w:lang w:val="en-US" w:eastAsia="zh-CN"/>
              </w:rPr>
            </w:pPr>
            <w:r>
              <w:rPr>
                <w:rFonts w:hint="eastAsia" w:ascii="宋体" w:hAnsi="宋体" w:eastAsia="宋体" w:cs="宋体"/>
                <w:color w:val="auto"/>
                <w:highlight w:val="none"/>
              </w:rPr>
              <w:t>5、未提供对应方案的不得分。</w:t>
            </w:r>
          </w:p>
        </w:tc>
      </w:tr>
      <w:tr w14:paraId="6C6EE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14:paraId="3F9A8978">
            <w:pPr>
              <w:pStyle w:val="50"/>
              <w:shd w:val="clear"/>
              <w:spacing w:line="360" w:lineRule="auto"/>
              <w:ind w:firstLine="0" w:firstLineChars="0"/>
              <w:jc w:val="center"/>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rPr>
              <w:t>2</w:t>
            </w:r>
          </w:p>
        </w:tc>
        <w:tc>
          <w:tcPr>
            <w:tcW w:w="1609" w:type="dxa"/>
            <w:tcBorders>
              <w:top w:val="single" w:color="auto" w:sz="4" w:space="0"/>
              <w:left w:val="single" w:color="auto" w:sz="4" w:space="0"/>
              <w:bottom w:val="single" w:color="auto" w:sz="4" w:space="0"/>
              <w:right w:val="single" w:color="auto" w:sz="4" w:space="0"/>
            </w:tcBorders>
            <w:vAlign w:val="center"/>
          </w:tcPr>
          <w:p w14:paraId="7DF0F077">
            <w:pPr>
              <w:shd w:val="clear"/>
              <w:spacing w:line="360" w:lineRule="auto"/>
              <w:jc w:val="center"/>
              <w:rPr>
                <w:rFonts w:hint="eastAsia" w:ascii="宋体" w:hAnsi="宋体" w:eastAsia="宋体" w:cs="宋体"/>
                <w:color w:val="auto"/>
                <w:sz w:val="21"/>
                <w:szCs w:val="21"/>
                <w:highlight w:val="none"/>
                <w:u w:val="none"/>
                <w:lang w:val="en-US" w:eastAsia="zh-CN" w:bidi="ar-SA"/>
              </w:rPr>
            </w:pPr>
            <w:r>
              <w:rPr>
                <w:color w:val="auto"/>
                <w:highlight w:val="none"/>
              </w:rPr>
              <w:t>项目管理组织架构</w:t>
            </w:r>
          </w:p>
        </w:tc>
        <w:tc>
          <w:tcPr>
            <w:tcW w:w="900" w:type="dxa"/>
            <w:tcBorders>
              <w:top w:val="single" w:color="auto" w:sz="4" w:space="0"/>
              <w:left w:val="single" w:color="auto" w:sz="4" w:space="0"/>
              <w:bottom w:val="single" w:color="auto" w:sz="4" w:space="0"/>
              <w:right w:val="single" w:color="auto" w:sz="4" w:space="0"/>
            </w:tcBorders>
            <w:vAlign w:val="center"/>
          </w:tcPr>
          <w:p w14:paraId="3B3EFCFC">
            <w:pPr>
              <w:shd w:val="clear"/>
              <w:spacing w:line="360" w:lineRule="auto"/>
              <w:jc w:val="center"/>
              <w:rPr>
                <w:rFonts w:hint="eastAsia" w:ascii="宋体" w:hAnsi="宋体" w:eastAsia="宋体" w:cs="宋体"/>
                <w:color w:val="auto"/>
                <w:kern w:val="2"/>
                <w:sz w:val="21"/>
                <w:szCs w:val="21"/>
                <w:highlight w:val="none"/>
                <w:u w:val="none"/>
                <w:lang w:val="en-US" w:eastAsia="zh-CN" w:bidi="ar-SA"/>
              </w:rPr>
            </w:pP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分</w:t>
            </w:r>
          </w:p>
        </w:tc>
        <w:tc>
          <w:tcPr>
            <w:tcW w:w="5323" w:type="dxa"/>
            <w:tcBorders>
              <w:top w:val="single" w:color="auto" w:sz="4" w:space="0"/>
              <w:left w:val="single" w:color="auto" w:sz="4" w:space="0"/>
              <w:bottom w:val="single" w:color="auto" w:sz="4" w:space="0"/>
              <w:right w:val="single" w:color="auto" w:sz="4" w:space="0"/>
            </w:tcBorders>
            <w:vAlign w:val="center"/>
          </w:tcPr>
          <w:p w14:paraId="309A850D">
            <w:pPr>
              <w:shd w:val="clear"/>
              <w:spacing w:line="300" w:lineRule="auto"/>
              <w:rPr>
                <w:rFonts w:hint="eastAsia" w:ascii="宋体" w:hAnsi="宋体" w:cs="宋体"/>
                <w:color w:val="auto"/>
                <w:highlight w:val="none"/>
              </w:rPr>
            </w:pPr>
            <w:r>
              <w:rPr>
                <w:rFonts w:hint="eastAsia" w:ascii="宋体" w:hAnsi="宋体" w:cs="宋体"/>
                <w:color w:val="auto"/>
                <w:highlight w:val="none"/>
              </w:rPr>
              <w:t>根据投标人项目管理组织架构、服务人员分配架构的情况进行综合评审：</w:t>
            </w:r>
          </w:p>
          <w:p w14:paraId="32EF0D9A">
            <w:pPr>
              <w:shd w:val="clear"/>
              <w:spacing w:line="300" w:lineRule="auto"/>
              <w:rPr>
                <w:rFonts w:hint="eastAsia" w:ascii="宋体" w:hAnsi="宋体" w:cs="宋体"/>
                <w:color w:val="auto"/>
                <w:highlight w:val="none"/>
              </w:rPr>
            </w:pPr>
            <w:r>
              <w:rPr>
                <w:rFonts w:hint="eastAsia" w:ascii="宋体" w:hAnsi="宋体" w:cs="宋体"/>
                <w:color w:val="auto"/>
                <w:highlight w:val="none"/>
              </w:rPr>
              <w:t>1、项目管理架构完善，分工明确，内容合理性高的，岗位责任制完整具体，完全满足且优于采购项目的得</w:t>
            </w:r>
            <w:r>
              <w:rPr>
                <w:rFonts w:hint="eastAsia" w:ascii="宋体" w:hAnsi="宋体" w:eastAsia="宋体" w:cs="宋体"/>
                <w:color w:val="auto"/>
                <w:highlight w:val="none"/>
              </w:rPr>
              <w:t>5</w:t>
            </w:r>
            <w:r>
              <w:rPr>
                <w:rFonts w:hint="eastAsia" w:ascii="宋体" w:hAnsi="宋体" w:cs="宋体"/>
                <w:color w:val="auto"/>
                <w:highlight w:val="none"/>
              </w:rPr>
              <w:t xml:space="preserve">分； </w:t>
            </w:r>
          </w:p>
          <w:p w14:paraId="17E9AA89">
            <w:pPr>
              <w:shd w:val="clear"/>
              <w:spacing w:line="300" w:lineRule="auto"/>
              <w:rPr>
                <w:rFonts w:hint="eastAsia" w:ascii="宋体" w:hAnsi="宋体" w:cs="宋体"/>
                <w:color w:val="auto"/>
                <w:highlight w:val="none"/>
              </w:rPr>
            </w:pPr>
            <w:r>
              <w:rPr>
                <w:rFonts w:hint="eastAsia" w:ascii="宋体" w:hAnsi="宋体" w:cs="宋体"/>
                <w:color w:val="auto"/>
                <w:highlight w:val="none"/>
              </w:rPr>
              <w:t>2、项目管理架构较为完善，分工较为明确，内容合理的，岗位责任制较为完整，完全满足采购项目的得</w:t>
            </w:r>
            <w:r>
              <w:rPr>
                <w:rFonts w:hint="eastAsia" w:ascii="宋体" w:hAnsi="宋体" w:eastAsia="宋体" w:cs="宋体"/>
                <w:color w:val="auto"/>
                <w:highlight w:val="none"/>
              </w:rPr>
              <w:t>3</w:t>
            </w:r>
            <w:r>
              <w:rPr>
                <w:rFonts w:hint="eastAsia" w:ascii="宋体" w:hAnsi="宋体" w:cs="宋体"/>
                <w:color w:val="auto"/>
                <w:highlight w:val="none"/>
              </w:rPr>
              <w:t>分；</w:t>
            </w:r>
          </w:p>
          <w:p w14:paraId="7A3FF839">
            <w:pPr>
              <w:shd w:val="clear"/>
              <w:spacing w:line="300" w:lineRule="auto"/>
              <w:rPr>
                <w:rFonts w:hint="eastAsia" w:ascii="宋体" w:hAnsi="宋体" w:cs="宋体"/>
                <w:color w:val="auto"/>
                <w:highlight w:val="none"/>
              </w:rPr>
            </w:pPr>
            <w:r>
              <w:rPr>
                <w:rFonts w:hint="eastAsia" w:ascii="宋体" w:hAnsi="宋体" w:cs="宋体"/>
                <w:color w:val="auto"/>
                <w:highlight w:val="none"/>
              </w:rPr>
              <w:t>3、项目管理架构简单清晰，分工不够明确，内容部分合理的，岗位责任制较为简单，基本满足采购项目需求的得</w:t>
            </w:r>
            <w:r>
              <w:rPr>
                <w:rFonts w:hint="eastAsia" w:ascii="宋体" w:hAnsi="宋体" w:eastAsia="宋体" w:cs="宋体"/>
                <w:color w:val="auto"/>
                <w:highlight w:val="none"/>
              </w:rPr>
              <w:t>2</w:t>
            </w:r>
            <w:r>
              <w:rPr>
                <w:rFonts w:hint="eastAsia" w:ascii="宋体" w:hAnsi="宋体" w:cs="宋体"/>
                <w:color w:val="auto"/>
                <w:highlight w:val="none"/>
              </w:rPr>
              <w:t xml:space="preserve">分； </w:t>
            </w:r>
          </w:p>
          <w:p w14:paraId="0322943A">
            <w:pPr>
              <w:shd w:val="clear"/>
              <w:spacing w:line="300" w:lineRule="auto"/>
              <w:rPr>
                <w:rFonts w:hint="eastAsia" w:ascii="宋体" w:hAnsi="宋体" w:cs="宋体"/>
                <w:color w:val="auto"/>
                <w:highlight w:val="none"/>
              </w:rPr>
            </w:pPr>
            <w:r>
              <w:rPr>
                <w:rFonts w:hint="eastAsia" w:ascii="宋体" w:hAnsi="宋体" w:cs="宋体"/>
                <w:color w:val="auto"/>
                <w:highlight w:val="none"/>
              </w:rPr>
              <w:t>4、项目管理架构不具体、内容不清晰，分工不明确，内容不合理的，岗位责任制简单，不完全满足项目需求的得1分；</w:t>
            </w:r>
          </w:p>
          <w:p w14:paraId="0737B08E">
            <w:pPr>
              <w:shd w:val="clear"/>
              <w:snapToGrid/>
              <w:spacing w:line="300" w:lineRule="auto"/>
              <w:rPr>
                <w:rFonts w:hint="eastAsia" w:ascii="宋体" w:hAnsi="宋体" w:eastAsia="宋体" w:cs="宋体"/>
                <w:color w:val="auto"/>
                <w:sz w:val="21"/>
                <w:szCs w:val="21"/>
                <w:highlight w:val="none"/>
                <w:u w:val="none"/>
                <w:lang w:val="zh-CN" w:eastAsia="zh-CN" w:bidi="ar-SA"/>
              </w:rPr>
            </w:pPr>
            <w:r>
              <w:rPr>
                <w:rFonts w:hint="eastAsia" w:ascii="宋体" w:hAnsi="宋体" w:cs="宋体"/>
                <w:color w:val="auto"/>
                <w:highlight w:val="none"/>
              </w:rPr>
              <w:t>5、未提供对应方案的不得分。</w:t>
            </w:r>
          </w:p>
        </w:tc>
      </w:tr>
      <w:tr w14:paraId="4267F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14:paraId="5F602064">
            <w:pPr>
              <w:pStyle w:val="50"/>
              <w:shd w:val="clear"/>
              <w:spacing w:line="360" w:lineRule="auto"/>
              <w:ind w:firstLine="0" w:firstLineChars="0"/>
              <w:jc w:val="center"/>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rPr>
              <w:t>3</w:t>
            </w:r>
          </w:p>
        </w:tc>
        <w:tc>
          <w:tcPr>
            <w:tcW w:w="1609" w:type="dxa"/>
            <w:tcBorders>
              <w:top w:val="single" w:color="auto" w:sz="4" w:space="0"/>
              <w:left w:val="single" w:color="auto" w:sz="4" w:space="0"/>
              <w:bottom w:val="single" w:color="auto" w:sz="4" w:space="0"/>
              <w:right w:val="single" w:color="auto" w:sz="4" w:space="0"/>
            </w:tcBorders>
            <w:vAlign w:val="center"/>
          </w:tcPr>
          <w:p w14:paraId="4239760C">
            <w:pPr>
              <w:shd w:val="clear"/>
              <w:spacing w:line="360" w:lineRule="auto"/>
              <w:jc w:val="center"/>
              <w:rPr>
                <w:rFonts w:hint="eastAsia" w:ascii="宋体" w:hAnsi="宋体" w:eastAsia="宋体" w:cs="宋体"/>
                <w:color w:val="auto"/>
                <w:kern w:val="2"/>
                <w:sz w:val="21"/>
                <w:szCs w:val="21"/>
                <w:highlight w:val="none"/>
                <w:u w:val="none"/>
                <w:lang w:val="en-US" w:eastAsia="zh-CN" w:bidi="ar-SA"/>
              </w:rPr>
            </w:pPr>
            <w:r>
              <w:rPr>
                <w:color w:val="auto"/>
                <w:highlight w:val="none"/>
              </w:rPr>
              <w:t xml:space="preserve">食品安全保障措施 </w:t>
            </w:r>
          </w:p>
        </w:tc>
        <w:tc>
          <w:tcPr>
            <w:tcW w:w="900" w:type="dxa"/>
            <w:tcBorders>
              <w:top w:val="single" w:color="auto" w:sz="4" w:space="0"/>
              <w:left w:val="single" w:color="auto" w:sz="4" w:space="0"/>
              <w:bottom w:val="single" w:color="auto" w:sz="4" w:space="0"/>
              <w:right w:val="single" w:color="auto" w:sz="4" w:space="0"/>
            </w:tcBorders>
            <w:vAlign w:val="center"/>
          </w:tcPr>
          <w:p w14:paraId="6F0DEEB8">
            <w:pPr>
              <w:shd w:val="clear"/>
              <w:spacing w:line="360" w:lineRule="auto"/>
              <w:jc w:val="center"/>
              <w:rPr>
                <w:rFonts w:hint="eastAsia" w:ascii="宋体" w:hAnsi="宋体" w:eastAsia="宋体" w:cs="宋体"/>
                <w:color w:val="auto"/>
                <w:kern w:val="2"/>
                <w:sz w:val="21"/>
                <w:szCs w:val="21"/>
                <w:highlight w:val="none"/>
                <w:u w:val="none"/>
                <w:lang w:val="en-US" w:eastAsia="zh-CN" w:bidi="ar-SA"/>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分</w:t>
            </w:r>
          </w:p>
        </w:tc>
        <w:tc>
          <w:tcPr>
            <w:tcW w:w="5323" w:type="dxa"/>
            <w:tcBorders>
              <w:top w:val="single" w:color="auto" w:sz="4" w:space="0"/>
              <w:left w:val="single" w:color="auto" w:sz="4" w:space="0"/>
              <w:bottom w:val="single" w:color="auto" w:sz="4" w:space="0"/>
              <w:right w:val="single" w:color="auto" w:sz="4" w:space="0"/>
            </w:tcBorders>
            <w:vAlign w:val="center"/>
          </w:tcPr>
          <w:p w14:paraId="6EA693E1">
            <w:pPr>
              <w:shd w:val="clear"/>
              <w:spacing w:line="300" w:lineRule="auto"/>
              <w:rPr>
                <w:rFonts w:hint="eastAsia" w:ascii="宋体" w:hAnsi="宋体" w:eastAsia="宋体" w:cs="宋体"/>
                <w:color w:val="auto"/>
                <w:highlight w:val="none"/>
              </w:rPr>
            </w:pPr>
            <w:r>
              <w:rPr>
                <w:rFonts w:hint="eastAsia" w:ascii="宋体" w:hAnsi="宋体" w:eastAsia="宋体" w:cs="宋体"/>
                <w:color w:val="auto"/>
                <w:highlight w:val="none"/>
              </w:rPr>
              <w:t>根据投标人提供的针对本项目的食品安全保障方案（包含但不仅限于：食品分类、分装、保存、运输等各环节的质量安全保证措施等）进行综合评审：</w:t>
            </w:r>
          </w:p>
          <w:p w14:paraId="0784131B">
            <w:pPr>
              <w:shd w:val="clear"/>
              <w:spacing w:line="300" w:lineRule="auto"/>
              <w:rPr>
                <w:rFonts w:hint="eastAsia" w:ascii="宋体" w:hAnsi="宋体" w:eastAsia="宋体" w:cs="宋体"/>
                <w:color w:val="auto"/>
                <w:highlight w:val="none"/>
              </w:rPr>
            </w:pPr>
            <w:r>
              <w:rPr>
                <w:rFonts w:hint="eastAsia" w:ascii="宋体" w:hAnsi="宋体" w:eastAsia="宋体" w:cs="宋体"/>
                <w:color w:val="auto"/>
                <w:highlight w:val="none"/>
              </w:rPr>
              <w:t>1、食品安全管理措施更加科学合理，保障方案可行性高，完全满足且优于采购项目的得7分；</w:t>
            </w:r>
          </w:p>
          <w:p w14:paraId="70DDA9BA">
            <w:pPr>
              <w:shd w:val="clear"/>
              <w:spacing w:line="300" w:lineRule="auto"/>
              <w:rPr>
                <w:rFonts w:hint="eastAsia" w:ascii="宋体" w:hAnsi="宋体" w:eastAsia="宋体" w:cs="宋体"/>
                <w:color w:val="auto"/>
                <w:highlight w:val="none"/>
              </w:rPr>
            </w:pPr>
            <w:r>
              <w:rPr>
                <w:rFonts w:hint="eastAsia" w:ascii="宋体" w:hAnsi="宋体" w:eastAsia="宋体" w:cs="宋体"/>
                <w:color w:val="auto"/>
                <w:highlight w:val="none"/>
              </w:rPr>
              <w:t>2、食品安全管理措施较科学合理，保障方案可行性较高，完全满足采购项目的得5分；</w:t>
            </w:r>
          </w:p>
          <w:p w14:paraId="02C54A3F">
            <w:pPr>
              <w:shd w:val="clear"/>
              <w:spacing w:line="300" w:lineRule="auto"/>
              <w:rPr>
                <w:rFonts w:hint="eastAsia" w:ascii="宋体" w:hAnsi="宋体" w:eastAsia="宋体" w:cs="宋体"/>
                <w:color w:val="auto"/>
                <w:highlight w:val="none"/>
              </w:rPr>
            </w:pPr>
            <w:r>
              <w:rPr>
                <w:rFonts w:hint="eastAsia" w:ascii="宋体" w:hAnsi="宋体" w:eastAsia="宋体" w:cs="宋体"/>
                <w:color w:val="auto"/>
                <w:highlight w:val="none"/>
              </w:rPr>
              <w:t>3、食品安全管理措施基本完整合理，保障方案可行性一般，基本满足采购项目需求的得3分；</w:t>
            </w:r>
          </w:p>
          <w:p w14:paraId="65BE0829">
            <w:pPr>
              <w:shd w:val="clear"/>
              <w:spacing w:line="300" w:lineRule="auto"/>
              <w:rPr>
                <w:rFonts w:hint="eastAsia" w:ascii="宋体" w:hAnsi="宋体" w:eastAsia="宋体" w:cs="宋体"/>
                <w:color w:val="auto"/>
                <w:highlight w:val="none"/>
              </w:rPr>
            </w:pPr>
            <w:r>
              <w:rPr>
                <w:rFonts w:hint="eastAsia" w:ascii="宋体" w:hAnsi="宋体" w:eastAsia="宋体" w:cs="宋体"/>
                <w:color w:val="auto"/>
                <w:highlight w:val="none"/>
              </w:rPr>
              <w:t>4、食品安全管理措施不完整，保障方案可行性较差，不完全满足项目需求的得1分；</w:t>
            </w:r>
          </w:p>
          <w:p w14:paraId="6CE774EF">
            <w:pPr>
              <w:shd w:val="clear"/>
              <w:snapToGrid/>
              <w:spacing w:line="300" w:lineRule="auto"/>
              <w:rPr>
                <w:rFonts w:hint="eastAsia" w:ascii="宋体" w:hAnsi="宋体" w:eastAsia="宋体" w:cs="宋体"/>
                <w:bCs/>
                <w:color w:val="auto"/>
                <w:kern w:val="2"/>
                <w:sz w:val="21"/>
                <w:szCs w:val="21"/>
                <w:highlight w:val="none"/>
                <w:u w:val="none"/>
                <w:lang w:val="zh-CN" w:eastAsia="zh-CN" w:bidi="ar-SA"/>
              </w:rPr>
            </w:pPr>
            <w:r>
              <w:rPr>
                <w:rFonts w:hint="eastAsia" w:ascii="宋体" w:hAnsi="宋体" w:eastAsia="宋体" w:cs="宋体"/>
                <w:color w:val="auto"/>
                <w:highlight w:val="none"/>
              </w:rPr>
              <w:t>5、未提供对应方案不得分。</w:t>
            </w:r>
          </w:p>
        </w:tc>
      </w:tr>
      <w:tr w14:paraId="7C4C3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14:paraId="2A32608E">
            <w:pPr>
              <w:pStyle w:val="50"/>
              <w:shd w:val="clear"/>
              <w:spacing w:line="360" w:lineRule="auto"/>
              <w:ind w:firstLine="0" w:firstLineChars="0"/>
              <w:jc w:val="center"/>
              <w:rPr>
                <w:rFonts w:hint="default" w:ascii="宋体" w:hAnsi="宋体" w:eastAsia="宋体" w:cs="宋体"/>
                <w:color w:val="auto"/>
                <w:sz w:val="21"/>
                <w:szCs w:val="21"/>
                <w:highlight w:val="none"/>
                <w:u w:val="none"/>
                <w:lang w:val="en-US" w:eastAsia="zh-CN"/>
              </w:rPr>
            </w:pPr>
            <w:r>
              <w:rPr>
                <w:rFonts w:hint="eastAsia" w:ascii="宋体" w:eastAsia="宋体" w:cs="宋体"/>
                <w:color w:val="auto"/>
                <w:sz w:val="21"/>
                <w:szCs w:val="21"/>
                <w:highlight w:val="none"/>
                <w:u w:val="none"/>
                <w:lang w:val="en-US" w:eastAsia="zh-CN"/>
              </w:rPr>
              <w:t>4</w:t>
            </w:r>
          </w:p>
        </w:tc>
        <w:tc>
          <w:tcPr>
            <w:tcW w:w="1609" w:type="dxa"/>
            <w:tcBorders>
              <w:top w:val="single" w:color="auto" w:sz="4" w:space="0"/>
              <w:left w:val="single" w:color="auto" w:sz="4" w:space="0"/>
              <w:bottom w:val="single" w:color="auto" w:sz="4" w:space="0"/>
              <w:right w:val="single" w:color="auto" w:sz="4" w:space="0"/>
            </w:tcBorders>
            <w:vAlign w:val="center"/>
          </w:tcPr>
          <w:p w14:paraId="6159B4F1">
            <w:pPr>
              <w:shd w:val="clear"/>
              <w:spacing w:line="360" w:lineRule="auto"/>
              <w:jc w:val="center"/>
              <w:rPr>
                <w:rFonts w:hint="eastAsia" w:ascii="宋体" w:hAnsi="宋体" w:eastAsia="宋体" w:cs="宋体"/>
                <w:color w:val="auto"/>
                <w:szCs w:val="21"/>
                <w:highlight w:val="none"/>
              </w:rPr>
            </w:pPr>
            <w:r>
              <w:rPr>
                <w:color w:val="auto"/>
                <w:highlight w:val="none"/>
              </w:rPr>
              <w:t xml:space="preserve">应急处置方案 </w:t>
            </w:r>
          </w:p>
        </w:tc>
        <w:tc>
          <w:tcPr>
            <w:tcW w:w="900" w:type="dxa"/>
            <w:tcBorders>
              <w:top w:val="single" w:color="auto" w:sz="4" w:space="0"/>
              <w:left w:val="single" w:color="auto" w:sz="4" w:space="0"/>
              <w:bottom w:val="single" w:color="auto" w:sz="4" w:space="0"/>
              <w:right w:val="single" w:color="auto" w:sz="4" w:space="0"/>
            </w:tcBorders>
            <w:vAlign w:val="center"/>
          </w:tcPr>
          <w:p w14:paraId="0C65474C">
            <w:pPr>
              <w:shd w:val="clear"/>
              <w:spacing w:line="360" w:lineRule="auto"/>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7</w:t>
            </w:r>
            <w:r>
              <w:rPr>
                <w:color w:val="auto"/>
                <w:highlight w:val="none"/>
              </w:rPr>
              <w:t>分</w:t>
            </w:r>
          </w:p>
        </w:tc>
        <w:tc>
          <w:tcPr>
            <w:tcW w:w="5323" w:type="dxa"/>
            <w:tcBorders>
              <w:top w:val="single" w:color="auto" w:sz="4" w:space="0"/>
              <w:left w:val="single" w:color="auto" w:sz="4" w:space="0"/>
              <w:bottom w:val="single" w:color="auto" w:sz="4" w:space="0"/>
              <w:right w:val="single" w:color="auto" w:sz="4" w:space="0"/>
            </w:tcBorders>
            <w:vAlign w:val="center"/>
          </w:tcPr>
          <w:p w14:paraId="67B28150">
            <w:pPr>
              <w:shd w:val="clear"/>
              <w:spacing w:line="300" w:lineRule="auto"/>
              <w:rPr>
                <w:rFonts w:hint="eastAsia" w:ascii="宋体" w:hAnsi="宋体" w:eastAsia="宋体" w:cs="宋体"/>
                <w:color w:val="auto"/>
                <w:highlight w:val="none"/>
              </w:rPr>
            </w:pPr>
            <w:r>
              <w:rPr>
                <w:rFonts w:hint="eastAsia" w:ascii="宋体" w:hAnsi="宋体" w:eastAsia="宋体" w:cs="宋体"/>
                <w:color w:val="auto"/>
                <w:highlight w:val="none"/>
              </w:rPr>
              <w:t>根据投标人所建立完善的应急处理机制，针对突发事件的处理原则、流程、方法制定有针对性和可操作性的应急处理预案进行综合评审：</w:t>
            </w:r>
          </w:p>
          <w:p w14:paraId="4617D877">
            <w:pPr>
              <w:shd w:val="clear"/>
              <w:spacing w:line="300" w:lineRule="auto"/>
              <w:rPr>
                <w:rFonts w:hint="eastAsia" w:ascii="宋体" w:hAnsi="宋体" w:eastAsia="宋体" w:cs="宋体"/>
                <w:color w:val="auto"/>
                <w:highlight w:val="none"/>
              </w:rPr>
            </w:pPr>
            <w:r>
              <w:rPr>
                <w:rFonts w:hint="eastAsia" w:ascii="宋体" w:hAnsi="宋体" w:eastAsia="宋体" w:cs="宋体"/>
                <w:color w:val="auto"/>
                <w:highlight w:val="none"/>
              </w:rPr>
              <w:t>1、应急处置方案完整详尽，针对突发事件的处理预案多且详细，处理原则、流程、方法有针对性，可行性强，完全满足且优于采购项目的得7分；</w:t>
            </w:r>
          </w:p>
          <w:p w14:paraId="1BD8377B">
            <w:pPr>
              <w:shd w:val="clear"/>
              <w:spacing w:line="300" w:lineRule="auto"/>
              <w:rPr>
                <w:rFonts w:hint="eastAsia" w:ascii="宋体" w:hAnsi="宋体" w:eastAsia="宋体" w:cs="宋体"/>
                <w:color w:val="auto"/>
                <w:highlight w:val="none"/>
              </w:rPr>
            </w:pPr>
            <w:r>
              <w:rPr>
                <w:rFonts w:hint="eastAsia" w:ascii="宋体" w:hAnsi="宋体" w:eastAsia="宋体" w:cs="宋体"/>
                <w:color w:val="auto"/>
                <w:highlight w:val="none"/>
              </w:rPr>
              <w:t>2、应急处置方案较为详细，针对突发事件的处理预案较多且详细，处理原则、流程、方法有针对性，可行性较强，完全满足采购项目的得5分；</w:t>
            </w:r>
          </w:p>
          <w:p w14:paraId="50D532E3">
            <w:pPr>
              <w:shd w:val="clear"/>
              <w:spacing w:line="300" w:lineRule="auto"/>
              <w:rPr>
                <w:rFonts w:hint="eastAsia" w:ascii="宋体" w:hAnsi="宋体" w:eastAsia="宋体" w:cs="宋体"/>
                <w:color w:val="auto"/>
                <w:highlight w:val="none"/>
              </w:rPr>
            </w:pPr>
            <w:r>
              <w:rPr>
                <w:rFonts w:hint="eastAsia" w:ascii="宋体" w:hAnsi="宋体" w:eastAsia="宋体" w:cs="宋体"/>
                <w:color w:val="auto"/>
                <w:highlight w:val="none"/>
              </w:rPr>
              <w:t>3、应急处置方案较为简单，针对突发事件的处理预案较少，处理原则、流程、方法有针对性一般，可行性一般，基本满足采购项目需求的得3分；</w:t>
            </w:r>
          </w:p>
          <w:p w14:paraId="1E0E1A10">
            <w:pPr>
              <w:shd w:val="clear"/>
              <w:spacing w:line="300" w:lineRule="auto"/>
              <w:rPr>
                <w:rFonts w:hint="eastAsia" w:ascii="宋体" w:hAnsi="宋体" w:eastAsia="宋体" w:cs="宋体"/>
                <w:color w:val="auto"/>
                <w:highlight w:val="none"/>
              </w:rPr>
            </w:pPr>
            <w:r>
              <w:rPr>
                <w:rFonts w:hint="eastAsia" w:ascii="宋体" w:hAnsi="宋体" w:eastAsia="宋体" w:cs="宋体"/>
                <w:color w:val="auto"/>
                <w:highlight w:val="none"/>
              </w:rPr>
              <w:t>4、应急处置方案简单肤浅，针对突发事件的处理预案少，处理原则、流程、方法针对性较差，可行性较差，不完全满足项目需求的得1分；</w:t>
            </w:r>
          </w:p>
          <w:p w14:paraId="1F65565C">
            <w:pPr>
              <w:shd w:val="clear"/>
              <w:snapToGrid/>
              <w:spacing w:line="300" w:lineRule="auto"/>
              <w:rPr>
                <w:rFonts w:hint="eastAsia" w:ascii="宋体" w:hAnsi="宋体" w:eastAsia="宋体" w:cs="宋体"/>
                <w:color w:val="auto"/>
                <w:szCs w:val="21"/>
                <w:highlight w:val="none"/>
              </w:rPr>
            </w:pPr>
            <w:r>
              <w:rPr>
                <w:rFonts w:hint="eastAsia" w:ascii="宋体" w:hAnsi="宋体" w:eastAsia="宋体" w:cs="宋体"/>
                <w:color w:val="auto"/>
                <w:highlight w:val="none"/>
              </w:rPr>
              <w:t>5、未提供对应方案的不得分。</w:t>
            </w:r>
          </w:p>
        </w:tc>
      </w:tr>
      <w:tr w14:paraId="3A85D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14:paraId="61FD0E0B">
            <w:pPr>
              <w:pStyle w:val="50"/>
              <w:shd w:val="clear"/>
              <w:spacing w:line="360" w:lineRule="auto"/>
              <w:ind w:firstLine="0" w:firstLineChars="0"/>
              <w:jc w:val="center"/>
              <w:rPr>
                <w:rFonts w:hint="eastAsia" w:ascii="宋体" w:hAnsi="宋体" w:eastAsia="宋体" w:cs="宋体"/>
                <w:color w:val="auto"/>
                <w:sz w:val="21"/>
                <w:szCs w:val="21"/>
                <w:highlight w:val="none"/>
                <w:u w:val="none"/>
                <w:lang w:val="en-US" w:eastAsia="zh-CN"/>
              </w:rPr>
            </w:pPr>
            <w:r>
              <w:rPr>
                <w:rFonts w:hint="eastAsia" w:ascii="宋体" w:eastAsia="宋体" w:cs="宋体"/>
                <w:color w:val="auto"/>
                <w:sz w:val="21"/>
                <w:szCs w:val="21"/>
                <w:highlight w:val="none"/>
                <w:u w:val="none"/>
                <w:lang w:val="en-US" w:eastAsia="zh-CN"/>
              </w:rPr>
              <w:t>5</w:t>
            </w:r>
          </w:p>
        </w:tc>
        <w:tc>
          <w:tcPr>
            <w:tcW w:w="1609" w:type="dxa"/>
            <w:tcBorders>
              <w:top w:val="single" w:color="auto" w:sz="4" w:space="0"/>
              <w:left w:val="single" w:color="auto" w:sz="4" w:space="0"/>
              <w:bottom w:val="single" w:color="auto" w:sz="4" w:space="0"/>
              <w:right w:val="single" w:color="auto" w:sz="4" w:space="0"/>
            </w:tcBorders>
            <w:vAlign w:val="center"/>
          </w:tcPr>
          <w:p w14:paraId="65E65139">
            <w:pPr>
              <w:shd w:val="clear"/>
              <w:spacing w:line="360" w:lineRule="auto"/>
              <w:jc w:val="center"/>
              <w:rPr>
                <w:rFonts w:hint="eastAsia" w:ascii="宋体" w:hAnsi="宋体" w:eastAsia="宋体" w:cs="宋体"/>
                <w:color w:val="auto"/>
                <w:sz w:val="21"/>
                <w:szCs w:val="21"/>
                <w:highlight w:val="none"/>
                <w:u w:val="none"/>
              </w:rPr>
            </w:pPr>
            <w:r>
              <w:rPr>
                <w:color w:val="auto"/>
                <w:highlight w:val="none"/>
              </w:rPr>
              <w:t>售后承诺</w:t>
            </w:r>
          </w:p>
        </w:tc>
        <w:tc>
          <w:tcPr>
            <w:tcW w:w="900" w:type="dxa"/>
            <w:tcBorders>
              <w:top w:val="single" w:color="auto" w:sz="4" w:space="0"/>
              <w:left w:val="single" w:color="auto" w:sz="4" w:space="0"/>
              <w:bottom w:val="single" w:color="auto" w:sz="4" w:space="0"/>
              <w:right w:val="single" w:color="auto" w:sz="4" w:space="0"/>
            </w:tcBorders>
            <w:vAlign w:val="center"/>
          </w:tcPr>
          <w:p w14:paraId="5F81927F">
            <w:pPr>
              <w:shd w:val="clear"/>
              <w:spacing w:line="360" w:lineRule="auto"/>
              <w:jc w:val="center"/>
              <w:rPr>
                <w:rFonts w:hint="eastAsia" w:ascii="宋体" w:hAnsi="宋体" w:eastAsia="宋体" w:cs="宋体"/>
                <w:color w:val="auto"/>
                <w:sz w:val="21"/>
                <w:szCs w:val="21"/>
                <w:highlight w:val="none"/>
                <w:u w:val="none"/>
                <w:lang w:val="en-US" w:eastAsia="zh-CN"/>
              </w:rPr>
            </w:pP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分</w:t>
            </w:r>
          </w:p>
        </w:tc>
        <w:tc>
          <w:tcPr>
            <w:tcW w:w="5323" w:type="dxa"/>
            <w:tcBorders>
              <w:top w:val="single" w:color="auto" w:sz="4" w:space="0"/>
              <w:left w:val="single" w:color="auto" w:sz="4" w:space="0"/>
              <w:bottom w:val="single" w:color="auto" w:sz="4" w:space="0"/>
              <w:right w:val="single" w:color="auto" w:sz="4" w:space="0"/>
            </w:tcBorders>
            <w:vAlign w:val="center"/>
          </w:tcPr>
          <w:p w14:paraId="6CAD1C8B">
            <w:pPr>
              <w:shd w:val="clear"/>
              <w:spacing w:line="300" w:lineRule="auto"/>
              <w:rPr>
                <w:rFonts w:hint="eastAsia" w:ascii="宋体" w:hAnsi="宋体" w:eastAsia="宋体" w:cs="宋体"/>
                <w:color w:val="auto"/>
                <w:highlight w:val="none"/>
              </w:rPr>
            </w:pPr>
            <w:r>
              <w:rPr>
                <w:rFonts w:hint="eastAsia" w:ascii="宋体" w:hAnsi="宋体" w:eastAsia="宋体" w:cs="宋体"/>
                <w:color w:val="auto"/>
                <w:szCs w:val="21"/>
                <w:highlight w:val="none"/>
              </w:rPr>
              <w:t>（</w:t>
            </w:r>
            <w:r>
              <w:rPr>
                <w:rFonts w:hint="eastAsia" w:ascii="宋体" w:hAnsi="宋体" w:eastAsia="宋体" w:cs="宋体"/>
                <w:color w:val="auto"/>
                <w:highlight w:val="none"/>
              </w:rPr>
              <w:t>根据各投标人提供的售后服务承诺（包括但不限于以下内容：专线售后服务管理方，设置服务热线，专人服务，专人跟踪、售后服务时间安排、其它服务承诺）进行综合评审：</w:t>
            </w:r>
          </w:p>
          <w:p w14:paraId="482CE486">
            <w:pPr>
              <w:shd w:val="clear"/>
              <w:spacing w:line="300" w:lineRule="auto"/>
              <w:rPr>
                <w:rFonts w:hint="eastAsia" w:ascii="宋体" w:hAnsi="宋体" w:eastAsia="宋体" w:cs="宋体"/>
                <w:color w:val="auto"/>
                <w:highlight w:val="none"/>
              </w:rPr>
            </w:pPr>
            <w:r>
              <w:rPr>
                <w:rFonts w:hint="eastAsia" w:ascii="宋体" w:hAnsi="宋体" w:eastAsia="宋体" w:cs="宋体"/>
                <w:color w:val="auto"/>
                <w:highlight w:val="none"/>
              </w:rPr>
              <w:t>1、投标人的售后服务承诺全面、科学合理、实施方法可行性高，完全满足且优于采购项目的得4分；</w:t>
            </w:r>
          </w:p>
          <w:p w14:paraId="7D47D566">
            <w:pPr>
              <w:shd w:val="clear"/>
              <w:spacing w:line="300" w:lineRule="auto"/>
              <w:rPr>
                <w:rFonts w:hint="eastAsia" w:ascii="宋体" w:hAnsi="宋体" w:eastAsia="宋体" w:cs="宋体"/>
                <w:color w:val="auto"/>
                <w:highlight w:val="none"/>
              </w:rPr>
            </w:pPr>
            <w:r>
              <w:rPr>
                <w:rFonts w:hint="eastAsia" w:ascii="宋体" w:hAnsi="宋体" w:eastAsia="宋体" w:cs="宋体"/>
                <w:color w:val="auto"/>
                <w:highlight w:val="none"/>
              </w:rPr>
              <w:t>2、投标人的售后服务承诺较为简单、实施方法可行性一般，基本满足采购项目需求的得2分；</w:t>
            </w:r>
          </w:p>
          <w:p w14:paraId="47D29966">
            <w:pPr>
              <w:shd w:val="clear"/>
              <w:spacing w:line="300" w:lineRule="auto"/>
              <w:rPr>
                <w:rFonts w:hint="eastAsia" w:ascii="宋体" w:hAnsi="宋体" w:eastAsia="宋体" w:cs="宋体"/>
                <w:color w:val="auto"/>
                <w:highlight w:val="none"/>
              </w:rPr>
            </w:pPr>
            <w:r>
              <w:rPr>
                <w:rFonts w:hint="eastAsia" w:ascii="宋体" w:hAnsi="宋体" w:eastAsia="宋体" w:cs="宋体"/>
                <w:color w:val="auto"/>
                <w:highlight w:val="none"/>
              </w:rPr>
              <w:t>3、投标人的售后服务承诺非常简单、实施方法可行性较差，不完全满足项目需求的得1分；</w:t>
            </w:r>
          </w:p>
          <w:p w14:paraId="143F9AFB">
            <w:pPr>
              <w:shd w:val="clear"/>
              <w:snapToGrid/>
              <w:spacing w:line="300" w:lineRule="auto"/>
              <w:rPr>
                <w:rFonts w:hint="eastAsia" w:ascii="宋体" w:hAnsi="宋体" w:eastAsia="宋体" w:cs="宋体"/>
                <w:bCs/>
                <w:color w:val="auto"/>
                <w:sz w:val="21"/>
                <w:szCs w:val="21"/>
                <w:highlight w:val="none"/>
                <w:u w:val="none"/>
              </w:rPr>
            </w:pPr>
            <w:r>
              <w:rPr>
                <w:rFonts w:hint="eastAsia" w:ascii="宋体" w:hAnsi="宋体" w:eastAsia="宋体" w:cs="宋体"/>
                <w:color w:val="auto"/>
                <w:highlight w:val="none"/>
              </w:rPr>
              <w:t>4、未提供对应方案的不得分。</w:t>
            </w:r>
          </w:p>
        </w:tc>
      </w:tr>
      <w:tr w14:paraId="7AF6F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8522" w:type="dxa"/>
            <w:gridSpan w:val="4"/>
            <w:tcBorders>
              <w:top w:val="single" w:color="auto" w:sz="4" w:space="0"/>
              <w:left w:val="single" w:color="auto" w:sz="4" w:space="0"/>
              <w:bottom w:val="single" w:color="auto" w:sz="4" w:space="0"/>
              <w:right w:val="single" w:color="auto" w:sz="4" w:space="0"/>
            </w:tcBorders>
            <w:vAlign w:val="center"/>
          </w:tcPr>
          <w:p w14:paraId="10BAC346">
            <w:pPr>
              <w:widowControl w:val="0"/>
              <w:shd w:val="clear"/>
              <w:tabs>
                <w:tab w:val="left" w:pos="907"/>
              </w:tabs>
              <w:adjustRightInd/>
              <w:snapToGrid/>
              <w:ind w:firstLine="422" w:firstLineChars="200"/>
              <w:jc w:val="both"/>
              <w:rPr>
                <w:rFonts w:ascii="宋体" w:hAnsi="宋体" w:cs="宋体"/>
                <w:b/>
                <w:color w:val="auto"/>
                <w:szCs w:val="21"/>
                <w:highlight w:val="none"/>
              </w:rPr>
            </w:pPr>
            <w:r>
              <w:rPr>
                <w:rFonts w:hint="eastAsia" w:ascii="宋体" w:hAnsi="宋体" w:cs="宋体"/>
                <w:b/>
                <w:color w:val="auto"/>
                <w:szCs w:val="21"/>
                <w:highlight w:val="none"/>
              </w:rPr>
              <w:t>注：</w:t>
            </w:r>
          </w:p>
          <w:p w14:paraId="6DD270A2">
            <w:pPr>
              <w:widowControl w:val="0"/>
              <w:shd w:val="clear"/>
              <w:tabs>
                <w:tab w:val="left" w:pos="907"/>
              </w:tabs>
              <w:adjustRightInd/>
              <w:snapToGrid/>
              <w:jc w:val="both"/>
              <w:rPr>
                <w:rFonts w:ascii="宋体" w:hAnsi="宋体" w:cs="宋体"/>
                <w:b/>
                <w:color w:val="auto"/>
                <w:szCs w:val="21"/>
                <w:highlight w:val="none"/>
              </w:rPr>
            </w:pPr>
            <w:r>
              <w:rPr>
                <w:rFonts w:hint="eastAsia" w:ascii="宋体" w:hAnsi="宋体" w:cs="宋体"/>
                <w:b/>
                <w:color w:val="auto"/>
                <w:szCs w:val="21"/>
                <w:highlight w:val="none"/>
              </w:rPr>
              <w:t>（1）无特殊说明外，以上评审项，同一证明文件不重复计分。</w:t>
            </w:r>
          </w:p>
          <w:p w14:paraId="34A03EBC">
            <w:pPr>
              <w:shd w:val="clear"/>
              <w:spacing w:line="360" w:lineRule="auto"/>
              <w:rPr>
                <w:rFonts w:hint="eastAsia" w:ascii="宋体" w:hAnsi="宋体" w:eastAsia="宋体" w:cs="宋体"/>
                <w:color w:val="auto"/>
                <w:szCs w:val="21"/>
                <w:highlight w:val="none"/>
              </w:rPr>
            </w:pPr>
            <w:r>
              <w:rPr>
                <w:rFonts w:hint="eastAsia" w:ascii="宋体" w:hAnsi="宋体" w:cs="宋体"/>
                <w:b/>
                <w:color w:val="auto"/>
                <w:szCs w:val="21"/>
                <w:highlight w:val="none"/>
              </w:rPr>
              <w:t>（2）投标人根据以上评分要求提供的投标材料因模糊不清导致评标委员会无法清晰辨认进行评审的，视为无效材料。</w:t>
            </w:r>
          </w:p>
        </w:tc>
      </w:tr>
      <w:tr w14:paraId="5DAE2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8522" w:type="dxa"/>
            <w:gridSpan w:val="4"/>
            <w:tcBorders>
              <w:top w:val="single" w:color="auto" w:sz="4" w:space="0"/>
              <w:left w:val="single" w:color="auto" w:sz="4" w:space="0"/>
              <w:bottom w:val="single" w:color="auto" w:sz="4" w:space="0"/>
              <w:right w:val="single" w:color="auto" w:sz="4" w:space="0"/>
            </w:tcBorders>
            <w:vAlign w:val="center"/>
          </w:tcPr>
          <w:p w14:paraId="7F97196F">
            <w:pPr>
              <w:shd w:val="clear"/>
              <w:spacing w:line="360" w:lineRule="auto"/>
              <w:jc w:val="center"/>
              <w:rPr>
                <w:rFonts w:hint="eastAsia" w:ascii="宋体" w:hAnsi="宋体" w:eastAsia="宋体" w:cs="宋体"/>
                <w:color w:val="auto"/>
                <w:szCs w:val="21"/>
                <w:highlight w:val="none"/>
              </w:rPr>
            </w:pPr>
            <w:r>
              <w:rPr>
                <w:rFonts w:hint="eastAsia" w:ascii="宋体" w:eastAsia="宋体" w:cs="宋体"/>
                <w:b/>
                <w:bCs/>
                <w:color w:val="auto"/>
                <w:sz w:val="21"/>
                <w:szCs w:val="21"/>
                <w:highlight w:val="none"/>
              </w:rPr>
              <w:t>价格评审（</w:t>
            </w:r>
            <w:r>
              <w:rPr>
                <w:rFonts w:hint="eastAsia" w:ascii="宋体" w:cs="宋体"/>
                <w:b/>
                <w:bCs/>
                <w:color w:val="auto"/>
                <w:sz w:val="21"/>
                <w:szCs w:val="21"/>
                <w:highlight w:val="none"/>
                <w:lang w:val="en-US" w:eastAsia="zh-CN"/>
              </w:rPr>
              <w:t>30</w:t>
            </w:r>
            <w:r>
              <w:rPr>
                <w:rFonts w:hint="eastAsia" w:ascii="宋体" w:eastAsia="宋体" w:cs="宋体"/>
                <w:b/>
                <w:bCs/>
                <w:color w:val="auto"/>
                <w:sz w:val="21"/>
                <w:szCs w:val="21"/>
                <w:highlight w:val="none"/>
              </w:rPr>
              <w:t>分）</w:t>
            </w:r>
          </w:p>
        </w:tc>
      </w:tr>
      <w:tr w14:paraId="7B7F1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14:paraId="11C5A9F4">
            <w:pPr>
              <w:pStyle w:val="50"/>
              <w:shd w:val="clear"/>
              <w:spacing w:line="360" w:lineRule="auto"/>
              <w:ind w:firstLine="0" w:firstLineChars="0"/>
              <w:jc w:val="center"/>
              <w:rPr>
                <w:rFonts w:hint="eastAsia" w:ascii="宋体" w:hAnsi="宋体" w:eastAsia="宋体" w:cs="宋体"/>
                <w:color w:val="auto"/>
                <w:sz w:val="21"/>
                <w:szCs w:val="21"/>
                <w:highlight w:val="none"/>
                <w:u w:val="none"/>
                <w:lang w:val="en-US" w:eastAsia="zh-CN"/>
              </w:rPr>
            </w:pPr>
            <w:r>
              <w:rPr>
                <w:rFonts w:hint="eastAsia" w:ascii="宋体" w:eastAsia="宋体" w:cs="宋体"/>
                <w:color w:val="auto"/>
                <w:sz w:val="21"/>
                <w:szCs w:val="21"/>
                <w:highlight w:val="none"/>
              </w:rPr>
              <w:t>1</w:t>
            </w:r>
          </w:p>
        </w:tc>
        <w:tc>
          <w:tcPr>
            <w:tcW w:w="1609" w:type="dxa"/>
            <w:tcBorders>
              <w:top w:val="single" w:color="auto" w:sz="4" w:space="0"/>
              <w:left w:val="single" w:color="auto" w:sz="4" w:space="0"/>
              <w:bottom w:val="single" w:color="auto" w:sz="4" w:space="0"/>
              <w:right w:val="single" w:color="auto" w:sz="4" w:space="0"/>
            </w:tcBorders>
            <w:vAlign w:val="center"/>
          </w:tcPr>
          <w:p w14:paraId="4C313E38">
            <w:pPr>
              <w:widowControl w:val="0"/>
              <w:shd w:val="clear"/>
              <w:adjustRightInd/>
              <w:snapToGrid/>
              <w:jc w:val="center"/>
              <w:rPr>
                <w:rFonts w:hint="eastAsia" w:ascii="宋体" w:hAnsi="宋体" w:eastAsia="宋体" w:cs="宋体"/>
                <w:color w:val="auto"/>
                <w:szCs w:val="21"/>
                <w:highlight w:val="none"/>
                <w:lang w:val="en-US" w:eastAsia="zh-CN"/>
              </w:rPr>
            </w:pPr>
            <w:r>
              <w:rPr>
                <w:rFonts w:hint="eastAsia" w:ascii="宋体" w:hAnsi="宋体" w:cs="宋体"/>
                <w:color w:val="auto"/>
                <w:kern w:val="2"/>
                <w:szCs w:val="21"/>
                <w:highlight w:val="none"/>
              </w:rPr>
              <w:t>投标</w:t>
            </w:r>
            <w:r>
              <w:rPr>
                <w:rFonts w:hint="eastAsia" w:ascii="宋体" w:hAnsi="宋体" w:cs="宋体"/>
                <w:color w:val="auto"/>
                <w:kern w:val="2"/>
                <w:szCs w:val="21"/>
                <w:highlight w:val="none"/>
                <w:lang w:val="en-US" w:eastAsia="zh-CN"/>
              </w:rPr>
              <w:t>报价</w:t>
            </w:r>
          </w:p>
        </w:tc>
        <w:tc>
          <w:tcPr>
            <w:tcW w:w="900" w:type="dxa"/>
            <w:tcBorders>
              <w:top w:val="single" w:color="auto" w:sz="4" w:space="0"/>
              <w:left w:val="single" w:color="auto" w:sz="4" w:space="0"/>
              <w:bottom w:val="single" w:color="auto" w:sz="4" w:space="0"/>
              <w:right w:val="single" w:color="auto" w:sz="4" w:space="0"/>
            </w:tcBorders>
            <w:vAlign w:val="center"/>
          </w:tcPr>
          <w:p w14:paraId="3C137908">
            <w:pPr>
              <w:widowControl w:val="0"/>
              <w:shd w:val="clear"/>
              <w:adjustRightInd/>
              <w:snapToGrid/>
              <w:jc w:val="center"/>
              <w:rPr>
                <w:rFonts w:hint="eastAsia" w:ascii="宋体" w:hAnsi="宋体" w:eastAsia="宋体" w:cs="宋体"/>
                <w:color w:val="auto"/>
                <w:sz w:val="21"/>
                <w:szCs w:val="21"/>
                <w:highlight w:val="none"/>
                <w:lang w:val="en-US" w:eastAsia="zh-CN"/>
              </w:rPr>
            </w:pPr>
            <w:r>
              <w:rPr>
                <w:rFonts w:hint="eastAsia" w:ascii="宋体" w:hAnsi="宋体" w:cs="宋体"/>
                <w:color w:val="auto"/>
                <w:kern w:val="2"/>
                <w:szCs w:val="21"/>
                <w:highlight w:val="none"/>
                <w:lang w:val="en-US" w:eastAsia="zh-CN"/>
              </w:rPr>
              <w:t>30</w:t>
            </w:r>
            <w:r>
              <w:rPr>
                <w:rFonts w:ascii="宋体" w:hAnsi="宋体" w:cs="宋体"/>
                <w:color w:val="auto"/>
                <w:kern w:val="2"/>
                <w:szCs w:val="21"/>
                <w:highlight w:val="none"/>
              </w:rPr>
              <w:t xml:space="preserve"> </w:t>
            </w:r>
          </w:p>
        </w:tc>
        <w:tc>
          <w:tcPr>
            <w:tcW w:w="5323" w:type="dxa"/>
            <w:tcBorders>
              <w:top w:val="single" w:color="auto" w:sz="4" w:space="0"/>
              <w:left w:val="single" w:color="auto" w:sz="4" w:space="0"/>
              <w:bottom w:val="single" w:color="auto" w:sz="4" w:space="0"/>
              <w:right w:val="single" w:color="auto" w:sz="4" w:space="0"/>
            </w:tcBorders>
            <w:vAlign w:val="center"/>
          </w:tcPr>
          <w:p w14:paraId="0735F6E1">
            <w:pPr>
              <w:widowControl w:val="0"/>
              <w:shd w:val="clear"/>
              <w:adjustRightInd/>
              <w:snapToGrid/>
              <w:ind w:firstLine="420" w:firstLineChars="200"/>
              <w:rPr>
                <w:rFonts w:hint="eastAsia" w:ascii="宋体" w:hAnsi="宋体" w:cs="宋体"/>
                <w:color w:val="auto"/>
                <w:kern w:val="2"/>
                <w:szCs w:val="21"/>
                <w:highlight w:val="none"/>
                <w:lang w:val="zh-CN"/>
              </w:rPr>
            </w:pPr>
            <w:r>
              <w:rPr>
                <w:rFonts w:hint="eastAsia" w:ascii="宋体" w:hAnsi="宋体" w:cs="宋体"/>
                <w:color w:val="auto"/>
                <w:kern w:val="2"/>
                <w:szCs w:val="21"/>
                <w:highlight w:val="none"/>
                <w:lang w:val="zh-CN"/>
              </w:rPr>
              <w:t>本项目的价格分采用低价优先法计算，即满足招标文件要求且</w:t>
            </w:r>
            <w:r>
              <w:rPr>
                <w:rFonts w:hint="eastAsia" w:ascii="宋体" w:hAnsi="宋体" w:cs="宋体"/>
                <w:color w:val="auto"/>
                <w:kern w:val="2"/>
                <w:szCs w:val="21"/>
                <w:highlight w:val="none"/>
                <w:lang w:val="en-US" w:eastAsia="zh-CN"/>
              </w:rPr>
              <w:t>下浮</w:t>
            </w:r>
            <w:r>
              <w:rPr>
                <w:rFonts w:hint="eastAsia" w:ascii="宋体" w:hAnsi="宋体" w:cs="宋体"/>
                <w:color w:val="auto"/>
                <w:kern w:val="2"/>
                <w:szCs w:val="21"/>
                <w:highlight w:val="none"/>
                <w:lang w:val="zh-CN"/>
              </w:rPr>
              <w:t>率报价数值最大的投标报价为评标基准价，其价格分为满分，</w:t>
            </w:r>
            <w:r>
              <w:rPr>
                <w:rFonts w:hint="eastAsia" w:ascii="宋体" w:hAnsi="宋体" w:cs="宋体"/>
                <w:color w:val="auto"/>
                <w:kern w:val="2"/>
                <w:szCs w:val="21"/>
                <w:highlight w:val="none"/>
                <w:lang w:val="en-US" w:eastAsia="zh-CN"/>
              </w:rPr>
              <w:t>下浮</w:t>
            </w:r>
            <w:r>
              <w:rPr>
                <w:rFonts w:hint="eastAsia" w:ascii="宋体" w:hAnsi="宋体" w:cs="宋体"/>
                <w:color w:val="auto"/>
                <w:kern w:val="2"/>
                <w:szCs w:val="21"/>
                <w:highlight w:val="none"/>
                <w:lang w:val="zh-CN"/>
              </w:rPr>
              <w:t>率报价数值低于评标基准价的投标报价得分公式如下：报价得分＝（1-评标基准价）</w:t>
            </w:r>
            <w:r>
              <w:rPr>
                <w:rFonts w:hint="eastAsia" w:ascii="宋体" w:hAnsi="宋体" w:cs="宋体"/>
                <w:color w:val="auto"/>
                <w:kern w:val="2"/>
                <w:szCs w:val="21"/>
                <w:highlight w:val="none"/>
                <w:lang w:val="en-US" w:eastAsia="zh-CN"/>
              </w:rPr>
              <w:t>/</w:t>
            </w:r>
            <w:r>
              <w:rPr>
                <w:rFonts w:hint="eastAsia" w:ascii="宋体" w:hAnsi="宋体" w:cs="宋体"/>
                <w:color w:val="auto"/>
                <w:kern w:val="2"/>
                <w:szCs w:val="21"/>
                <w:highlight w:val="none"/>
                <w:lang w:val="zh-CN"/>
              </w:rPr>
              <w:t>（1-其他报价</w:t>
            </w:r>
            <w:r>
              <w:rPr>
                <w:rFonts w:hint="eastAsia" w:ascii="宋体" w:hAnsi="宋体" w:cs="宋体"/>
                <w:color w:val="auto"/>
                <w:kern w:val="2"/>
                <w:szCs w:val="21"/>
                <w:highlight w:val="none"/>
                <w:lang w:val="en-US" w:eastAsia="zh-CN"/>
              </w:rPr>
              <w:t>下浮</w:t>
            </w:r>
            <w:r>
              <w:rPr>
                <w:rFonts w:hint="eastAsia" w:ascii="宋体" w:hAnsi="宋体" w:cs="宋体"/>
                <w:color w:val="auto"/>
                <w:kern w:val="2"/>
                <w:szCs w:val="21"/>
                <w:highlight w:val="none"/>
                <w:lang w:val="zh-CN"/>
              </w:rPr>
              <w:t>率）×价格权重（</w:t>
            </w:r>
            <w:r>
              <w:rPr>
                <w:rFonts w:hint="eastAsia" w:ascii="宋体" w:hAnsi="宋体" w:cs="宋体"/>
                <w:color w:val="auto"/>
                <w:kern w:val="2"/>
                <w:szCs w:val="21"/>
                <w:highlight w:val="none"/>
                <w:lang w:val="en-US" w:eastAsia="zh-CN"/>
              </w:rPr>
              <w:t>30</w:t>
            </w:r>
            <w:r>
              <w:rPr>
                <w:rFonts w:hint="eastAsia" w:ascii="宋体" w:hAnsi="宋体" w:cs="宋体"/>
                <w:color w:val="auto"/>
                <w:kern w:val="2"/>
                <w:szCs w:val="21"/>
                <w:highlight w:val="none"/>
                <w:lang w:val="zh-CN"/>
              </w:rPr>
              <w:t>%）×100</w:t>
            </w:r>
          </w:p>
          <w:p w14:paraId="6AB03B17">
            <w:pPr>
              <w:widowControl w:val="0"/>
              <w:shd w:val="clear"/>
              <w:adjustRightInd/>
              <w:snapToGrid/>
              <w:ind w:firstLine="420" w:firstLineChars="200"/>
              <w:rPr>
                <w:rFonts w:hint="eastAsia" w:ascii="宋体" w:hAnsi="宋体" w:eastAsia="宋体" w:cs="宋体"/>
                <w:color w:val="auto"/>
                <w:szCs w:val="21"/>
                <w:highlight w:val="none"/>
              </w:rPr>
            </w:pPr>
            <w:r>
              <w:rPr>
                <w:rFonts w:hint="eastAsia" w:ascii="宋体" w:hAnsi="宋体" w:cs="宋体"/>
                <w:color w:val="auto"/>
                <w:kern w:val="2"/>
                <w:szCs w:val="21"/>
                <w:highlight w:val="none"/>
                <w:lang w:val="zh-CN"/>
              </w:rPr>
              <w:t>注：分数出现小数点，保留小数点后2位，从小数点后第3位四舍五入。</w:t>
            </w:r>
          </w:p>
        </w:tc>
      </w:tr>
    </w:tbl>
    <w:p w14:paraId="692E997F">
      <w:pPr>
        <w:shd w:val="clear"/>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7CEA0897">
      <w:pPr>
        <w:pStyle w:val="3"/>
        <w:shd w:val="clear"/>
        <w:spacing w:before="0" w:after="0" w:line="240" w:lineRule="auto"/>
        <w:rPr>
          <w:rFonts w:hint="eastAsia" w:ascii="宋体" w:hAnsi="宋体" w:eastAsia="宋体" w:cs="宋体"/>
          <w:color w:val="auto"/>
          <w:sz w:val="36"/>
          <w:szCs w:val="36"/>
          <w:highlight w:val="none"/>
        </w:rPr>
      </w:pPr>
      <w:bookmarkStart w:id="50" w:name="_Toc25014"/>
      <w:bookmarkStart w:id="51" w:name="_Toc32469"/>
      <w:bookmarkStart w:id="52" w:name="_Toc22147"/>
      <w:bookmarkStart w:id="53" w:name="_Toc21237"/>
      <w:bookmarkStart w:id="54" w:name="_Toc20267"/>
      <w:bookmarkStart w:id="55" w:name="_Toc6802"/>
      <w:bookmarkStart w:id="56" w:name="_Toc15798"/>
      <w:bookmarkStart w:id="57" w:name="_Toc22427"/>
      <w:r>
        <w:rPr>
          <w:rFonts w:hint="eastAsia" w:ascii="宋体" w:hAnsi="宋体" w:eastAsia="宋体" w:cs="宋体"/>
          <w:color w:val="auto"/>
          <w:sz w:val="28"/>
          <w:szCs w:val="28"/>
          <w:highlight w:val="none"/>
        </w:rPr>
        <w:t>第三部分用户需求书</w:t>
      </w:r>
      <w:bookmarkEnd w:id="50"/>
      <w:bookmarkEnd w:id="51"/>
      <w:bookmarkEnd w:id="52"/>
      <w:bookmarkEnd w:id="53"/>
      <w:bookmarkEnd w:id="54"/>
      <w:bookmarkEnd w:id="55"/>
      <w:bookmarkEnd w:id="56"/>
      <w:bookmarkEnd w:id="57"/>
    </w:p>
    <w:p w14:paraId="652CB3B4">
      <w:pPr>
        <w:keepNext/>
        <w:keepLines/>
        <w:shd w:val="clear"/>
        <w:spacing w:line="360" w:lineRule="auto"/>
        <w:outlineLvl w:val="9"/>
        <w:rPr>
          <w:rFonts w:hint="eastAsia" w:hAnsi="宋体"/>
          <w:b/>
          <w:bCs/>
          <w:color w:val="auto"/>
          <w:sz w:val="21"/>
          <w:szCs w:val="21"/>
          <w:highlight w:val="none"/>
        </w:rPr>
      </w:pPr>
      <w:bookmarkStart w:id="58" w:name="_Toc388458956"/>
      <w:bookmarkStart w:id="59" w:name="_Toc22599"/>
      <w:bookmarkStart w:id="60" w:name="_Toc60995813"/>
      <w:bookmarkStart w:id="61" w:name="_Toc16069"/>
      <w:bookmarkStart w:id="62" w:name="_Toc27540"/>
      <w:bookmarkStart w:id="63" w:name="_Toc26545"/>
      <w:bookmarkStart w:id="64" w:name="_Toc13112"/>
      <w:bookmarkStart w:id="65" w:name="_Toc14462"/>
      <w:bookmarkStart w:id="66" w:name="_Toc24679"/>
      <w:bookmarkStart w:id="67" w:name="_Toc1593"/>
      <w:bookmarkStart w:id="68" w:name="_Toc308786493"/>
      <w:bookmarkStart w:id="69" w:name="_Toc308786492"/>
      <w:bookmarkStart w:id="70" w:name="_Toc15266"/>
      <w:bookmarkStart w:id="71" w:name="_Toc31278"/>
    </w:p>
    <w:p w14:paraId="6D2B4B6A">
      <w:pPr>
        <w:keepNext w:val="0"/>
        <w:keepLines w:val="0"/>
        <w:shd w:val="clear"/>
        <w:snapToGrid/>
        <w:spacing w:line="25" w:lineRule="atLeast"/>
        <w:outlineLvl w:val="9"/>
        <w:rPr>
          <w:rFonts w:hint="eastAsia" w:ascii="宋体" w:hAnsi="宋体" w:eastAsia="宋体" w:cs="宋体"/>
          <w:b/>
          <w:bCs/>
          <w:color w:val="auto"/>
          <w:sz w:val="21"/>
          <w:szCs w:val="21"/>
          <w:highlight w:val="none"/>
        </w:rPr>
      </w:pPr>
      <w:bookmarkStart w:id="72" w:name="_Toc30228"/>
      <w:r>
        <w:rPr>
          <w:rFonts w:hint="eastAsia" w:ascii="宋体" w:hAnsi="宋体" w:eastAsia="宋体" w:cs="宋体"/>
          <w:b/>
          <w:bCs/>
          <w:color w:val="auto"/>
          <w:sz w:val="21"/>
          <w:szCs w:val="21"/>
          <w:highlight w:val="none"/>
        </w:rPr>
        <w:t>一、项目概况</w:t>
      </w:r>
      <w:bookmarkEnd w:id="58"/>
      <w:bookmarkEnd w:id="59"/>
      <w:bookmarkEnd w:id="60"/>
      <w:bookmarkEnd w:id="61"/>
      <w:bookmarkEnd w:id="62"/>
      <w:bookmarkEnd w:id="63"/>
      <w:bookmarkEnd w:id="72"/>
    </w:p>
    <w:p w14:paraId="574FC5AB">
      <w:pPr>
        <w:shd w:val="clear"/>
        <w:snapToGrid/>
        <w:spacing w:line="25" w:lineRule="atLeast"/>
        <w:ind w:firstLine="420" w:firstLineChars="200"/>
        <w:rPr>
          <w:rFonts w:hint="eastAsia" w:hAnsi="宋体" w:cs="宋体"/>
          <w:color w:val="auto"/>
          <w:sz w:val="21"/>
          <w:szCs w:val="21"/>
          <w:highlight w:val="none"/>
          <w:lang w:val="en-US" w:eastAsia="zh-CN"/>
        </w:rPr>
      </w:pPr>
      <w:r>
        <w:rPr>
          <w:rFonts w:hint="eastAsia" w:hAnsi="宋体" w:cs="宋体"/>
          <w:color w:val="auto"/>
          <w:sz w:val="21"/>
          <w:szCs w:val="21"/>
          <w:highlight w:val="none"/>
          <w:lang w:val="en-US" w:eastAsia="zh-CN"/>
        </w:rPr>
        <w:t>本项目为新锋燃气低值日杂品采购项目（重新采购），为满足工作人员生活和工作所需，并确保为采购人日常运转提供必要的物资支持，需采购食品和日用品。</w:t>
      </w:r>
    </w:p>
    <w:p w14:paraId="501C7B8F">
      <w:pPr>
        <w:keepNext w:val="0"/>
        <w:keepLines w:val="0"/>
        <w:shd w:val="clear"/>
        <w:snapToGrid/>
        <w:spacing w:line="25" w:lineRule="atLeast"/>
        <w:outlineLvl w:val="9"/>
        <w:rPr>
          <w:rFonts w:hint="eastAsia" w:hAnsi="宋体" w:eastAsia="宋体" w:cstheme="minorBidi"/>
          <w:b/>
          <w:bCs/>
          <w:color w:val="auto"/>
          <w:sz w:val="21"/>
          <w:szCs w:val="21"/>
          <w:highlight w:val="none"/>
          <w:lang w:val="en-US" w:eastAsia="zh-CN"/>
        </w:rPr>
      </w:pPr>
      <w:bookmarkStart w:id="73" w:name="_Toc9551"/>
      <w:r>
        <w:rPr>
          <w:rFonts w:hint="eastAsia" w:hAnsi="宋体" w:eastAsia="宋体" w:cstheme="minorBidi"/>
          <w:b/>
          <w:bCs/>
          <w:color w:val="auto"/>
          <w:sz w:val="21"/>
          <w:szCs w:val="21"/>
          <w:highlight w:val="none"/>
          <w:lang w:val="en-US" w:eastAsia="zh-CN"/>
        </w:rPr>
        <w:t>二、</w:t>
      </w:r>
      <w:r>
        <w:rPr>
          <w:rFonts w:hint="eastAsia" w:hAnsi="宋体" w:cstheme="minorBidi"/>
          <w:b/>
          <w:bCs/>
          <w:color w:val="auto"/>
          <w:sz w:val="21"/>
          <w:szCs w:val="21"/>
          <w:highlight w:val="none"/>
          <w:lang w:val="en-US" w:eastAsia="zh-CN"/>
        </w:rPr>
        <w:t>总体</w:t>
      </w:r>
      <w:r>
        <w:rPr>
          <w:rFonts w:hint="eastAsia" w:hAnsi="宋体" w:eastAsia="宋体" w:cstheme="minorBidi"/>
          <w:b/>
          <w:bCs/>
          <w:color w:val="auto"/>
          <w:sz w:val="21"/>
          <w:szCs w:val="21"/>
          <w:highlight w:val="none"/>
          <w:lang w:val="en-US" w:eastAsia="zh-CN"/>
        </w:rPr>
        <w:t>要求</w:t>
      </w:r>
      <w:bookmarkEnd w:id="73"/>
    </w:p>
    <w:p w14:paraId="15589650">
      <w:pPr>
        <w:shd w:val="clear"/>
        <w:snapToGrid/>
        <w:spacing w:line="25" w:lineRule="atLeast"/>
        <w:rPr>
          <w:rFonts w:hint="eastAsia" w:hAnsi="宋体" w:cs="宋体"/>
          <w:b w:val="0"/>
          <w:bCs w:val="0"/>
          <w:color w:val="auto"/>
          <w:sz w:val="21"/>
          <w:szCs w:val="21"/>
          <w:highlight w:val="none"/>
          <w:lang w:val="en-US" w:eastAsia="zh-CN"/>
        </w:rPr>
      </w:pPr>
      <w:r>
        <w:rPr>
          <w:rFonts w:hint="eastAsia" w:hAnsi="宋体" w:cs="宋体"/>
          <w:b w:val="0"/>
          <w:bCs w:val="0"/>
          <w:color w:val="auto"/>
          <w:sz w:val="21"/>
          <w:szCs w:val="21"/>
          <w:highlight w:val="none"/>
          <w:lang w:val="en-US" w:eastAsia="zh-CN"/>
        </w:rPr>
        <w:t>（一）本项</w:t>
      </w:r>
      <w:r>
        <w:rPr>
          <w:rFonts w:hint="eastAsia" w:ascii="宋体" w:hAnsi="宋体" w:eastAsia="宋体" w:cs="宋体"/>
          <w:b w:val="0"/>
          <w:bCs w:val="0"/>
          <w:color w:val="auto"/>
          <w:sz w:val="21"/>
          <w:szCs w:val="21"/>
          <w:highlight w:val="none"/>
          <w:lang w:val="en-US" w:eastAsia="zh-CN"/>
        </w:rPr>
        <w:t>目采购1家供应商，项目按供货单价和实际采购量结算。自合同签订之日起，本项目供货期为3年。合同终止条件如下：合同期限届满，本合同自动终止。</w:t>
      </w:r>
      <w:r>
        <w:rPr>
          <w:rFonts w:hint="eastAsia" w:ascii="宋体" w:hAnsi="宋体" w:cs="宋体"/>
          <w:b w:val="0"/>
          <w:bCs w:val="0"/>
          <w:color w:val="auto"/>
          <w:sz w:val="21"/>
          <w:szCs w:val="21"/>
          <w:highlight w:val="none"/>
          <w:lang w:val="en-US" w:eastAsia="zh-CN"/>
        </w:rPr>
        <w:t>投标人</w:t>
      </w:r>
      <w:r>
        <w:rPr>
          <w:rFonts w:hint="eastAsia" w:ascii="宋体" w:hAnsi="宋体" w:eastAsia="宋体" w:cs="宋体"/>
          <w:b w:val="0"/>
          <w:bCs w:val="0"/>
          <w:color w:val="auto"/>
          <w:sz w:val="21"/>
          <w:szCs w:val="21"/>
          <w:highlight w:val="none"/>
          <w:lang w:val="en-US" w:eastAsia="zh-CN"/>
        </w:rPr>
        <w:t>应自行充分评估、承担备货及经营风险，即</w:t>
      </w:r>
      <w:r>
        <w:rPr>
          <w:rFonts w:hint="eastAsia" w:ascii="宋体" w:hAnsi="宋体" w:cs="宋体"/>
          <w:b w:val="0"/>
          <w:bCs w:val="0"/>
          <w:color w:val="auto"/>
          <w:sz w:val="21"/>
          <w:szCs w:val="21"/>
          <w:highlight w:val="none"/>
          <w:lang w:val="en-US" w:eastAsia="zh-CN"/>
        </w:rPr>
        <w:t>投标人</w:t>
      </w:r>
      <w:r>
        <w:rPr>
          <w:rFonts w:hint="eastAsia" w:ascii="宋体" w:hAnsi="宋体" w:eastAsia="宋体" w:cs="宋体"/>
          <w:b w:val="0"/>
          <w:bCs w:val="0"/>
          <w:color w:val="auto"/>
          <w:sz w:val="21"/>
          <w:szCs w:val="21"/>
          <w:highlight w:val="none"/>
          <w:lang w:val="en-US" w:eastAsia="zh-CN"/>
        </w:rPr>
        <w:t>应根据采购人订单备货，不得以此主张实际采购金额未达项目采购预</w:t>
      </w:r>
      <w:r>
        <w:rPr>
          <w:rFonts w:hint="eastAsia" w:hAnsi="宋体" w:cs="宋体"/>
          <w:b w:val="0"/>
          <w:bCs w:val="0"/>
          <w:color w:val="auto"/>
          <w:sz w:val="21"/>
          <w:szCs w:val="21"/>
          <w:highlight w:val="none"/>
          <w:lang w:val="en-US" w:eastAsia="zh-CN"/>
        </w:rPr>
        <w:t>算金额可期利益损失。</w:t>
      </w:r>
    </w:p>
    <w:p w14:paraId="1C711658">
      <w:pPr>
        <w:shd w:val="clear"/>
        <w:snapToGrid/>
        <w:spacing w:line="25" w:lineRule="atLeast"/>
        <w:rPr>
          <w:rFonts w:hint="eastAsia" w:hAnsi="宋体" w:cs="宋体"/>
          <w:b w:val="0"/>
          <w:bCs w:val="0"/>
          <w:color w:val="auto"/>
          <w:sz w:val="21"/>
          <w:szCs w:val="21"/>
          <w:highlight w:val="none"/>
          <w:lang w:val="en-US" w:eastAsia="zh-CN"/>
        </w:rPr>
      </w:pPr>
      <w:r>
        <w:rPr>
          <w:rFonts w:hint="eastAsia" w:hAnsi="宋体" w:cs="宋体"/>
          <w:b w:val="0"/>
          <w:bCs w:val="0"/>
          <w:color w:val="auto"/>
          <w:sz w:val="21"/>
          <w:szCs w:val="21"/>
          <w:highlight w:val="none"/>
          <w:lang w:val="en-US" w:eastAsia="zh-CN"/>
        </w:rPr>
        <w:t>（二）中标人负责招标文件对中标人要求的一切事宜及责任，包括货物供货、运输、仓储保管、验收及相关服务等。当采购人有紧急供货需求时，中标人应在服务响应承诺时间内到达现场。</w:t>
      </w:r>
    </w:p>
    <w:p w14:paraId="3FA5A73F">
      <w:pPr>
        <w:shd w:val="clear"/>
        <w:snapToGrid/>
        <w:spacing w:line="25" w:lineRule="atLeast"/>
        <w:rPr>
          <w:rFonts w:hint="eastAsia" w:hAnsi="宋体" w:cs="宋体"/>
          <w:b w:val="0"/>
          <w:bCs w:val="0"/>
          <w:color w:val="auto"/>
          <w:sz w:val="21"/>
          <w:szCs w:val="21"/>
          <w:highlight w:val="none"/>
          <w:lang w:val="en-US" w:eastAsia="zh-CN"/>
        </w:rPr>
      </w:pPr>
      <w:r>
        <w:rPr>
          <w:rFonts w:hint="eastAsia" w:hAnsi="宋体" w:cs="宋体"/>
          <w:b w:val="0"/>
          <w:bCs w:val="0"/>
          <w:color w:val="auto"/>
          <w:sz w:val="21"/>
          <w:szCs w:val="21"/>
          <w:highlight w:val="none"/>
          <w:lang w:val="en-US" w:eastAsia="zh-CN"/>
        </w:rPr>
        <w:t>（三）中标人所提供的服务及货物质量须符合现行的行业及国家规定的相关标准。食品类由正规厂家供货，具有产地、品名、生产厂家、生产日期、保质期、批号或代号、规格或型号、成分或主要成分、防伪标识、SC或条形码等，并符合国家食品卫生标准，坚决杜绝出售变质、过期及存在侵犯注册商标专用权的产品。日用品类必须是全新、未使用过的，符合国家相关质量标准和环保要求。产品包装应完好，标签清晰，注明生产厂家、材质、使用说明等信息。</w:t>
      </w:r>
    </w:p>
    <w:p w14:paraId="1D1B8BDE">
      <w:pPr>
        <w:shd w:val="clear"/>
        <w:snapToGrid/>
        <w:spacing w:line="25" w:lineRule="atLeast"/>
        <w:rPr>
          <w:rFonts w:hint="eastAsia" w:hAnsi="宋体" w:cs="宋体"/>
          <w:b w:val="0"/>
          <w:bCs w:val="0"/>
          <w:color w:val="auto"/>
          <w:sz w:val="21"/>
          <w:szCs w:val="21"/>
          <w:highlight w:val="none"/>
          <w:lang w:val="en-US" w:eastAsia="zh-CN"/>
        </w:rPr>
      </w:pPr>
      <w:r>
        <w:rPr>
          <w:rFonts w:hint="eastAsia" w:hAnsi="宋体" w:cs="宋体"/>
          <w:b w:val="0"/>
          <w:bCs w:val="0"/>
          <w:color w:val="auto"/>
          <w:sz w:val="21"/>
          <w:szCs w:val="21"/>
          <w:highlight w:val="none"/>
          <w:lang w:val="en-US" w:eastAsia="zh-CN"/>
        </w:rPr>
        <w:t>（四）采购人无法预计也无法保证中标人的业务量情况。项目执行过程中，采购人有权根据实际需要调整采购物品，采购具体商品供货清单及实际数量以采购人需求及通知为准，最终以实际采购量进行结算。中标人每次随货携带一式四联的送货清单，产品经双方验收后须签字确认；采购人持三联，中标人持存根联，凭结算联作为货款结算的凭证。</w:t>
      </w:r>
    </w:p>
    <w:p w14:paraId="42EE032C">
      <w:pPr>
        <w:shd w:val="clear"/>
        <w:snapToGrid/>
        <w:spacing w:line="25" w:lineRule="atLeast"/>
        <w:rPr>
          <w:rFonts w:hint="eastAsia" w:hAnsi="宋体" w:cs="宋体"/>
          <w:b w:val="0"/>
          <w:bCs w:val="0"/>
          <w:color w:val="auto"/>
          <w:sz w:val="21"/>
          <w:szCs w:val="21"/>
          <w:highlight w:val="none"/>
          <w:lang w:val="en-US" w:eastAsia="zh-CN"/>
        </w:rPr>
      </w:pPr>
      <w:r>
        <w:rPr>
          <w:rFonts w:hint="eastAsia" w:hAnsi="宋体" w:cs="宋体"/>
          <w:b w:val="0"/>
          <w:bCs w:val="0"/>
          <w:color w:val="auto"/>
          <w:sz w:val="21"/>
          <w:szCs w:val="21"/>
          <w:highlight w:val="none"/>
          <w:lang w:val="en-US" w:eastAsia="zh-CN"/>
        </w:rPr>
        <w:t>（五）为保证项目顺利开展，投标人须针对本项目拟定详尽、科学、合理、可行性高的服务方案，方案内容包括但不限于实施组织计划、总体工作流程、配送方案、服务保障措施、项目管理组织架构、服务人员分工、食品安全保障方案、应急处理机制、售后服务及承诺等。</w:t>
      </w:r>
    </w:p>
    <w:p w14:paraId="6DEC0AA2">
      <w:pPr>
        <w:shd w:val="clear"/>
        <w:snapToGrid/>
        <w:spacing w:line="25" w:lineRule="atLeast"/>
        <w:rPr>
          <w:rFonts w:hint="eastAsia" w:hAnsi="宋体" w:cs="宋体"/>
          <w:b w:val="0"/>
          <w:bCs w:val="0"/>
          <w:color w:val="auto"/>
          <w:sz w:val="21"/>
          <w:szCs w:val="21"/>
          <w:highlight w:val="none"/>
          <w:lang w:val="en-US" w:eastAsia="zh-CN"/>
        </w:rPr>
      </w:pPr>
      <w:r>
        <w:rPr>
          <w:rFonts w:hint="eastAsia" w:hAnsi="宋体" w:cs="宋体"/>
          <w:b w:val="0"/>
          <w:bCs w:val="0"/>
          <w:color w:val="auto"/>
          <w:sz w:val="21"/>
          <w:szCs w:val="21"/>
          <w:highlight w:val="none"/>
          <w:lang w:val="en-US" w:eastAsia="zh-CN"/>
        </w:rPr>
        <w:t>（六）</w:t>
      </w:r>
      <w:r>
        <w:rPr>
          <w:rFonts w:hint="eastAsia" w:ascii="宋体" w:hAnsi="宋体" w:eastAsia="宋体" w:cs="宋体"/>
          <w:b w:val="0"/>
          <w:bCs w:val="0"/>
          <w:color w:val="auto"/>
          <w:sz w:val="21"/>
          <w:szCs w:val="21"/>
          <w:highlight w:val="none"/>
          <w:lang w:val="en-US" w:eastAsia="zh-CN"/>
        </w:rPr>
        <w:t>为保证项目供应质量与合规性，投标人或投标产品的制造商须具备由国家认证认可监督管理部门批准设立的认证机构颁发、且处于有效期内的相关认证证书，如强制性产品认证（CCC认证）等。</w:t>
      </w:r>
    </w:p>
    <w:p w14:paraId="53B004A3">
      <w:pPr>
        <w:keepNext w:val="0"/>
        <w:keepLines w:val="0"/>
        <w:shd w:val="clear"/>
        <w:snapToGrid/>
        <w:spacing w:line="25" w:lineRule="atLeast"/>
        <w:outlineLvl w:val="9"/>
        <w:rPr>
          <w:rFonts w:hint="eastAsia" w:hAnsi="宋体" w:eastAsia="宋体" w:cstheme="minorBidi"/>
          <w:b/>
          <w:bCs/>
          <w:color w:val="auto"/>
          <w:sz w:val="21"/>
          <w:szCs w:val="21"/>
          <w:highlight w:val="none"/>
          <w:lang w:val="en-US" w:eastAsia="zh-CN"/>
        </w:rPr>
      </w:pPr>
      <w:r>
        <w:rPr>
          <w:rFonts w:hint="eastAsia" w:hAnsi="宋体" w:eastAsia="宋体" w:cstheme="minorBidi"/>
          <w:b/>
          <w:bCs/>
          <w:color w:val="auto"/>
          <w:sz w:val="21"/>
          <w:szCs w:val="21"/>
          <w:highlight w:val="none"/>
          <w:lang w:val="en-US" w:eastAsia="zh-CN"/>
        </w:rPr>
        <w:t>三、定价原则</w:t>
      </w:r>
    </w:p>
    <w:p w14:paraId="4646A80E">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Tahoma" w:hAnsi="宋体" w:eastAsia="宋体" w:cs="宋体"/>
          <w:b w:val="0"/>
          <w:bCs w:val="0"/>
          <w:color w:val="auto"/>
          <w:sz w:val="21"/>
          <w:szCs w:val="21"/>
          <w:highlight w:val="none"/>
          <w:lang w:val="en-US" w:eastAsia="zh-CN" w:bidi="ar-SA"/>
        </w:rPr>
        <w:t>（一）本项目以批量单价整体下浮的方式进行报价，投标人按下浮率方式进行报价（投标报价保留小数点后两位数</w:t>
      </w:r>
      <w:r>
        <w:rPr>
          <w:rFonts w:hint="eastAsia" w:ascii="宋体" w:hAnsi="宋体" w:eastAsia="宋体" w:cs="宋体"/>
          <w:b w:val="0"/>
          <w:bCs w:val="0"/>
          <w:color w:val="auto"/>
          <w:sz w:val="21"/>
          <w:szCs w:val="21"/>
          <w:highlight w:val="none"/>
          <w:lang w:val="en-US" w:eastAsia="zh-CN" w:bidi="ar-SA"/>
        </w:rPr>
        <w:t>），下浮率须为固定报价，不接受区间报价（如10%-20%），报价范围：3.00%≤投标下浮率≤100%，精确到小数点后两位，凡超过该报价范围的报价均为无效投标。采购时按实际供货数量乘以供货单价进行结算，供货单价=基准价×（1－中标下浮率），供货单价保留小数点后两位数，第三位不予四舍五入。最终供货货物单价=基准价×（1-下浮率），签订合同后根据实际的采购货物数量结算。如某供货货物基准价为100元，中标报价下浮率为5%，则对应的某供货货物单价为：100元×（1-5%）=95元。</w:t>
      </w:r>
    </w:p>
    <w:p w14:paraId="2CD912FB">
      <w:pPr>
        <w:pStyle w:val="99"/>
        <w:shd w:val="clear"/>
        <w:spacing w:line="25" w:lineRule="atLeast"/>
        <w:ind w:firstLine="422"/>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★（二）投标人须承诺以下内容（须单独提供承诺函并加盖投标人公章，格式自拟）：</w:t>
      </w:r>
    </w:p>
    <w:p w14:paraId="029D03F2">
      <w:pPr>
        <w:pStyle w:val="99"/>
        <w:shd w:val="clear"/>
        <w:spacing w:line="25" w:lineRule="atLeast"/>
        <w:ind w:firstLine="420"/>
        <w:jc w:val="both"/>
        <w:rPr>
          <w:rFonts w:hint="eastAsia" w:ascii="宋体" w:hAnsi="宋体" w:eastAsia="宋体" w:cs="宋体"/>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采购人与中标供应商双方签订合同后一周内，协商确定商品供货清单。合同期间，</w:t>
      </w:r>
      <w:r>
        <w:rPr>
          <w:rFonts w:hint="eastAsia" w:ascii="宋体" w:hAnsi="宋体" w:eastAsia="宋体" w:cs="宋体"/>
          <w:color w:val="auto"/>
          <w:sz w:val="21"/>
          <w:szCs w:val="21"/>
          <w:highlight w:val="none"/>
          <w:lang w:val="en-US" w:eastAsia="zh-CN"/>
        </w:rPr>
        <w:t>因</w:t>
      </w:r>
      <w:r>
        <w:rPr>
          <w:rFonts w:hint="eastAsia" w:ascii="宋体" w:hAnsi="宋体" w:eastAsia="宋体" w:cs="宋体"/>
          <w:color w:val="auto"/>
          <w:sz w:val="21"/>
          <w:szCs w:val="21"/>
          <w:highlight w:val="none"/>
        </w:rPr>
        <w:t>日用品</w:t>
      </w:r>
      <w:r>
        <w:rPr>
          <w:rFonts w:hint="eastAsia" w:ascii="宋体" w:hAnsi="宋体" w:eastAsia="宋体" w:cs="宋体"/>
          <w:color w:val="auto"/>
          <w:sz w:val="21"/>
          <w:szCs w:val="21"/>
          <w:highlight w:val="none"/>
          <w:lang w:val="en-US" w:eastAsia="zh-CN"/>
        </w:rPr>
        <w:t>及五金</w:t>
      </w:r>
      <w:r>
        <w:rPr>
          <w:rFonts w:hint="eastAsia" w:ascii="宋体" w:hAnsi="宋体" w:eastAsia="宋体" w:cs="宋体"/>
          <w:color w:val="auto"/>
          <w:sz w:val="21"/>
          <w:szCs w:val="21"/>
          <w:highlight w:val="none"/>
        </w:rPr>
        <w:t>采购品类繁多，采购清单中不可能全部包含，在合同有</w:t>
      </w:r>
      <w:r>
        <w:rPr>
          <w:rFonts w:hint="eastAsia" w:ascii="宋体" w:hAnsi="宋体" w:eastAsia="宋体" w:cs="宋体"/>
          <w:color w:val="auto"/>
          <w:sz w:val="21"/>
          <w:szCs w:val="21"/>
          <w:highlight w:val="none"/>
          <w:lang w:eastAsia="zh-CN" w:bidi="ar-SA"/>
        </w:rPr>
        <w:t>效期内，当</w:t>
      </w:r>
      <w:r>
        <w:rPr>
          <w:rFonts w:hint="eastAsia" w:ascii="宋体" w:hAnsi="宋体" w:eastAsia="宋体" w:cs="宋体"/>
          <w:color w:val="auto"/>
          <w:sz w:val="21"/>
          <w:szCs w:val="21"/>
          <w:highlight w:val="none"/>
          <w:lang w:val="en-US" w:eastAsia="zh-CN" w:bidi="ar-SA"/>
        </w:rPr>
        <w:t>采购人</w:t>
      </w:r>
      <w:r>
        <w:rPr>
          <w:rFonts w:hint="eastAsia" w:ascii="宋体" w:hAnsi="宋体" w:eastAsia="宋体" w:cs="宋体"/>
          <w:color w:val="auto"/>
          <w:sz w:val="21"/>
          <w:szCs w:val="21"/>
          <w:highlight w:val="none"/>
          <w:lang w:eastAsia="zh-CN" w:bidi="ar-SA"/>
        </w:rPr>
        <w:t>需要采购清单以外的同类货物时，由</w:t>
      </w:r>
      <w:r>
        <w:rPr>
          <w:rFonts w:hint="eastAsia" w:ascii="宋体" w:hAnsi="宋体" w:eastAsia="宋体" w:cs="宋体"/>
          <w:color w:val="auto"/>
          <w:sz w:val="21"/>
          <w:szCs w:val="21"/>
          <w:highlight w:val="none"/>
          <w:lang w:val="en-US" w:eastAsia="zh-CN" w:bidi="ar-SA"/>
        </w:rPr>
        <w:t>采购人</w:t>
      </w:r>
      <w:r>
        <w:rPr>
          <w:rFonts w:hint="eastAsia" w:ascii="宋体" w:hAnsi="宋体" w:eastAsia="宋体" w:cs="宋体"/>
          <w:color w:val="auto"/>
          <w:sz w:val="21"/>
          <w:szCs w:val="21"/>
          <w:highlight w:val="none"/>
          <w:lang w:eastAsia="zh-CN" w:bidi="ar-SA"/>
        </w:rPr>
        <w:t>在属地进行市场调查（不少于三家商品），以市场调查平均价×（1-中标</w:t>
      </w:r>
      <w:r>
        <w:rPr>
          <w:rFonts w:hint="eastAsia" w:ascii="宋体" w:hAnsi="宋体" w:eastAsia="宋体" w:cs="宋体"/>
          <w:color w:val="auto"/>
          <w:sz w:val="21"/>
          <w:szCs w:val="21"/>
          <w:highlight w:val="none"/>
          <w:lang w:val="en-US" w:eastAsia="zh-CN" w:bidi="ar-SA"/>
        </w:rPr>
        <w:t>下浮</w:t>
      </w:r>
      <w:r>
        <w:rPr>
          <w:rFonts w:hint="eastAsia" w:ascii="宋体" w:hAnsi="宋体" w:eastAsia="宋体" w:cs="宋体"/>
          <w:color w:val="auto"/>
          <w:sz w:val="21"/>
          <w:szCs w:val="21"/>
          <w:highlight w:val="none"/>
          <w:lang w:eastAsia="zh-CN" w:bidi="ar-SA"/>
        </w:rPr>
        <w:t>率）作为采购价，或参照</w:t>
      </w:r>
      <w:r>
        <w:rPr>
          <w:rFonts w:hint="eastAsia" w:ascii="宋体" w:hAnsi="宋体" w:eastAsia="宋体" w:cs="宋体"/>
          <w:color w:val="auto"/>
          <w:sz w:val="21"/>
          <w:szCs w:val="21"/>
          <w:highlight w:val="none"/>
          <w:lang w:val="en-US" w:eastAsia="zh-CN" w:bidi="ar-SA"/>
        </w:rPr>
        <w:t>天猫超市、</w:t>
      </w:r>
      <w:r>
        <w:rPr>
          <w:rFonts w:hint="eastAsia" w:ascii="宋体" w:hAnsi="宋体" w:eastAsia="宋体" w:cs="宋体"/>
          <w:color w:val="auto"/>
          <w:sz w:val="21"/>
          <w:szCs w:val="21"/>
          <w:highlight w:val="none"/>
          <w:lang w:eastAsia="zh-CN" w:bidi="ar-SA"/>
        </w:rPr>
        <w:t>京东商城自营店价格×（1-中标</w:t>
      </w:r>
      <w:r>
        <w:rPr>
          <w:rFonts w:hint="eastAsia" w:ascii="宋体" w:hAnsi="宋体" w:eastAsia="宋体" w:cs="宋体"/>
          <w:color w:val="auto"/>
          <w:sz w:val="21"/>
          <w:szCs w:val="21"/>
          <w:highlight w:val="none"/>
          <w:lang w:val="en-US" w:eastAsia="zh-CN" w:bidi="ar-SA"/>
        </w:rPr>
        <w:t>下浮</w:t>
      </w:r>
      <w:r>
        <w:rPr>
          <w:rFonts w:hint="eastAsia" w:ascii="宋体" w:hAnsi="宋体" w:eastAsia="宋体" w:cs="宋体"/>
          <w:color w:val="auto"/>
          <w:sz w:val="21"/>
          <w:szCs w:val="21"/>
          <w:highlight w:val="none"/>
          <w:lang w:eastAsia="zh-CN" w:bidi="ar-SA"/>
        </w:rPr>
        <w:t>率）作为采购价。</w:t>
      </w:r>
      <w:r>
        <w:rPr>
          <w:rFonts w:ascii="宋体" w:hAnsi="宋体" w:eastAsia="宋体" w:cs="宋体"/>
          <w:color w:val="auto"/>
          <w:sz w:val="21"/>
          <w:szCs w:val="21"/>
          <w:highlight w:val="none"/>
          <w:lang w:eastAsia="zh-CN" w:bidi="ar-SA"/>
        </w:rPr>
        <w:t>后续结算时，按照实际供货数量乘以供货单价计算执行。</w:t>
      </w:r>
      <w:r>
        <w:rPr>
          <w:rFonts w:hint="eastAsia" w:ascii="宋体" w:hAnsi="宋体" w:eastAsia="宋体" w:cs="宋体"/>
          <w:color w:val="auto"/>
          <w:sz w:val="21"/>
          <w:szCs w:val="21"/>
          <w:highlight w:val="none"/>
          <w:lang w:val="en-US" w:eastAsia="zh-CN" w:bidi="ar-SA"/>
        </w:rPr>
        <w:t>供货清单可根据实际新增供货需求每月的第一周内更新一次。</w:t>
      </w:r>
    </w:p>
    <w:p w14:paraId="503ABC62">
      <w:pPr>
        <w:pStyle w:val="99"/>
        <w:shd w:val="clear"/>
        <w:spacing w:line="25" w:lineRule="atLeast"/>
        <w:ind w:firstLine="420"/>
        <w:jc w:val="both"/>
        <w:rPr>
          <w:rFonts w:hint="eastAsia" w:ascii="宋体" w:hAnsi="宋体" w:eastAsia="宋体" w:cs="宋体"/>
          <w:color w:val="auto"/>
          <w:sz w:val="21"/>
          <w:szCs w:val="21"/>
          <w:highlight w:val="none"/>
          <w:lang w:eastAsia="zh-CN" w:bidi="ar-SA"/>
        </w:rPr>
      </w:pPr>
      <w:r>
        <w:rPr>
          <w:rFonts w:hint="eastAsia" w:ascii="宋体" w:hAnsi="宋体" w:eastAsia="宋体" w:cs="宋体"/>
          <w:color w:val="auto"/>
          <w:sz w:val="21"/>
          <w:szCs w:val="21"/>
          <w:highlight w:val="none"/>
          <w:lang w:eastAsia="zh-CN" w:bidi="ar-SA"/>
        </w:rPr>
        <w:t>考虑到货物价格受到市场价格波动影响，采购人或</w:t>
      </w:r>
      <w:r>
        <w:rPr>
          <w:rFonts w:hint="eastAsia" w:ascii="宋体" w:hAnsi="宋体" w:eastAsia="宋体" w:cs="宋体"/>
          <w:color w:val="auto"/>
          <w:sz w:val="21"/>
          <w:szCs w:val="21"/>
          <w:highlight w:val="none"/>
          <w:lang w:val="en-US" w:eastAsia="zh-CN" w:bidi="ar-SA"/>
        </w:rPr>
        <w:t>中标人</w:t>
      </w:r>
      <w:r>
        <w:rPr>
          <w:rFonts w:hint="eastAsia" w:ascii="宋体" w:hAnsi="宋体" w:eastAsia="宋体" w:cs="宋体"/>
          <w:color w:val="auto"/>
          <w:sz w:val="21"/>
          <w:szCs w:val="21"/>
          <w:highlight w:val="none"/>
          <w:lang w:eastAsia="zh-CN" w:bidi="ar-SA"/>
        </w:rPr>
        <w:t>原则上每季度可以书面方式提出对《低值日杂品清单》货物中价格波动超过10%的货物单价进行调整，并由双方协商同意后盖章确认，否则服务期内《低值日杂品清单》货物的结算单价不作调整。</w:t>
      </w:r>
    </w:p>
    <w:p w14:paraId="7BF0DCD9">
      <w:pPr>
        <w:pStyle w:val="99"/>
        <w:shd w:val="clear"/>
        <w:spacing w:line="25" w:lineRule="atLeast"/>
        <w:jc w:val="both"/>
        <w:rPr>
          <w:color w:val="auto"/>
          <w:sz w:val="21"/>
          <w:szCs w:val="21"/>
          <w:highlight w:val="none"/>
        </w:rPr>
      </w:pPr>
      <w:r>
        <w:rPr>
          <w:b/>
          <w:color w:val="auto"/>
          <w:sz w:val="21"/>
          <w:szCs w:val="21"/>
          <w:highlight w:val="none"/>
        </w:rPr>
        <w:t>四、</w:t>
      </w:r>
      <w:r>
        <w:rPr>
          <w:rFonts w:hint="eastAsia"/>
          <w:b/>
          <w:color w:val="auto"/>
          <w:sz w:val="21"/>
          <w:szCs w:val="21"/>
          <w:highlight w:val="none"/>
        </w:rPr>
        <w:t xml:space="preserve"> 付款方式</w:t>
      </w:r>
    </w:p>
    <w:p w14:paraId="69A2DF33">
      <w:pPr>
        <w:pStyle w:val="99"/>
        <w:shd w:val="clear"/>
        <w:spacing w:line="25" w:lineRule="atLeast"/>
        <w:ind w:firstLine="422"/>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1.以实际送货量进行结算，原则上每月至少结算一次费用，具体每月结算时间由采购人与中标人双方商定确认，结算前中标人须提供结算清单经采购人确认，并向采购人提供等额合格发票及采购人所需的相关材料，双方核对无误后，10个工作日内以银行转账方式支付该月货款。</w:t>
      </w:r>
    </w:p>
    <w:p w14:paraId="643BD335">
      <w:pPr>
        <w:pStyle w:val="99"/>
        <w:shd w:val="clear"/>
        <w:spacing w:line="25" w:lineRule="atLeast"/>
        <w:ind w:firstLine="422"/>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2.付款前中标人应向采购人提供等额合法发票及采购人要求提供的支付所需材料等资料，且发票名称必须与中标人完全一致，否则采购人有权拒绝付款。</w:t>
      </w:r>
    </w:p>
    <w:p w14:paraId="326C7CD3">
      <w:pPr>
        <w:pStyle w:val="99"/>
        <w:shd w:val="clear"/>
        <w:spacing w:line="25" w:lineRule="atLeast"/>
        <w:ind w:firstLine="420" w:firstLineChars="20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3.采购人支付的款项以到达中标人收款账户之日视为收讫，如中标人需变更收款账号的，须于变更前十日以书面形式通知采购人，否则造成的一切后果由中标人自行承担。</w:t>
      </w:r>
    </w:p>
    <w:p w14:paraId="6C16D1B5">
      <w:pPr>
        <w:pStyle w:val="99"/>
        <w:shd w:val="clear"/>
        <w:spacing w:line="25" w:lineRule="atLeast"/>
        <w:jc w:val="both"/>
        <w:rPr>
          <w:color w:val="auto"/>
          <w:sz w:val="21"/>
          <w:szCs w:val="21"/>
          <w:highlight w:val="none"/>
        </w:rPr>
      </w:pPr>
      <w:r>
        <w:rPr>
          <w:rFonts w:hint="eastAsia"/>
          <w:b/>
          <w:color w:val="auto"/>
          <w:sz w:val="21"/>
          <w:szCs w:val="21"/>
          <w:highlight w:val="none"/>
          <w:lang w:val="en-US" w:eastAsia="zh-CN"/>
        </w:rPr>
        <w:t>五</w:t>
      </w:r>
      <w:r>
        <w:rPr>
          <w:b/>
          <w:color w:val="auto"/>
          <w:sz w:val="21"/>
          <w:szCs w:val="21"/>
          <w:highlight w:val="none"/>
        </w:rPr>
        <w:t>、安全保障措施</w:t>
      </w:r>
    </w:p>
    <w:p w14:paraId="463B8083">
      <w:pPr>
        <w:pStyle w:val="99"/>
        <w:shd w:val="clear"/>
        <w:spacing w:line="25" w:lineRule="atLeast"/>
        <w:ind w:firstLine="420"/>
        <w:jc w:val="both"/>
        <w:rPr>
          <w:rFonts w:hint="eastAsia" w:ascii="Tahoma" w:hAnsi="宋体" w:eastAsia="宋体" w:cs="宋体"/>
          <w:b w:val="0"/>
          <w:bCs w:val="0"/>
          <w:color w:val="auto"/>
          <w:sz w:val="21"/>
          <w:szCs w:val="21"/>
          <w:highlight w:val="none"/>
          <w:lang w:val="en-US" w:eastAsia="zh-CN" w:bidi="ar-SA"/>
        </w:rPr>
      </w:pPr>
      <w:r>
        <w:rPr>
          <w:rFonts w:hint="eastAsia" w:ascii="Tahoma" w:hAnsi="宋体" w:eastAsia="宋体" w:cs="宋体"/>
          <w:b w:val="0"/>
          <w:bCs w:val="0"/>
          <w:color w:val="auto"/>
          <w:sz w:val="21"/>
          <w:szCs w:val="21"/>
          <w:highlight w:val="none"/>
          <w:lang w:val="en-US" w:eastAsia="zh-CN" w:bidi="ar-SA"/>
        </w:rPr>
        <w:t>（一）食品类安全保障措施</w:t>
      </w:r>
    </w:p>
    <w:p w14:paraId="5DBAD890">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1.中标人必须遵守《中华人民共和国食品安全法》等法律法规的规定，严禁配送变质、过期及存在侵犯注册商标专用权的产品。</w:t>
      </w:r>
    </w:p>
    <w:p w14:paraId="4363DECC">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2.中标人须对采购人购买的食品合理分类、分装，不得混装，运输过程应采取相应的保鲜防护措施。</w:t>
      </w:r>
    </w:p>
    <w:p w14:paraId="5490210B">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3.中标人应充分理解并认真遵循本招标文件的要求，所提供的货品须满足招标文件要求，保证供应的货品均为正规生产、检验合格、无毒、无腐烂、无辐射、无侵权、无变质，符合国家有关卫生、质量、包装和保质标准，保质期的剩余期限不得少于标注期限的75%。</w:t>
      </w:r>
    </w:p>
    <w:p w14:paraId="01569E5C">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4.货品有包装的，必须保证包装完整清洁（无损、无污、无皱），对于包装不整齐、已拆封的货品，采购人有权拒收。</w:t>
      </w:r>
    </w:p>
    <w:p w14:paraId="48000056">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5.采购人发现所供货品出现损坏（包括表面损坏），或出现水渍、串味、受潮等导致货物性质改变的，中标人必须给予无条件退货或更换货品。</w:t>
      </w:r>
    </w:p>
    <w:p w14:paraId="70F94308">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（二）日用品类安全保障措施</w:t>
      </w:r>
    </w:p>
    <w:p w14:paraId="40FFC2B4">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1.中标人应遵守国家和地方的相关法律法规和标准，包括《中华人民共和国产品质量法》、《中华人民共和国消费者权益保护法》等，确保提供的用品符合法定要求。</w:t>
      </w:r>
    </w:p>
    <w:p w14:paraId="003FACD1">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2.中标人应建立完善的质量控制体系，从原材料采购、生产加工、成品检验等环节进行严格把关，确保用品的质量稳定可靠。</w:t>
      </w:r>
    </w:p>
    <w:p w14:paraId="580F6C2C">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3.中标人应提供符合国家环保标准的用品，如可降解的用品、无污染的清洁用品等，避免对环境造成负面影响。</w:t>
      </w:r>
    </w:p>
    <w:p w14:paraId="64A29F29">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4.如提供的货品涉及危险品（如水果刀类等），中标人应遵守危险品管理相关法规，提供必要的安全警示标识和使用说明，确保使用过程中的安全。</w:t>
      </w:r>
    </w:p>
    <w:p w14:paraId="2DAD2E06">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5.中标人应定期对其提供的货品进行质量检测，确保货品的质量和安全性能得到验证。</w:t>
      </w:r>
    </w:p>
    <w:p w14:paraId="024CA598">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6.采购人发现所供货品出现损坏（包括表面损坏），或出现水渍、串味、受潮等导致货物性质改变的，中标人必须给予无条件退货或更换货品。</w:t>
      </w:r>
    </w:p>
    <w:p w14:paraId="55C4ECD2">
      <w:pPr>
        <w:pStyle w:val="99"/>
        <w:shd w:val="clear"/>
        <w:spacing w:line="25" w:lineRule="atLeast"/>
        <w:jc w:val="both"/>
        <w:rPr>
          <w:rFonts w:ascii="宋体" w:hAnsi="宋体" w:eastAsia="宋体" w:cs="宋体"/>
          <w:color w:val="auto"/>
          <w:sz w:val="21"/>
          <w:szCs w:val="21"/>
          <w:highlight w:val="none"/>
        </w:rPr>
      </w:pPr>
      <w:r>
        <w:rPr>
          <w:rFonts w:hint="eastAsia" w:ascii="宋体" w:hAnsi="宋体" w:eastAsia="宋体" w:cs="宋体"/>
          <w:b/>
          <w:color w:val="auto"/>
          <w:sz w:val="21"/>
          <w:szCs w:val="21"/>
          <w:highlight w:val="none"/>
          <w:lang w:val="en-US" w:eastAsia="zh-CN"/>
        </w:rPr>
        <w:t>六</w:t>
      </w:r>
      <w:r>
        <w:rPr>
          <w:rFonts w:ascii="宋体" w:hAnsi="宋体" w:eastAsia="宋体" w:cs="宋体"/>
          <w:b/>
          <w:color w:val="auto"/>
          <w:sz w:val="21"/>
          <w:szCs w:val="21"/>
          <w:highlight w:val="none"/>
        </w:rPr>
        <w:t>、包装、装卸、运输及保管</w:t>
      </w:r>
    </w:p>
    <w:p w14:paraId="7A8E120F">
      <w:pPr>
        <w:pStyle w:val="99"/>
        <w:shd w:val="clear"/>
        <w:spacing w:line="25" w:lineRule="atLeast"/>
        <w:ind w:firstLine="420"/>
        <w:jc w:val="both"/>
        <w:rPr>
          <w:rFonts w:hint="eastAsia" w:ascii="Tahoma"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（一）货物的包装必须与运输方式相适</w:t>
      </w:r>
      <w:r>
        <w:rPr>
          <w:rFonts w:hint="eastAsia" w:ascii="Tahoma" w:hAnsi="宋体" w:eastAsia="宋体" w:cs="宋体"/>
          <w:b w:val="0"/>
          <w:bCs w:val="0"/>
          <w:color w:val="auto"/>
          <w:sz w:val="21"/>
          <w:szCs w:val="21"/>
          <w:highlight w:val="none"/>
          <w:lang w:val="en-US" w:eastAsia="zh-CN" w:bidi="ar-SA"/>
        </w:rPr>
        <w:t>应，包装方式的确定及包装费用均由中标人负责；若由于不适当的包装而导致货物在运输过程中有任何损坏、丢失的，因此产生的相关责任由中标人承担。</w:t>
      </w:r>
    </w:p>
    <w:p w14:paraId="6E8D01B9">
      <w:pPr>
        <w:pStyle w:val="99"/>
        <w:shd w:val="clear"/>
        <w:spacing w:line="25" w:lineRule="atLeast"/>
        <w:ind w:firstLine="420"/>
        <w:jc w:val="both"/>
        <w:rPr>
          <w:rFonts w:hint="eastAsia" w:ascii="Tahoma" w:hAnsi="宋体" w:eastAsia="宋体" w:cs="宋体"/>
          <w:b w:val="0"/>
          <w:bCs w:val="0"/>
          <w:color w:val="auto"/>
          <w:sz w:val="21"/>
          <w:szCs w:val="21"/>
          <w:highlight w:val="none"/>
          <w:lang w:val="en-US" w:eastAsia="zh-CN" w:bidi="ar-SA"/>
        </w:rPr>
      </w:pPr>
      <w:r>
        <w:rPr>
          <w:rFonts w:hint="eastAsia" w:ascii="Tahoma" w:hAnsi="宋体" w:eastAsia="宋体" w:cs="宋体"/>
          <w:b w:val="0"/>
          <w:bCs w:val="0"/>
          <w:color w:val="auto"/>
          <w:sz w:val="21"/>
          <w:szCs w:val="21"/>
          <w:highlight w:val="none"/>
          <w:lang w:val="en-US" w:eastAsia="zh-CN" w:bidi="ar-SA"/>
        </w:rPr>
        <w:t>（二）中标人应保证将采购人所订购的货物按照采购人约定时间送至采购人指定地方，运输须采用符合卫生标准的外包装和运载工具，并且要保持清洁和定期消毒，运输车辆内外必须确保清洁干净，配送低温、冷冻食品须采用冷链或冷藏运输车辆配送。</w:t>
      </w:r>
    </w:p>
    <w:p w14:paraId="06F5F99F">
      <w:pPr>
        <w:pStyle w:val="99"/>
        <w:shd w:val="clear"/>
        <w:spacing w:line="25" w:lineRule="atLeast"/>
        <w:ind w:firstLine="420"/>
        <w:jc w:val="both"/>
        <w:rPr>
          <w:rFonts w:hint="eastAsia" w:ascii="Tahoma" w:hAnsi="宋体" w:eastAsia="宋体" w:cs="宋体"/>
          <w:b w:val="0"/>
          <w:bCs w:val="0"/>
          <w:color w:val="auto"/>
          <w:sz w:val="21"/>
          <w:szCs w:val="21"/>
          <w:highlight w:val="none"/>
          <w:lang w:val="en-US" w:eastAsia="zh-CN" w:bidi="ar-SA"/>
        </w:rPr>
      </w:pPr>
      <w:r>
        <w:rPr>
          <w:rFonts w:hint="eastAsia" w:ascii="Tahoma" w:hAnsi="宋体" w:eastAsia="宋体" w:cs="宋体"/>
          <w:b w:val="0"/>
          <w:bCs w:val="0"/>
          <w:color w:val="auto"/>
          <w:sz w:val="21"/>
          <w:szCs w:val="21"/>
          <w:highlight w:val="none"/>
          <w:lang w:val="en-US" w:eastAsia="zh-CN" w:bidi="ar-SA"/>
        </w:rPr>
        <w:t>（三）中标人须安排专门的配送人员负责送货及验收，按照约定及时响应需求，安排配送。</w:t>
      </w:r>
    </w:p>
    <w:p w14:paraId="493D057D">
      <w:pPr>
        <w:pStyle w:val="99"/>
        <w:shd w:val="clear"/>
        <w:spacing w:line="25" w:lineRule="atLeast"/>
        <w:ind w:firstLine="420"/>
        <w:jc w:val="both"/>
        <w:rPr>
          <w:rFonts w:hint="eastAsia" w:ascii="Tahoma" w:hAnsi="宋体" w:eastAsia="宋体" w:cs="宋体"/>
          <w:b w:val="0"/>
          <w:bCs w:val="0"/>
          <w:color w:val="auto"/>
          <w:sz w:val="21"/>
          <w:szCs w:val="21"/>
          <w:highlight w:val="none"/>
          <w:lang w:val="en-US" w:eastAsia="zh-CN" w:bidi="ar-SA"/>
        </w:rPr>
      </w:pPr>
      <w:r>
        <w:rPr>
          <w:rFonts w:hint="eastAsia" w:ascii="Tahoma" w:hAnsi="宋体" w:eastAsia="宋体" w:cs="宋体"/>
          <w:b w:val="0"/>
          <w:bCs w:val="0"/>
          <w:color w:val="auto"/>
          <w:sz w:val="21"/>
          <w:szCs w:val="21"/>
          <w:highlight w:val="none"/>
          <w:lang w:val="en-US" w:eastAsia="zh-CN" w:bidi="ar-SA"/>
        </w:rPr>
        <w:t>（四）中标人须保证所提供的货品合法合规，符合国家相关规定，每种货品的信息应与订购清单一致，保证不配送长期积压污损的货品。</w:t>
      </w:r>
    </w:p>
    <w:p w14:paraId="3CAB46C5">
      <w:pPr>
        <w:pStyle w:val="99"/>
        <w:shd w:val="clear"/>
        <w:spacing w:line="25" w:lineRule="atLeast"/>
        <w:ind w:firstLine="420"/>
        <w:jc w:val="both"/>
        <w:rPr>
          <w:rFonts w:hint="eastAsia" w:ascii="Tahoma" w:hAnsi="宋体" w:eastAsia="宋体" w:cs="宋体"/>
          <w:b w:val="0"/>
          <w:bCs w:val="0"/>
          <w:color w:val="auto"/>
          <w:sz w:val="21"/>
          <w:szCs w:val="21"/>
          <w:highlight w:val="none"/>
          <w:lang w:val="en-US" w:eastAsia="zh-CN" w:bidi="ar-SA"/>
        </w:rPr>
      </w:pPr>
      <w:r>
        <w:rPr>
          <w:rFonts w:hint="eastAsia" w:ascii="Tahoma" w:hAnsi="宋体" w:eastAsia="宋体" w:cs="宋体"/>
          <w:b w:val="0"/>
          <w:bCs w:val="0"/>
          <w:color w:val="auto"/>
          <w:sz w:val="21"/>
          <w:szCs w:val="21"/>
          <w:highlight w:val="none"/>
          <w:lang w:val="en-US" w:eastAsia="zh-CN" w:bidi="ar-SA"/>
        </w:rPr>
        <w:t>（五）中标人须提供保管场所（仓储场地），且保管场所满足干净、卫生、通风、防潮、防火防盗等良好仓储条件。在采购人验收前（包括中标人对采购人订购的货物现场保管期间），货物所有权和风险归中标人所有。若遗失或损坏，由中标人承担责任。</w:t>
      </w:r>
    </w:p>
    <w:p w14:paraId="0FEA51C0">
      <w:pPr>
        <w:pStyle w:val="99"/>
        <w:shd w:val="clear"/>
        <w:spacing w:line="25" w:lineRule="atLeast"/>
        <w:jc w:val="both"/>
        <w:rPr>
          <w:color w:val="auto"/>
          <w:sz w:val="21"/>
          <w:szCs w:val="21"/>
          <w:highlight w:val="none"/>
        </w:rPr>
      </w:pPr>
      <w:r>
        <w:rPr>
          <w:rFonts w:hint="eastAsia"/>
          <w:b/>
          <w:color w:val="auto"/>
          <w:sz w:val="21"/>
          <w:szCs w:val="21"/>
          <w:highlight w:val="none"/>
          <w:lang w:val="en-US" w:eastAsia="zh-CN"/>
        </w:rPr>
        <w:t>七</w:t>
      </w:r>
      <w:r>
        <w:rPr>
          <w:b/>
          <w:color w:val="auto"/>
          <w:sz w:val="21"/>
          <w:szCs w:val="21"/>
          <w:highlight w:val="none"/>
        </w:rPr>
        <w:t>、质量要求</w:t>
      </w:r>
    </w:p>
    <w:p w14:paraId="178CC5E2">
      <w:pPr>
        <w:pStyle w:val="99"/>
        <w:shd w:val="clear"/>
        <w:spacing w:line="25" w:lineRule="atLeast"/>
        <w:ind w:firstLine="422"/>
        <w:jc w:val="both"/>
        <w:rPr>
          <w:color w:val="auto"/>
          <w:highlight w:val="none"/>
        </w:rPr>
      </w:pPr>
      <w:r>
        <w:rPr>
          <w:rFonts w:hint="eastAsia" w:ascii="Tahoma" w:hAnsi="宋体" w:eastAsia="宋体" w:cs="宋体"/>
          <w:b w:val="0"/>
          <w:bCs w:val="0"/>
          <w:color w:val="auto"/>
          <w:sz w:val="21"/>
          <w:szCs w:val="21"/>
          <w:highlight w:val="none"/>
          <w:lang w:val="en-US" w:eastAsia="zh-CN" w:bidi="ar-SA"/>
        </w:rPr>
        <w:t>（一）预包装食品</w:t>
      </w:r>
    </w:p>
    <w:p w14:paraId="3F48D69E">
      <w:pPr>
        <w:pStyle w:val="99"/>
        <w:shd w:val="clear"/>
        <w:spacing w:line="25" w:lineRule="atLeast"/>
        <w:ind w:firstLine="420"/>
        <w:jc w:val="both"/>
        <w:rPr>
          <w:rFonts w:hint="eastAsia" w:ascii="Tahoma" w:hAnsi="宋体" w:eastAsia="宋体" w:cs="宋体"/>
          <w:b w:val="0"/>
          <w:bCs w:val="0"/>
          <w:color w:val="auto"/>
          <w:sz w:val="21"/>
          <w:szCs w:val="21"/>
          <w:highlight w:val="none"/>
          <w:lang w:val="en-US" w:eastAsia="zh-CN" w:bidi="ar-SA"/>
        </w:rPr>
      </w:pPr>
      <w:r>
        <w:rPr>
          <w:rFonts w:hint="eastAsia" w:ascii="Tahoma" w:hAnsi="宋体" w:eastAsia="宋体" w:cs="宋体"/>
          <w:b w:val="0"/>
          <w:bCs w:val="0"/>
          <w:color w:val="auto"/>
          <w:sz w:val="21"/>
          <w:szCs w:val="21"/>
          <w:highlight w:val="none"/>
          <w:lang w:val="en-US" w:eastAsia="zh-CN" w:bidi="ar-SA"/>
        </w:rPr>
        <w:t>中标人所提供的预包装食品必须符合国家食品安全标准，来源明确且可追溯，供货时提供质量检测报告或合格证明，确保生产、加工、储存及运输等各环节符合国家法律法规要求；同时要保证食品在保质期内，无变质、无异味，包装完好无损，并采取适当保鲜措施，根据产品特性选择合适的储存和运输方式，避免挤压、破损或污染；此外，食品标签需清晰准确，包含产品名称、生产日期、保质期、生产厂家、配料表等必要信息，对有特殊储存或食用要求的产品还应明确标注相关提示或警示语。</w:t>
      </w:r>
    </w:p>
    <w:p w14:paraId="42BE0310">
      <w:pPr>
        <w:pStyle w:val="99"/>
        <w:shd w:val="clear"/>
        <w:spacing w:line="25" w:lineRule="atLeast"/>
        <w:ind w:firstLine="420"/>
        <w:jc w:val="both"/>
        <w:rPr>
          <w:rFonts w:hint="eastAsia" w:ascii="Tahoma" w:hAnsi="宋体" w:eastAsia="宋体" w:cs="宋体"/>
          <w:b w:val="0"/>
          <w:bCs w:val="0"/>
          <w:color w:val="auto"/>
          <w:sz w:val="21"/>
          <w:szCs w:val="21"/>
          <w:highlight w:val="none"/>
          <w:lang w:val="en-US" w:eastAsia="zh-CN" w:bidi="ar-SA"/>
        </w:rPr>
      </w:pPr>
      <w:r>
        <w:rPr>
          <w:rFonts w:hint="eastAsia" w:ascii="Tahoma" w:hAnsi="宋体" w:eastAsia="宋体" w:cs="宋体"/>
          <w:b w:val="0"/>
          <w:bCs w:val="0"/>
          <w:color w:val="auto"/>
          <w:sz w:val="21"/>
          <w:szCs w:val="21"/>
          <w:highlight w:val="none"/>
          <w:lang w:val="en-US" w:eastAsia="zh-CN" w:bidi="ar-SA"/>
        </w:rPr>
        <w:t>（二）电子配件</w:t>
      </w:r>
    </w:p>
    <w:p w14:paraId="02AAA857">
      <w:pPr>
        <w:pStyle w:val="99"/>
        <w:shd w:val="clear"/>
        <w:spacing w:line="25" w:lineRule="atLeast"/>
        <w:ind w:firstLine="420"/>
        <w:jc w:val="both"/>
        <w:rPr>
          <w:rFonts w:hint="eastAsia" w:ascii="Tahoma" w:hAnsi="宋体" w:eastAsia="宋体" w:cs="宋体"/>
          <w:b w:val="0"/>
          <w:bCs w:val="0"/>
          <w:color w:val="auto"/>
          <w:sz w:val="21"/>
          <w:szCs w:val="21"/>
          <w:highlight w:val="none"/>
          <w:lang w:val="en-US" w:eastAsia="zh-CN" w:bidi="ar-SA"/>
        </w:rPr>
      </w:pPr>
      <w:r>
        <w:rPr>
          <w:rFonts w:hint="eastAsia" w:ascii="Tahoma" w:hAnsi="宋体" w:eastAsia="宋体" w:cs="宋体"/>
          <w:b w:val="0"/>
          <w:bCs w:val="0"/>
          <w:color w:val="auto"/>
          <w:sz w:val="21"/>
          <w:szCs w:val="21"/>
          <w:highlight w:val="none"/>
          <w:lang w:val="en-US" w:eastAsia="zh-CN" w:bidi="ar-SA"/>
        </w:rPr>
        <w:t>中标人所提供的电子配件要性能达标、合规认证、适配场景、稳定耐用。</w:t>
      </w:r>
    </w:p>
    <w:p w14:paraId="2539BC96">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1.合规性：涉及电气设备（路由器、交换机、打印机等）需提供国家 3C 认证证书；所有产品符合 RoHS 环保标准，无有毒有害物质超标。</w:t>
      </w:r>
    </w:p>
    <w:p w14:paraId="02A682A5">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2.适配性：耗材类（硒鼓、标签纸、打印头）必须与指定设备型号完全适配，安装后无兼容问题。</w:t>
      </w:r>
    </w:p>
    <w:p w14:paraId="1985F66B">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3.标识与包装：产品本体及包装需标注清晰的品牌、型号、规格、生产日期、制造商信息，包装完好无破损。</w:t>
      </w:r>
    </w:p>
    <w:p w14:paraId="3EC128E2">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color w:val="auto"/>
          <w:szCs w:val="21"/>
          <w:highlight w:val="none"/>
        </w:rPr>
        <w:t>★</w:t>
      </w:r>
      <w:r>
        <w:rPr>
          <w:rFonts w:hint="eastAsia" w:ascii="宋体" w:hAnsi="宋体" w:eastAsia="宋体" w:cs="宋体"/>
          <w:b w:val="0"/>
          <w:bCs w:val="0"/>
          <w:color w:val="auto"/>
          <w:sz w:val="21"/>
          <w:szCs w:val="21"/>
          <w:highlight w:val="none"/>
          <w:lang w:val="en-US" w:eastAsia="zh-CN" w:bidi="ar-SA"/>
        </w:rPr>
        <w:t>4.质保与售后：投标人需承诺质保期（设备类≥1 年，耗材类≥3 个月），质保期内免费维修或更换；24 小时内响应售后问题，48 小时内到场处理。（须单独提供承诺函并加盖投标人公章，格式自拟）</w:t>
      </w:r>
    </w:p>
    <w:p w14:paraId="5BE9ED57">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5.验收要求：到货后核对型号、规格、数量；抽样测试性能指标，不合格则整批退货。</w:t>
      </w:r>
    </w:p>
    <w:p w14:paraId="150ECB23">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（三）五金配件</w:t>
      </w:r>
    </w:p>
    <w:p w14:paraId="31886AB5">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1.执行标准合规性</w:t>
      </w:r>
    </w:p>
    <w:p w14:paraId="5F69A307">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所有五金配件需符合国家、行业或国际通用标准，禁止使用无标准、不合格的非标产品。</w:t>
      </w:r>
    </w:p>
    <w:p w14:paraId="783CE8A7">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2.材质与成分要求</w:t>
      </w:r>
    </w:p>
    <w:p w14:paraId="038B5F20">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(1)明确材质规格：需标注材质类型（如不锈钢 304/316、碳钢 Q235、黄铜 H62 等）、牌号、厚度、直径等关键参数。</w:t>
      </w:r>
    </w:p>
    <w:p w14:paraId="332B3659">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(2)材质纯度：金属材质需无砂眼、气孔、裂纹、夹渣等缺陷；表面无锈蚀、氧化、变形等问题。</w:t>
      </w:r>
    </w:p>
    <w:p w14:paraId="1A78D6D7">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(3)环保要求：符合 RoHS、REACH 等环保标准（如涉及出口或高端项目），禁止含铅、镉等重金属超标。</w:t>
      </w:r>
    </w:p>
    <w:p w14:paraId="14EF3D94">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3.表面处理质量</w:t>
      </w:r>
    </w:p>
    <w:p w14:paraId="18774140">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(1)表面处理工艺需明确（如镀锌、镀铬、喷涂、电泳、钝化等），且需满足以下要求：</w:t>
      </w:r>
    </w:p>
    <w:p w14:paraId="32269713">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(2)镀层均匀、无漏镀、起皮、脱落现象；</w:t>
      </w:r>
    </w:p>
    <w:p w14:paraId="12AC92DD">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(3)喷涂层附着力强，无流挂、气泡、划痕；</w:t>
      </w:r>
    </w:p>
    <w:p w14:paraId="0128BAE7">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(4)表面粗糙度、光泽度需符合招标文件规定的数值范围。</w:t>
      </w:r>
    </w:p>
    <w:p w14:paraId="5F2684A7">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(5)防腐防锈能力：根据使用环境（如潮湿、户外、酸碱环境）明确防腐等级，例如户外五金需达到盐雾测试 72 小时以上无锈蚀。</w:t>
      </w:r>
    </w:p>
    <w:p w14:paraId="7B29F431">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4.尺寸与精度要求</w:t>
      </w:r>
    </w:p>
    <w:p w14:paraId="4F41FDF6">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(1)尺寸偏差需符合图纸或标准要求，公差范围需明确标注（如 ±0.1mm）；</w:t>
      </w:r>
    </w:p>
    <w:p w14:paraId="3F3F1C28">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(2)配件的孔位、间距、接口尺寸需与招标项目的适配产品完全匹配，安装无缝隙；</w:t>
      </w:r>
    </w:p>
    <w:p w14:paraId="17F81391">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(3)形状规整，无弯曲、扭曲、变形等问题，保证装配精度。</w:t>
      </w:r>
    </w:p>
    <w:p w14:paraId="6ECBC3AD">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5.性能与耐用性要求</w:t>
      </w:r>
    </w:p>
    <w:p w14:paraId="4A3C9DFA">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(1)强度指标：根据用途明确抗拉强度、抗压强度、抗弯强度等，例如承重五金需满足额定载荷下无断裂、变形；</w:t>
      </w:r>
    </w:p>
    <w:p w14:paraId="4A066294">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(2)耐用性：运动部件（如铰链、导轨）需明确使用寿命（如开合 10 万次无故障）、耐磨性能；</w:t>
      </w:r>
    </w:p>
    <w:p w14:paraId="38F9385E">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(3)密封性：如防水五金需达到 IP 防护等级（如 IP65），防止水、灰尘进入。</w:t>
      </w:r>
    </w:p>
    <w:p w14:paraId="44165927">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（四）劳保物品和生活用品</w:t>
      </w:r>
    </w:p>
    <w:p w14:paraId="403F8751">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1.劳保用品质量要求</w:t>
      </w:r>
    </w:p>
    <w:p w14:paraId="400B4D09">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必须符合对应国家或行业强制标准，特种劳保用品（如防静电服、防化口罩）需提供CMA/CNAS 资质第三方检测报告。</w:t>
      </w:r>
    </w:p>
    <w:p w14:paraId="3D97596D">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直接接触皮肤的品类（如防护手套、防护服）需符合GB18401《国家纺织产品基本安全技术规范》，甲醛、pH值、重金属等指标达标。</w:t>
      </w:r>
    </w:p>
    <w:p w14:paraId="604C5312">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2.生活用品质量要求</w:t>
      </w:r>
    </w:p>
    <w:p w14:paraId="6AD896C3">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（1）安全环保：</w:t>
      </w:r>
    </w:p>
    <w:p w14:paraId="52E9D3A3">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1)接触食品的品类（如餐具、水杯）需符合 GB 4806《食品安全国家标准》，禁用再生塑料、劣质涂料，无异味、无重金属析出。</w:t>
      </w:r>
    </w:p>
    <w:p w14:paraId="3F7BD10B">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2)纺织品类（如毛巾、床单）需符合 GB 18401，甲醛含量≤75mg/kg，pH 值 4.0~8.5，无荧光增白剂。</w:t>
      </w:r>
    </w:p>
    <w:p w14:paraId="7F768446">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3)电气类（如电水壶、台灯）需通过 3C 认证，绝缘性能良好，无漏电风险。</w:t>
      </w:r>
    </w:p>
    <w:p w14:paraId="3D5A8C0B">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（2）材质与工艺：</w:t>
      </w:r>
    </w:p>
    <w:p w14:paraId="599965DF">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1)明确材质规格（如塑料件为 PP / 食品级 PC、毛巾为纯棉≥80%、垃圾桶为加厚聚乙烯）。</w:t>
      </w:r>
    </w:p>
    <w:p w14:paraId="37B510C5">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2)工艺无缺陷：纺织物无跳线、起球；塑料制品无毛刺、裂纹；金属制品无锈蚀、变形。</w:t>
      </w:r>
    </w:p>
    <w:p w14:paraId="3B32682B">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（3）耐用性：</w:t>
      </w:r>
    </w:p>
    <w:p w14:paraId="4202D8DC">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1)反复使用类（如拖把、垃圾桶）需耐磨损、抗摔打，正常使用≥6 个月无损坏。</w:t>
      </w:r>
    </w:p>
    <w:p w14:paraId="643B8AF2">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2)消耗类（如纸巾、洗手液）需标注克重、有效成分含量（如洗手液抑菌率≥99%）。</w:t>
      </w:r>
    </w:p>
    <w:p w14:paraId="57E1EAD6">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（4）标识与追溯：</w:t>
      </w:r>
    </w:p>
    <w:p w14:paraId="4B33EC8E">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1)产品需标注制造商、生产日期、保质期、执行标准号；食品接触类需标注 “食品用”字样。</w:t>
      </w:r>
    </w:p>
    <w:p w14:paraId="7C0E89DB">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2)提供批次生产记录，支持质量溯源。</w:t>
      </w:r>
    </w:p>
    <w:p w14:paraId="6D574917">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（五）办公用品</w:t>
      </w:r>
    </w:p>
    <w:p w14:paraId="41184EF6">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1）中标人应按采购人的采购计划，及时组织供货，不得影响采购人正常使用。</w:t>
      </w:r>
    </w:p>
    <w:p w14:paraId="1423F1B5">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2）货物为原制造商制造的全新产品、表面无划损、无任何缺陷隐患，在中国境内可依常规安全合法使用。</w:t>
      </w:r>
    </w:p>
    <w:p w14:paraId="257C11F8">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3）中标人交付的货物应符合市场监督管理部门规定的标准，以备验收检查。如发现质量问题,需及时更换合格产品或退货，做好售后工作。</w:t>
      </w:r>
    </w:p>
    <w:p w14:paraId="111D10F7">
      <w:pPr>
        <w:pStyle w:val="99"/>
        <w:shd w:val="clear"/>
        <w:spacing w:line="25" w:lineRule="atLeast"/>
        <w:jc w:val="both"/>
        <w:rPr>
          <w:rFonts w:ascii="宋体" w:hAnsi="宋体" w:eastAsia="宋体" w:cs="宋体"/>
          <w:color w:val="auto"/>
          <w:sz w:val="21"/>
          <w:szCs w:val="21"/>
          <w:highlight w:val="none"/>
        </w:rPr>
      </w:pPr>
      <w:r>
        <w:rPr>
          <w:rFonts w:hint="eastAsia" w:ascii="宋体" w:hAnsi="宋体" w:eastAsia="宋体" w:cs="宋体"/>
          <w:b/>
          <w:color w:val="auto"/>
          <w:sz w:val="21"/>
          <w:szCs w:val="21"/>
          <w:highlight w:val="none"/>
          <w:lang w:val="en-US" w:eastAsia="zh-CN"/>
        </w:rPr>
        <w:t>八</w:t>
      </w:r>
      <w:r>
        <w:rPr>
          <w:rFonts w:ascii="宋体" w:hAnsi="宋体" w:eastAsia="宋体" w:cs="宋体"/>
          <w:b/>
          <w:color w:val="auto"/>
          <w:sz w:val="21"/>
          <w:szCs w:val="21"/>
          <w:highlight w:val="none"/>
        </w:rPr>
        <w:t>、中标人义务</w:t>
      </w:r>
    </w:p>
    <w:p w14:paraId="48313E7F">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（一）如采购人需临时增补货物，中标人须全力配合。</w:t>
      </w:r>
    </w:p>
    <w:p w14:paraId="2A8782AA">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二）中标人应当根据采购人的实际情况，按照与采购人的约定，在采购人指定的时间内将预定的货物如数送到指定地点。除不可抗力外，中标人不得推迟送货。如需延迟送货，中标人应在知晓情况后立即通知采购人并取得采购人同意，若因中标人拖延导致采购人利益受损，采购人有权要求中标人承担由此产生的一切损失及费用。</w:t>
      </w:r>
    </w:p>
    <w:p w14:paraId="6F404715">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三）中标人不得擅自更改送货内容，如因市场流通问题需变更供货内容，中标人应在知晓后立即通知采购人并获得采购人同意后方可变更。否则，一经发现私自更改采购人采购订单中的货物，将视为违约，由此产生的一切损失和费用由中标人承担。</w:t>
      </w:r>
    </w:p>
    <w:p w14:paraId="4AE25603">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四）采购人发现所供货物与采购要求的数量和规格不相符或质量不合格，中标人应48小时内无条件退换，并保证在采购人指定的时间内送达。因质量问题退货的，采购人将记录在案，并对中标人予以书面警告，由此产生的一切损失和费用由中标人承担。</w:t>
      </w:r>
    </w:p>
    <w:p w14:paraId="5428C7C8">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（五）退货或换货处理：对于货不对版或质量不达标的品种，采购人可要求中标人无条件退货或更换，中标人须保证在采购人指定的时间内送达，由此产生的一切责任概由中标人承担。</w:t>
      </w:r>
    </w:p>
    <w:p w14:paraId="291A3A66">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（六）中标人须对采购人的内部信息（含服务对象信息）、资料、数据档案等严格保密，此项保密义务不因本合同终止而终止。若因泄密导致采购人受损，中标人将承担由此产生的一切损失及法律责任。</w:t>
      </w:r>
    </w:p>
    <w:p w14:paraId="166B1654">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七）中标人发生下列重大变更的，应在变更发生之日起3个工作日内以书面形式通知采购人，并提供相关证明材料：（1）中标人的法定代表人、主要负责人变更；（2）中标人的经营地址、联系方式变更；（3）中标人的股权结构发生重大变化（如控股股东变更、股权质押等）；（4）中标人的经营状况发生重大恶化（如资金链断裂、破产申请、主要财产被查封等）；（5）中标人的供货渠道发生重大变化（如与主要供应商终止合作）。中标人未履行上述告知义务的，采购人有权要求中标人承担未告知期间的损失（如因中标人变更导致的供货延误损失）；若该变更影响中标人履约能力的，采购人有权依据合同第十三条第4款解除合同。</w:t>
      </w:r>
    </w:p>
    <w:p w14:paraId="28B73275">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（八）项目未尽事宜将在采购合同中另行约定，中标人须无条件同意采购人基于为顺利完成本项目所提出的各项合理要求。</w:t>
      </w:r>
    </w:p>
    <w:p w14:paraId="7F30E0FD">
      <w:pPr>
        <w:pStyle w:val="99"/>
        <w:shd w:val="clear"/>
        <w:spacing w:line="25" w:lineRule="atLeast"/>
        <w:jc w:val="both"/>
        <w:rPr>
          <w:rFonts w:ascii="宋体" w:hAnsi="宋体" w:eastAsia="宋体" w:cs="宋体"/>
          <w:color w:val="auto"/>
          <w:sz w:val="21"/>
          <w:szCs w:val="21"/>
          <w:highlight w:val="none"/>
        </w:rPr>
      </w:pPr>
      <w:r>
        <w:rPr>
          <w:rFonts w:hint="eastAsia" w:ascii="宋体" w:hAnsi="宋体" w:eastAsia="宋体" w:cs="宋体"/>
          <w:b/>
          <w:color w:val="auto"/>
          <w:sz w:val="21"/>
          <w:szCs w:val="21"/>
          <w:highlight w:val="none"/>
          <w:lang w:val="en-US" w:eastAsia="zh-CN"/>
        </w:rPr>
        <w:t>九</w:t>
      </w:r>
      <w:r>
        <w:rPr>
          <w:rFonts w:ascii="宋体" w:hAnsi="宋体" w:eastAsia="宋体" w:cs="宋体"/>
          <w:b/>
          <w:color w:val="auto"/>
          <w:sz w:val="21"/>
          <w:szCs w:val="21"/>
          <w:highlight w:val="none"/>
        </w:rPr>
        <w:t>、违约责任</w:t>
      </w:r>
    </w:p>
    <w:p w14:paraId="5C3EF088">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一）出现以下情况之一的，除赔偿采购人因此产生的相关费用外，中标人按每次1000元向采购人支付违约金，当此类情况累计达到3次后，自第4次起，中标人按每次3000元向采购人支付违约金，违约金可从供货结算款内扣除（供货结算款不足以扣除违约金的，采购人有权要求中标人在5个工作日内补足）。</w:t>
      </w:r>
    </w:p>
    <w:p w14:paraId="677E8422">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1.未按采购单要求的到货时间内完成供货，或未按采购人订货单进行供应，造成采购人订购的货物无法按时供应的，采购人有权自行采购所需货物，由此产生的该批货物实际采购金额及一切相关损失、费用，均由中标人承担；</w:t>
      </w:r>
    </w:p>
    <w:p w14:paraId="0ADA51FA">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2.经验收，供应货物的品种、规格或质量等级与合同不符的；</w:t>
      </w:r>
    </w:p>
    <w:p w14:paraId="69C3F2E4">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3.若因包装不当致使货物在运输过程中出现损坏或丢失的情况，中标人应在收到采购人提出的替换需求起三个工作日内完成替换。若中标人未能在规定时间内完成替换的，采购人有权自行采购所需货物，由此产生的该批货物实际采购金额及一切相关损失、费用，均由中标人承担；</w:t>
      </w:r>
    </w:p>
    <w:p w14:paraId="318CB599">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4.在包装、运输、装卸等环节不符合货物安全要求的；</w:t>
      </w:r>
    </w:p>
    <w:p w14:paraId="19FA55C8">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5.中标人组织机构发生调整，或经营场所、联系人、联系方式变更，未及时通知采购人业务部门，造成无法及时联系；</w:t>
      </w:r>
    </w:p>
    <w:p w14:paraId="7E9DF998">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（二）中标人提供过期、变质、混有异物等质量不合格产品或存在侵犯注册商标专用权的行为，一经发现，除按采购人要求无条件退货或换货外，还需承担以下违约责任：</w:t>
      </w:r>
    </w:p>
    <w:p w14:paraId="5FEE565C">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1.首次发现，中标人将被处以当批次供应货物货款2倍的违约金，违约金可由供货结算款内扣除（供货结算款不足以扣除违约金的，采购人有权要求中标人在5个工作日内补足，下同）。</w:t>
      </w:r>
    </w:p>
    <w:p w14:paraId="6931CA13">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2.第二次发现，中标人将被处以当批次供应货物货款4倍的违约金，违约金可由供货结算款内扣除。</w:t>
      </w:r>
    </w:p>
    <w:p w14:paraId="0992648E">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3.第三次发现，采购人有权取消中标人供应商资格。</w:t>
      </w:r>
    </w:p>
    <w:p w14:paraId="1B0F29B9">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三）若出现以下情形，将立即取消中标人的供应资格并单方解除合同（包括但不限于以下各项），并由中标人承担由此造成的所有经济损失及法律责任，包括但不限于诉讼费/仲裁、保全费、担保费、律师费、差旅费、公证费等一切费用：</w:t>
      </w:r>
    </w:p>
    <w:p w14:paraId="51D250DB">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1.中标人提供的食品导致食用者身体不适、发生食物中毒，或因中标人提供的日用品导致身体不适，且经市级及以上质量检验部门认定为中标人货物所致的，中标人需承担全部医疗及其他相关费用。同时，采购人将取消中标人的供货资格并单方解除合同，有权不予退还履约保证金。由此产生的经济赔偿及法律责任均由中标人承担；</w:t>
      </w:r>
    </w:p>
    <w:p w14:paraId="3CBB7475">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2.中标人泄露采购人的内部信息（含服务对象信息）、资料、数据、档案等，导致采购人受损的，由此产生的一切损失和法律责任由中标人承担。</w:t>
      </w:r>
    </w:p>
    <w:p w14:paraId="760B7AC6">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3.提供虚假检验报告、发票等相关资料的。</w:t>
      </w:r>
    </w:p>
    <w:p w14:paraId="6D468D15">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★4.单方解除权及违约责任（须单独提供承诺函并加盖投标人公章，格式自拟）</w:t>
      </w:r>
    </w:p>
    <w:p w14:paraId="756C05DA">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采购人发现中标人出现下列情形之一的，有权立即发出书面解除通知单方面解除本合同，并要求中标人承担全部违约责任：</w:t>
      </w:r>
    </w:p>
    <w:p w14:paraId="7F7E994B">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1）中标人因经营状况严重恶化（包括但不限于资金链断裂、主要财产被人民法院查封/扣押/冻结、丧失核心供货渠道等）、丧失履约能力，或明确以书面形式拒绝履行本合同项下供货义务，直接影响采购人服务对象的基本生活保障或公共服务正常运行的；</w:t>
      </w:r>
    </w:p>
    <w:p w14:paraId="19074288">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（2）采购人就中标人履约能力提出质疑并发出《履约能力核查通知》后，中标人未能在5个工作日内提供采购人认可的有效履约担保（如银行履约保函、第三方连带责任担保，担保金额不低于人民币壹万元整。</w:t>
      </w:r>
    </w:p>
    <w:p w14:paraId="21F698BF">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（3）考核要求：</w:t>
      </w:r>
      <w:r>
        <w:rPr>
          <w:rFonts w:hint="eastAsia" w:ascii="宋体" w:hAnsi="宋体" w:eastAsia="宋体" w:cs="宋体"/>
          <w:b/>
          <w:bCs/>
          <w:color w:val="auto"/>
          <w:sz w:val="21"/>
          <w:szCs w:val="21"/>
          <w:highlight w:val="none"/>
          <w:lang w:val="en-US" w:eastAsia="zh-CN" w:bidi="ar-SA"/>
        </w:rPr>
        <w:t>（具体详见《附件二：考核评分表》）</w:t>
      </w:r>
    </w:p>
    <w:p w14:paraId="1D649353">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①采购人每季度对中标人服务质量进行一次考核，考核评分项目内容及扣分标准由采购人制定，中标人需无条件遵照执行。采购人在服务期内有权结合实际需求更新、调整考核项目内容及扣分标准。</w:t>
      </w:r>
    </w:p>
    <w:p w14:paraId="6A04C953">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②月考核要求（详见附件）：满分100分，按下列原则评定：</w:t>
      </w:r>
    </w:p>
    <w:p w14:paraId="20AFB8CF">
      <w:pPr>
        <w:pStyle w:val="99"/>
        <w:numPr>
          <w:ilvl w:val="0"/>
          <w:numId w:val="1"/>
        </w:numPr>
        <w:shd w:val="clear"/>
        <w:spacing w:line="25" w:lineRule="atLeast"/>
        <w:ind w:left="425" w:hanging="425"/>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根据主管人员对服务质量进行综合考评（具体考核内容采购人有权根据实际情况作出调整），综合考评分≥95分为优秀，85-94分（含85分）为合格，＜85分的为不合格；</w:t>
      </w:r>
    </w:p>
    <w:p w14:paraId="62CBA4A0">
      <w:pPr>
        <w:pStyle w:val="99"/>
        <w:numPr>
          <w:ilvl w:val="0"/>
          <w:numId w:val="1"/>
        </w:numPr>
        <w:shd w:val="clear"/>
        <w:spacing w:line="25" w:lineRule="atLeast"/>
        <w:ind w:left="425" w:hanging="425"/>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综合考评分＜85分：第一次给予口头警告，协商处理；第二次将书面登记，并对该物品退货处理，并扣罚该该物品货款总价的30%；第三次采购人有权终止合同。</w:t>
      </w:r>
    </w:p>
    <w:p w14:paraId="56D67286">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4.1 解除后的过渡期义务</w:t>
      </w:r>
    </w:p>
    <w:p w14:paraId="6CE6C154">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采购人依据本款解除合同的，中标人应在解除通知发出后30 日内配合采购人完成以下事项：</w:t>
      </w:r>
    </w:p>
    <w:p w14:paraId="221D327B">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（1）签订《过渡期供货及交接协议》，明确过渡期供货期限（具体时长由双方协商后，再在协议中以书面形式明确约定）、交接清单（含库存物资、供应商信息、质量文件等）；</w:t>
      </w:r>
    </w:p>
    <w:p w14:paraId="11B6EE9C">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（2）过渡期内按原合同标准继续供应紧急必需物资（如食品、日用品等），不得中断；</w:t>
      </w:r>
    </w:p>
    <w:p w14:paraId="4E3EB521">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（3）完成剩余货款结算、物资交接及资料移交（如供货台账、质检报告等）。</w:t>
      </w:r>
    </w:p>
    <w:p w14:paraId="17CF5603">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4.2 损失计算与赔偿</w:t>
      </w:r>
    </w:p>
    <w:p w14:paraId="7E3DE4B8">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中标人应赔偿采购人因合同解除产生的全部实际损失，损失范围及计算方式如下：</w:t>
      </w:r>
    </w:p>
    <w:p w14:paraId="1200A01D">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（1）重新采购差价：=（重新采购单价 - 原合同约定基准价）× 实际采购数量；</w:t>
      </w:r>
    </w:p>
    <w:p w14:paraId="34394E27">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（2）紧急物资采购成本：指采购人因中标人突然停止供货产生的加急运输费、临时采购溢价等额外支出，以实际发生的合法票据为准；</w:t>
      </w:r>
    </w:p>
    <w:p w14:paraId="0A3246F7">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（3）服务对象生活保障临时支出：指采购人因中标人违约而解除合同导致物资短缺采取临时措施（如临时租赁、 委托第三方应急供应） 产生的合理支出，需提供支出凭证和合法票据；</w:t>
      </w:r>
    </w:p>
    <w:p w14:paraId="59936AA0">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（4）举证责任：采购人应就损失金额提供合法有效的证据（如采购合同、发票、支付凭证等）；中标人对损失金额有异议的，应在收到损失清单后30日内提出书面异议并附证据，逾期未提出视为认可。</w:t>
      </w:r>
    </w:p>
    <w:p w14:paraId="7CF3FC91">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4.3 赔偿支付方式</w:t>
      </w:r>
    </w:p>
    <w:p w14:paraId="79A20392">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赔偿金额按以下顺序支付：</w:t>
      </w:r>
    </w:p>
    <w:p w14:paraId="65FC7D53">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（1）优先从应付未付货款中扣除；</w:t>
      </w:r>
    </w:p>
    <w:p w14:paraId="44F29715">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（2）应付货款不足的，从履约保证金中扣除；</w:t>
      </w:r>
    </w:p>
    <w:p w14:paraId="76F0F4A9">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（3）仍不足的，中标人应在采购人发出《赔偿款支付通知》后5个工作日内补足。</w:t>
      </w:r>
    </w:p>
    <w:p w14:paraId="344B4835">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5.中标人如需在合同执行过程中终止合同，应提前一个月书面通知采购人，并获得采购人书面同意回复后方可终止。否则，视为中标人单方面终止执行合同，由此导致采购人受损的，中标人需承担全部责任，且履约保证金不予退还。</w:t>
      </w:r>
    </w:p>
    <w:p w14:paraId="0CBDC0DE">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6.取消中标人供货资格，但合同其他条款（如保密、知识产权、争议解决等）仍然有效，直至合同约定期限届满或双方协商终止。</w:t>
      </w:r>
    </w:p>
    <w:p w14:paraId="440DB3DC">
      <w:pPr>
        <w:pStyle w:val="99"/>
        <w:shd w:val="clear"/>
        <w:spacing w:line="25" w:lineRule="atLeast"/>
        <w:jc w:val="both"/>
        <w:rPr>
          <w:rFonts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十</w:t>
      </w:r>
      <w:r>
        <w:rPr>
          <w:rFonts w:ascii="宋体" w:hAnsi="宋体" w:eastAsia="宋体" w:cs="宋体"/>
          <w:b/>
          <w:color w:val="auto"/>
          <w:sz w:val="21"/>
          <w:szCs w:val="21"/>
          <w:highlight w:val="none"/>
        </w:rPr>
        <w:t>、商品供货清单（仅供参考）</w:t>
      </w:r>
    </w:p>
    <w:p w14:paraId="5A4D16DB">
      <w:pPr>
        <w:pStyle w:val="99"/>
        <w:shd w:val="clear"/>
        <w:spacing w:line="25" w:lineRule="atLeast"/>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采购人与中标供应商双方签订合同后一周内，协商确定商品供货清单。合同期间，因日用品及五金采购品类繁多，采购清单中不可能全部包含，在合同有效期内，供货清单可根据实际新增供货需求每月的第一周内更新一次。</w:t>
      </w:r>
    </w:p>
    <w:p w14:paraId="5B4ADCDE">
      <w:pPr>
        <w:pStyle w:val="99"/>
        <w:numPr>
          <w:ilvl w:val="0"/>
          <w:numId w:val="0"/>
        </w:numPr>
        <w:shd w:val="clear"/>
        <w:spacing w:line="25" w:lineRule="atLeast"/>
        <w:ind w:firstLine="422" w:firstLineChars="0"/>
        <w:jc w:val="both"/>
        <w:rPr>
          <w:rFonts w:ascii="宋体" w:hAnsi="宋体" w:eastAsia="宋体" w:cs="宋体"/>
          <w:color w:val="auto"/>
          <w:sz w:val="21"/>
          <w:szCs w:val="21"/>
          <w:highlight w:val="none"/>
        </w:rPr>
      </w:pPr>
      <w:r>
        <w:rPr>
          <w:rFonts w:hint="eastAsia" w:ascii="宋体" w:hAnsi="宋体" w:eastAsia="宋体" w:cs="宋体"/>
          <w:b/>
          <w:color w:val="auto"/>
          <w:sz w:val="21"/>
          <w:szCs w:val="21"/>
          <w:highlight w:val="none"/>
          <w:lang w:val="en-US" w:eastAsia="zh-CN"/>
        </w:rPr>
        <w:t>详见附件一《低值日杂品清单》</w:t>
      </w:r>
    </w:p>
    <w:p w14:paraId="4048F18E">
      <w:pPr>
        <w:pStyle w:val="99"/>
        <w:shd w:val="clear"/>
        <w:spacing w:line="25" w:lineRule="atLeast"/>
        <w:rPr>
          <w:rFonts w:ascii="宋体" w:hAnsi="宋体" w:eastAsia="宋体" w:cs="宋体"/>
          <w:color w:val="auto"/>
          <w:sz w:val="21"/>
          <w:szCs w:val="21"/>
          <w:highlight w:val="none"/>
        </w:rPr>
      </w:pPr>
      <w:r>
        <w:rPr>
          <w:rFonts w:ascii="宋体" w:hAnsi="宋体" w:eastAsia="宋体" w:cs="宋体"/>
          <w:b/>
          <w:color w:val="auto"/>
          <w:sz w:val="21"/>
          <w:szCs w:val="21"/>
          <w:highlight w:val="none"/>
        </w:rPr>
        <w:t>注：</w:t>
      </w:r>
    </w:p>
    <w:p w14:paraId="3CF991DB">
      <w:pPr>
        <w:pStyle w:val="99"/>
        <w:shd w:val="clear"/>
        <w:spacing w:line="25" w:lineRule="atLeast"/>
        <w:ind w:firstLine="482"/>
        <w:rPr>
          <w:rFonts w:ascii="宋体" w:hAnsi="宋体" w:eastAsia="宋体" w:cs="宋体"/>
          <w:color w:val="auto"/>
          <w:highlight w:val="none"/>
        </w:rPr>
      </w:pPr>
      <w:r>
        <w:rPr>
          <w:rFonts w:ascii="宋体" w:hAnsi="宋体" w:eastAsia="宋体" w:cs="宋体"/>
          <w:b/>
          <w:color w:val="auto"/>
          <w:sz w:val="21"/>
          <w:szCs w:val="21"/>
          <w:highlight w:val="none"/>
        </w:rPr>
        <w:t>以上供货清单仅反映采购人的主要需求，并不代表中标人的全部售出产品，中标人承担的产品类别和总量以采购人的实际供货通知为准。所有产品分批次供货，送货数量及时间由采购人按需通知，中标人则须按采购人指定时间和地点送货。</w:t>
      </w:r>
    </w:p>
    <w:p w14:paraId="3114505A">
      <w:pPr>
        <w:pStyle w:val="99"/>
        <w:numPr>
          <w:ilvl w:val="0"/>
          <w:numId w:val="0"/>
        </w:numPr>
        <w:shd w:val="clear"/>
        <w:spacing w:line="25" w:lineRule="atLeast"/>
        <w:jc w:val="both"/>
        <w:rPr>
          <w:rFonts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Hans"/>
        </w:rPr>
        <w:t>十</w:t>
      </w:r>
      <w:r>
        <w:rPr>
          <w:rFonts w:hint="eastAsia" w:ascii="宋体" w:hAnsi="宋体" w:eastAsia="宋体" w:cs="宋体"/>
          <w:b/>
          <w:color w:val="auto"/>
          <w:sz w:val="21"/>
          <w:szCs w:val="21"/>
          <w:highlight w:val="none"/>
          <w:lang w:val="en-US" w:eastAsia="zh-CN"/>
        </w:rPr>
        <w:t>一</w:t>
      </w:r>
      <w:r>
        <w:rPr>
          <w:rFonts w:hint="eastAsia" w:ascii="宋体" w:hAnsi="宋体" w:eastAsia="宋体" w:cs="宋体"/>
          <w:b/>
          <w:color w:val="auto"/>
          <w:sz w:val="21"/>
          <w:szCs w:val="21"/>
          <w:highlight w:val="none"/>
          <w:lang w:val="en-US" w:eastAsia="zh-Hans"/>
        </w:rPr>
        <w:t>、</w:t>
      </w:r>
      <w:r>
        <w:rPr>
          <w:rFonts w:ascii="宋体" w:hAnsi="宋体" w:eastAsia="宋体" w:cs="宋体"/>
          <w:b/>
          <w:color w:val="auto"/>
          <w:sz w:val="21"/>
          <w:szCs w:val="21"/>
          <w:highlight w:val="none"/>
        </w:rPr>
        <w:t>项目验收标准</w:t>
      </w:r>
    </w:p>
    <w:p w14:paraId="6F5921DC">
      <w:pPr>
        <w:pStyle w:val="99"/>
        <w:numPr>
          <w:ilvl w:val="0"/>
          <w:numId w:val="0"/>
        </w:numPr>
        <w:shd w:val="clear"/>
        <w:spacing w:line="25" w:lineRule="atLeast"/>
        <w:ind w:left="0" w:firstLine="420" w:firstLineChars="200"/>
        <w:rPr>
          <w:rFonts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Hans"/>
        </w:rPr>
        <w:t>1．</w:t>
      </w:r>
      <w:r>
        <w:rPr>
          <w:rFonts w:ascii="宋体" w:hAnsi="宋体" w:eastAsia="宋体" w:cs="宋体"/>
          <w:b w:val="0"/>
          <w:bCs/>
          <w:color w:val="auto"/>
          <w:sz w:val="21"/>
          <w:szCs w:val="21"/>
          <w:highlight w:val="none"/>
        </w:rPr>
        <w:t>由采购人和中标人共同对</w:t>
      </w:r>
      <w:r>
        <w:rPr>
          <w:rFonts w:hint="eastAsia" w:ascii="宋体" w:hAnsi="宋体" w:eastAsia="宋体" w:cs="宋体"/>
          <w:b w:val="0"/>
          <w:bCs/>
          <w:color w:val="auto"/>
          <w:sz w:val="21"/>
          <w:szCs w:val="21"/>
          <w:highlight w:val="none"/>
          <w:lang w:val="en-US" w:eastAsia="zh-CN"/>
        </w:rPr>
        <w:t>货</w:t>
      </w:r>
      <w:r>
        <w:rPr>
          <w:rFonts w:ascii="宋体" w:hAnsi="宋体" w:eastAsia="宋体" w:cs="宋体"/>
          <w:b w:val="0"/>
          <w:bCs/>
          <w:color w:val="auto"/>
          <w:sz w:val="21"/>
          <w:szCs w:val="21"/>
          <w:highlight w:val="none"/>
        </w:rPr>
        <w:t>品进行验收，经双方在送货单上签名确认后方可通过。</w:t>
      </w:r>
    </w:p>
    <w:p w14:paraId="606DFD2D">
      <w:pPr>
        <w:pStyle w:val="99"/>
        <w:numPr>
          <w:ilvl w:val="0"/>
          <w:numId w:val="0"/>
        </w:numPr>
        <w:shd w:val="clear"/>
        <w:spacing w:line="25" w:lineRule="atLeast"/>
        <w:ind w:left="0" w:firstLine="420" w:firstLineChars="200"/>
        <w:rPr>
          <w:rFonts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Hans"/>
        </w:rPr>
        <w:t>2．</w:t>
      </w:r>
      <w:r>
        <w:rPr>
          <w:rFonts w:ascii="宋体" w:hAnsi="宋体" w:eastAsia="宋体" w:cs="宋体"/>
          <w:b w:val="0"/>
          <w:bCs/>
          <w:color w:val="auto"/>
          <w:sz w:val="21"/>
          <w:szCs w:val="21"/>
          <w:highlight w:val="none"/>
        </w:rPr>
        <w:t>履约验收时间：在每批次</w:t>
      </w:r>
      <w:r>
        <w:rPr>
          <w:rFonts w:hint="eastAsia" w:ascii="宋体" w:hAnsi="宋体" w:eastAsia="宋体" w:cs="宋体"/>
          <w:b w:val="0"/>
          <w:bCs/>
          <w:color w:val="auto"/>
          <w:sz w:val="21"/>
          <w:szCs w:val="21"/>
          <w:highlight w:val="none"/>
          <w:lang w:val="en-US" w:eastAsia="zh-CN"/>
        </w:rPr>
        <w:t>货</w:t>
      </w:r>
      <w:r>
        <w:rPr>
          <w:rFonts w:ascii="宋体" w:hAnsi="宋体" w:eastAsia="宋体" w:cs="宋体"/>
          <w:b w:val="0"/>
          <w:bCs/>
          <w:color w:val="auto"/>
          <w:sz w:val="21"/>
          <w:szCs w:val="21"/>
          <w:highlight w:val="none"/>
        </w:rPr>
        <w:t>品配送至采购人指定地点后，由采购人对</w:t>
      </w:r>
      <w:r>
        <w:rPr>
          <w:rFonts w:hint="eastAsia" w:ascii="宋体" w:hAnsi="宋体" w:eastAsia="宋体" w:cs="宋体"/>
          <w:b w:val="0"/>
          <w:bCs/>
          <w:color w:val="auto"/>
          <w:sz w:val="21"/>
          <w:szCs w:val="21"/>
          <w:highlight w:val="none"/>
          <w:lang w:val="en-US" w:eastAsia="zh-CN"/>
        </w:rPr>
        <w:t>货品</w:t>
      </w:r>
      <w:r>
        <w:rPr>
          <w:rFonts w:ascii="宋体" w:hAnsi="宋体" w:eastAsia="宋体" w:cs="宋体"/>
          <w:b w:val="0"/>
          <w:bCs/>
          <w:color w:val="auto"/>
          <w:sz w:val="21"/>
          <w:szCs w:val="21"/>
          <w:highlight w:val="none"/>
        </w:rPr>
        <w:t>进行验收。</w:t>
      </w:r>
    </w:p>
    <w:p w14:paraId="13E572A9">
      <w:pPr>
        <w:pStyle w:val="99"/>
        <w:numPr>
          <w:ilvl w:val="0"/>
          <w:numId w:val="0"/>
        </w:numPr>
        <w:shd w:val="clear"/>
        <w:spacing w:line="25" w:lineRule="atLeast"/>
        <w:ind w:left="0" w:firstLine="420" w:firstLineChars="200"/>
        <w:rPr>
          <w:rFonts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Hans"/>
        </w:rPr>
        <w:t>3．</w:t>
      </w:r>
      <w:r>
        <w:rPr>
          <w:rFonts w:ascii="宋体" w:hAnsi="宋体" w:eastAsia="宋体" w:cs="宋体"/>
          <w:b w:val="0"/>
          <w:bCs/>
          <w:color w:val="auto"/>
          <w:sz w:val="21"/>
          <w:szCs w:val="21"/>
          <w:highlight w:val="none"/>
        </w:rPr>
        <w:t>履约验收标准：以招标文件要求的</w:t>
      </w:r>
      <w:r>
        <w:rPr>
          <w:rFonts w:hint="eastAsia" w:ascii="宋体" w:hAnsi="宋体" w:eastAsia="宋体" w:cs="宋体"/>
          <w:b w:val="0"/>
          <w:bCs/>
          <w:color w:val="auto"/>
          <w:sz w:val="21"/>
          <w:szCs w:val="21"/>
          <w:highlight w:val="none"/>
          <w:lang w:val="en-US" w:eastAsia="zh-CN"/>
        </w:rPr>
        <w:t>货品</w:t>
      </w:r>
      <w:r>
        <w:rPr>
          <w:rFonts w:ascii="宋体" w:hAnsi="宋体" w:eastAsia="宋体" w:cs="宋体"/>
          <w:b w:val="0"/>
          <w:bCs/>
          <w:color w:val="auto"/>
          <w:sz w:val="21"/>
          <w:szCs w:val="21"/>
          <w:highlight w:val="none"/>
        </w:rPr>
        <w:t>质量标准、数量标准以及安全标准为标准。</w:t>
      </w:r>
    </w:p>
    <w:p w14:paraId="22839B67">
      <w:pPr>
        <w:pStyle w:val="99"/>
        <w:numPr>
          <w:ilvl w:val="0"/>
          <w:numId w:val="0"/>
        </w:numPr>
        <w:shd w:val="clear"/>
        <w:spacing w:line="25" w:lineRule="atLeast"/>
        <w:ind w:left="0" w:firstLine="420" w:firstLineChars="200"/>
        <w:rPr>
          <w:rFonts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Hans"/>
        </w:rPr>
        <w:t>4．</w:t>
      </w:r>
      <w:r>
        <w:rPr>
          <w:rFonts w:ascii="宋体" w:hAnsi="宋体" w:eastAsia="宋体" w:cs="宋体"/>
          <w:b w:val="0"/>
          <w:bCs/>
          <w:color w:val="auto"/>
          <w:sz w:val="21"/>
          <w:szCs w:val="21"/>
          <w:highlight w:val="none"/>
        </w:rPr>
        <w:t>对验收不合格的部分，中标人接到采购人通知后，在采购人指定的时间内到达现场，服务方式均为中标人上门服务。非采购人的人为原因而出现产品质量问题，由中标人负责包换或包退，并承担上述情况产生的一切费用。采购人验收仅限于对商品的外观或明显质量瑕疵（如：包装破损等）进行检验，验收合格并不免除中标人对于合同标的所出现内在的、不容易发现的质量问题的免费承担退货、更换等相应责任。</w:t>
      </w:r>
    </w:p>
    <w:p w14:paraId="63F1A6F7">
      <w:pPr>
        <w:pStyle w:val="99"/>
        <w:numPr>
          <w:ilvl w:val="0"/>
          <w:numId w:val="0"/>
        </w:numPr>
        <w:shd w:val="clear"/>
        <w:spacing w:line="25" w:lineRule="atLeast"/>
        <w:ind w:left="0" w:firstLine="420" w:firstLineChars="200"/>
        <w:rPr>
          <w:rFonts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Hans"/>
        </w:rPr>
        <w:t>5．</w:t>
      </w:r>
      <w:r>
        <w:rPr>
          <w:rFonts w:ascii="宋体" w:hAnsi="宋体" w:eastAsia="宋体" w:cs="宋体"/>
          <w:b w:val="0"/>
          <w:bCs/>
          <w:color w:val="auto"/>
          <w:sz w:val="21"/>
          <w:szCs w:val="21"/>
          <w:highlight w:val="none"/>
        </w:rPr>
        <w:t>如验收过程对</w:t>
      </w:r>
      <w:r>
        <w:rPr>
          <w:rFonts w:hint="eastAsia" w:ascii="宋体" w:hAnsi="宋体" w:eastAsia="宋体" w:cs="宋体"/>
          <w:b w:val="0"/>
          <w:bCs/>
          <w:color w:val="auto"/>
          <w:sz w:val="21"/>
          <w:szCs w:val="21"/>
          <w:highlight w:val="none"/>
          <w:lang w:val="en-US" w:eastAsia="zh-CN"/>
        </w:rPr>
        <w:t>货品</w:t>
      </w:r>
      <w:r>
        <w:rPr>
          <w:rFonts w:ascii="宋体" w:hAnsi="宋体" w:eastAsia="宋体" w:cs="宋体"/>
          <w:b w:val="0"/>
          <w:bCs/>
          <w:color w:val="auto"/>
          <w:sz w:val="21"/>
          <w:szCs w:val="21"/>
          <w:highlight w:val="none"/>
        </w:rPr>
        <w:t>质量存在争议的，采购人及中标人双方可委托有资质的第三方检测机构对</w:t>
      </w:r>
      <w:r>
        <w:rPr>
          <w:rFonts w:hint="eastAsia" w:ascii="宋体" w:hAnsi="宋体" w:eastAsia="宋体" w:cs="宋体"/>
          <w:b w:val="0"/>
          <w:bCs/>
          <w:color w:val="auto"/>
          <w:sz w:val="21"/>
          <w:szCs w:val="21"/>
          <w:highlight w:val="none"/>
          <w:lang w:val="en-US" w:eastAsia="zh-CN"/>
        </w:rPr>
        <w:t>货品</w:t>
      </w:r>
      <w:r>
        <w:rPr>
          <w:rFonts w:ascii="宋体" w:hAnsi="宋体" w:eastAsia="宋体" w:cs="宋体"/>
          <w:b w:val="0"/>
          <w:bCs/>
          <w:color w:val="auto"/>
          <w:sz w:val="21"/>
          <w:szCs w:val="21"/>
          <w:highlight w:val="none"/>
        </w:rPr>
        <w:t>进行检测，相关检测费用由中标人承担。</w:t>
      </w:r>
    </w:p>
    <w:p w14:paraId="764CA9EB">
      <w:pPr>
        <w:pStyle w:val="99"/>
        <w:numPr>
          <w:ilvl w:val="0"/>
          <w:numId w:val="0"/>
        </w:numPr>
        <w:shd w:val="clear"/>
        <w:spacing w:line="25" w:lineRule="atLeast"/>
        <w:ind w:left="0" w:firstLine="420" w:firstLineChars="200"/>
        <w:jc w:val="both"/>
        <w:rPr>
          <w:rFonts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Hans"/>
        </w:rPr>
        <w:t>6．</w:t>
      </w:r>
      <w:r>
        <w:rPr>
          <w:rFonts w:ascii="宋体" w:hAnsi="宋体" w:eastAsia="宋体" w:cs="宋体"/>
          <w:b w:val="0"/>
          <w:bCs/>
          <w:color w:val="auto"/>
          <w:sz w:val="21"/>
          <w:szCs w:val="21"/>
          <w:highlight w:val="none"/>
        </w:rPr>
        <w:t>若任何一批合同标的数量、质量不符合以上验收要求的，采购人有权随时退货，并拒绝验收。个别数量、质量、规格不符的合同标的，中标人必须在采购人要求退、换之日起 3 个工作日内退、换。采购人要求退、换之日起，中标人需承担合同标的的退、换运输费用，并且在采购人指定时间内将合同标的从配送地点运离，否则中标人将自行承担合同标的的损毁、灭失风险。</w:t>
      </w:r>
    </w:p>
    <w:p w14:paraId="3140126F">
      <w:pPr>
        <w:shd w:val="clear"/>
        <w:rPr>
          <w:rFonts w:hint="eastAsia" w:hAnsi="宋体" w:eastAsia="宋体" w:cstheme="minorBidi"/>
          <w:b/>
          <w:bCs/>
          <w:color w:val="auto"/>
          <w:sz w:val="21"/>
          <w:szCs w:val="21"/>
          <w:highlight w:val="none"/>
          <w:lang w:val="en-US" w:eastAsia="zh-CN"/>
        </w:rPr>
      </w:pPr>
      <w:r>
        <w:rPr>
          <w:rFonts w:hint="eastAsia" w:hAnsi="宋体" w:eastAsia="宋体" w:cstheme="minorBidi"/>
          <w:b/>
          <w:bCs/>
          <w:color w:val="auto"/>
          <w:sz w:val="21"/>
          <w:szCs w:val="21"/>
          <w:highlight w:val="none"/>
          <w:lang w:val="en-US" w:eastAsia="zh-CN"/>
        </w:rPr>
        <w:br w:type="page"/>
      </w:r>
    </w:p>
    <w:p w14:paraId="5181910F">
      <w:pPr>
        <w:pStyle w:val="13"/>
        <w:shd w:val="clear"/>
        <w:rPr>
          <w:rFonts w:hint="default" w:cs="宋体"/>
          <w:color w:val="auto"/>
          <w:sz w:val="24"/>
          <w:szCs w:val="22"/>
          <w:highlight w:val="none"/>
          <w:lang w:val="en-US" w:eastAsia="zh-CN"/>
        </w:rPr>
      </w:pPr>
    </w:p>
    <w:bookmarkEnd w:id="64"/>
    <w:bookmarkEnd w:id="65"/>
    <w:bookmarkEnd w:id="66"/>
    <w:bookmarkEnd w:id="67"/>
    <w:bookmarkEnd w:id="68"/>
    <w:bookmarkEnd w:id="69"/>
    <w:bookmarkEnd w:id="70"/>
    <w:bookmarkEnd w:id="71"/>
    <w:p w14:paraId="5CC2C787">
      <w:pPr>
        <w:pStyle w:val="3"/>
        <w:shd w:val="clear"/>
        <w:spacing w:before="0" w:after="0" w:line="240" w:lineRule="auto"/>
        <w:rPr>
          <w:rFonts w:hint="eastAsia" w:ascii="宋体" w:hAnsi="宋体" w:eastAsia="宋体" w:cs="宋体"/>
          <w:color w:val="auto"/>
          <w:sz w:val="24"/>
          <w:szCs w:val="24"/>
          <w:highlight w:val="none"/>
        </w:rPr>
      </w:pPr>
      <w:bookmarkStart w:id="74" w:name="_Toc15052"/>
      <w:bookmarkStart w:id="75" w:name="_Toc22106"/>
      <w:bookmarkStart w:id="76" w:name="_Toc17816"/>
      <w:bookmarkStart w:id="77" w:name="_Toc7581"/>
      <w:bookmarkStart w:id="78" w:name="_Toc1394"/>
      <w:bookmarkStart w:id="79" w:name="_Toc31595"/>
      <w:bookmarkStart w:id="80" w:name="_Toc18474"/>
      <w:bookmarkStart w:id="81" w:name="_Toc17026"/>
      <w:r>
        <w:rPr>
          <w:rFonts w:hint="eastAsia" w:ascii="宋体" w:hAnsi="宋体" w:eastAsia="宋体" w:cs="宋体"/>
          <w:color w:val="auto"/>
          <w:sz w:val="28"/>
          <w:szCs w:val="28"/>
          <w:highlight w:val="none"/>
        </w:rPr>
        <w:t>第四部分投标人须知</w:t>
      </w:r>
      <w:bookmarkEnd w:id="74"/>
      <w:bookmarkEnd w:id="75"/>
      <w:bookmarkEnd w:id="76"/>
      <w:bookmarkEnd w:id="77"/>
      <w:bookmarkEnd w:id="78"/>
      <w:bookmarkEnd w:id="79"/>
      <w:bookmarkEnd w:id="80"/>
      <w:bookmarkEnd w:id="81"/>
    </w:p>
    <w:p w14:paraId="13E424AB">
      <w:pPr>
        <w:pStyle w:val="4"/>
        <w:numPr>
          <w:ilvl w:val="0"/>
          <w:numId w:val="2"/>
        </w:numPr>
        <w:shd w:val="clear"/>
        <w:spacing w:before="0" w:after="0" w:line="480" w:lineRule="auto"/>
        <w:jc w:val="center"/>
        <w:rPr>
          <w:rFonts w:hint="eastAsia" w:ascii="宋体" w:hAnsi="宋体" w:eastAsia="宋体" w:cs="宋体"/>
          <w:color w:val="auto"/>
          <w:highlight w:val="none"/>
        </w:rPr>
      </w:pPr>
      <w:bookmarkStart w:id="82" w:name="_Toc24461"/>
      <w:bookmarkStart w:id="83" w:name="_Toc21570"/>
      <w:bookmarkStart w:id="84" w:name="_Toc25184"/>
      <w:bookmarkStart w:id="85" w:name="_Toc27979"/>
      <w:bookmarkStart w:id="86" w:name="_Toc5685"/>
      <w:bookmarkStart w:id="87" w:name="_Toc25201"/>
      <w:bookmarkStart w:id="88" w:name="_Toc6601"/>
      <w:bookmarkStart w:id="89" w:name="_Toc13316"/>
      <w:r>
        <w:rPr>
          <w:rFonts w:hint="eastAsia" w:ascii="宋体" w:hAnsi="宋体" w:eastAsia="宋体" w:cs="宋体"/>
          <w:color w:val="auto"/>
          <w:highlight w:val="none"/>
        </w:rPr>
        <w:t>说明</w:t>
      </w:r>
      <w:bookmarkEnd w:id="82"/>
      <w:bookmarkEnd w:id="83"/>
      <w:bookmarkEnd w:id="84"/>
      <w:bookmarkEnd w:id="85"/>
      <w:bookmarkEnd w:id="86"/>
      <w:bookmarkEnd w:id="87"/>
      <w:bookmarkEnd w:id="88"/>
      <w:bookmarkEnd w:id="89"/>
    </w:p>
    <w:p w14:paraId="4CA4D654">
      <w:pPr>
        <w:pStyle w:val="5"/>
        <w:widowControl w:val="0"/>
        <w:numPr>
          <w:ilvl w:val="0"/>
          <w:numId w:val="3"/>
        </w:numPr>
        <w:shd w:val="clear"/>
        <w:overflowPunct w:val="0"/>
        <w:rPr>
          <w:rFonts w:hint="eastAsia" w:ascii="宋体" w:hAnsi="宋体" w:eastAsia="宋体" w:cs="宋体"/>
          <w:color w:val="auto"/>
          <w:sz w:val="21"/>
          <w:szCs w:val="21"/>
          <w:highlight w:val="none"/>
        </w:rPr>
      </w:pPr>
      <w:bookmarkStart w:id="90" w:name="_Toc18690"/>
      <w:bookmarkStart w:id="91" w:name="_Toc6284"/>
      <w:bookmarkStart w:id="92" w:name="_Toc16836"/>
      <w:bookmarkStart w:id="93" w:name="_Toc13091"/>
      <w:bookmarkStart w:id="94" w:name="_Toc8600"/>
      <w:bookmarkStart w:id="95" w:name="_Toc2170"/>
      <w:bookmarkStart w:id="96" w:name="_Toc32453"/>
      <w:bookmarkStart w:id="97" w:name="_Toc3534"/>
      <w:bookmarkStart w:id="98" w:name="_Toc1833"/>
      <w:r>
        <w:rPr>
          <w:rFonts w:hint="eastAsia" w:ascii="宋体" w:hAnsi="宋体" w:eastAsia="宋体" w:cs="宋体"/>
          <w:color w:val="auto"/>
          <w:sz w:val="21"/>
          <w:szCs w:val="21"/>
          <w:highlight w:val="none"/>
        </w:rPr>
        <w:t>适用范围</w:t>
      </w:r>
      <w:bookmarkEnd w:id="90"/>
      <w:bookmarkEnd w:id="91"/>
      <w:bookmarkEnd w:id="92"/>
      <w:bookmarkEnd w:id="93"/>
      <w:bookmarkEnd w:id="94"/>
      <w:bookmarkEnd w:id="95"/>
      <w:bookmarkEnd w:id="96"/>
      <w:bookmarkEnd w:id="97"/>
      <w:bookmarkEnd w:id="98"/>
    </w:p>
    <w:p w14:paraId="1FF2E9AC">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采购范围：见本文件《用户需求书》</w:t>
      </w:r>
    </w:p>
    <w:p w14:paraId="6B641E58">
      <w:pPr>
        <w:shd w:val="clear"/>
        <w:rPr>
          <w:rFonts w:hint="eastAsia" w:ascii="宋体" w:hAnsi="宋体" w:eastAsia="宋体" w:cs="宋体"/>
          <w:color w:val="auto"/>
          <w:highlight w:val="none"/>
        </w:rPr>
      </w:pPr>
    </w:p>
    <w:p w14:paraId="6381F371">
      <w:pPr>
        <w:pStyle w:val="5"/>
        <w:widowControl w:val="0"/>
        <w:numPr>
          <w:ilvl w:val="0"/>
          <w:numId w:val="3"/>
        </w:numPr>
        <w:shd w:val="clear"/>
        <w:overflowPunct w:val="0"/>
        <w:rPr>
          <w:rFonts w:hint="eastAsia" w:ascii="宋体" w:hAnsi="宋体" w:eastAsia="宋体" w:cs="宋体"/>
          <w:color w:val="auto"/>
          <w:sz w:val="21"/>
          <w:szCs w:val="21"/>
          <w:highlight w:val="none"/>
        </w:rPr>
      </w:pPr>
      <w:bookmarkStart w:id="99" w:name="_Toc20286"/>
      <w:bookmarkStart w:id="100" w:name="_Toc6530"/>
      <w:bookmarkStart w:id="101" w:name="_Toc25732"/>
      <w:bookmarkStart w:id="102" w:name="_Toc28435"/>
      <w:bookmarkStart w:id="103" w:name="_Toc303084246"/>
      <w:bookmarkStart w:id="104" w:name="_Toc6840"/>
      <w:bookmarkStart w:id="105" w:name="_Toc298847174"/>
      <w:bookmarkStart w:id="106" w:name="_Toc382049092"/>
      <w:bookmarkStart w:id="107" w:name="_Toc27182"/>
      <w:bookmarkStart w:id="108" w:name="_Toc5533"/>
      <w:bookmarkStart w:id="109" w:name="_Toc1530"/>
      <w:bookmarkStart w:id="110" w:name="_Toc28198"/>
      <w:bookmarkStart w:id="111" w:name="_Toc4756"/>
      <w:r>
        <w:rPr>
          <w:rFonts w:hint="eastAsia" w:ascii="宋体" w:hAnsi="宋体" w:eastAsia="宋体" w:cs="宋体"/>
          <w:color w:val="auto"/>
          <w:sz w:val="21"/>
          <w:szCs w:val="21"/>
          <w:highlight w:val="none"/>
        </w:rPr>
        <w:t>定义</w:t>
      </w:r>
      <w:bookmarkEnd w:id="99"/>
      <w:bookmarkEnd w:id="100"/>
      <w:bookmarkEnd w:id="101"/>
      <w:bookmarkEnd w:id="102"/>
      <w:bookmarkEnd w:id="103"/>
      <w:bookmarkEnd w:id="104"/>
      <w:bookmarkEnd w:id="105"/>
      <w:bookmarkEnd w:id="106"/>
      <w:bookmarkEnd w:id="107"/>
      <w:bookmarkEnd w:id="108"/>
      <w:bookmarkEnd w:id="109"/>
      <w:bookmarkEnd w:id="110"/>
      <w:bookmarkEnd w:id="111"/>
    </w:p>
    <w:p w14:paraId="40BE577A">
      <w:pPr>
        <w:pStyle w:val="47"/>
        <w:widowControl w:val="0"/>
        <w:shd w:val="clear"/>
        <w:adjustRightInd/>
        <w:snapToGrid/>
        <w:ind w:left="425" w:hanging="425" w:firstLineChars="0"/>
        <w:jc w:val="both"/>
        <w:rPr>
          <w:rFonts w:hint="eastAsia" w:ascii="宋体" w:hAnsi="宋体" w:eastAsia="宋体" w:cs="宋体"/>
          <w:vanish/>
          <w:color w:val="auto"/>
          <w:szCs w:val="21"/>
          <w:highlight w:val="none"/>
        </w:rPr>
      </w:pPr>
    </w:p>
    <w:p w14:paraId="26B16F03">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采购人：见投标邀请书。</w:t>
      </w:r>
    </w:p>
    <w:p w14:paraId="0FD7A4E5">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投标人：响应采购并且符合采购文件规定资格条件和参加投标竞争的法人、其他组织或者自然人。</w:t>
      </w:r>
    </w:p>
    <w:p w14:paraId="4054A11D">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法人：法人是依法在国内进行注册并具有民事权利能力和民事行为能力，依法独立享有民事权利和承担民事义务的组织。</w:t>
      </w:r>
    </w:p>
    <w:p w14:paraId="07CFDBAC">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中标人：指经评标委员会评审推荐、采购人确认的获得本项目中标资格的投标人。</w:t>
      </w:r>
    </w:p>
    <w:p w14:paraId="3BEF4DA7">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采购代理机构：见投标邀请书。</w:t>
      </w:r>
    </w:p>
    <w:p w14:paraId="13BB9BAC">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评标委员会：评标委员会是依据相关规定组建的专门负责本次采购其评标工作的临时性机构。</w:t>
      </w:r>
    </w:p>
    <w:p w14:paraId="2FB38D57">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合同：指由本次采购所产生的合同或合约文件。</w:t>
      </w:r>
    </w:p>
    <w:p w14:paraId="6BACDBAA">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公章：公章是指经过正规的法定程序并备案的法人公章与投标专用章。（投标人如在投标文件中使用“投标专用章”，应提供法定代表人签字或加盖公章说明该“投标专用章”与法人公章具备同等效力的证明文件，且投标当天应携带相关原件到现场，以供核查。因投标文件未提供相关手续复印件和无法核查投标专用章的真实性而导致的后果由投标人自行承担。）</w:t>
      </w:r>
    </w:p>
    <w:p w14:paraId="2FCDFDF6">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时间：本文件规定按日计算期间的，开始当天不计入，从次日开始计算。期限的最后一日是国家法定节假日的，顺延到节假日后的次日为期限的最后一日。</w:t>
      </w:r>
    </w:p>
    <w:p w14:paraId="3D5ECCFC">
      <w:pPr>
        <w:shd w:val="clear"/>
        <w:rPr>
          <w:rFonts w:hint="eastAsia" w:ascii="宋体" w:hAnsi="宋体" w:eastAsia="宋体" w:cs="宋体"/>
          <w:color w:val="auto"/>
          <w:highlight w:val="none"/>
        </w:rPr>
      </w:pPr>
    </w:p>
    <w:p w14:paraId="6084FB58">
      <w:pPr>
        <w:pStyle w:val="5"/>
        <w:widowControl w:val="0"/>
        <w:numPr>
          <w:ilvl w:val="0"/>
          <w:numId w:val="3"/>
        </w:numPr>
        <w:shd w:val="clear"/>
        <w:overflowPunct w:val="0"/>
        <w:rPr>
          <w:rFonts w:hint="eastAsia" w:ascii="宋体" w:hAnsi="宋体" w:eastAsia="宋体" w:cs="宋体"/>
          <w:color w:val="auto"/>
          <w:sz w:val="21"/>
          <w:szCs w:val="21"/>
          <w:highlight w:val="none"/>
        </w:rPr>
      </w:pPr>
      <w:bookmarkStart w:id="112" w:name="_Toc2348"/>
      <w:bookmarkStart w:id="113" w:name="_Toc18006"/>
      <w:bookmarkStart w:id="114" w:name="_Toc27954"/>
      <w:bookmarkStart w:id="115" w:name="_Toc10625"/>
      <w:bookmarkStart w:id="116" w:name="_Toc28222"/>
      <w:bookmarkStart w:id="117" w:name="_Toc6314"/>
      <w:bookmarkStart w:id="118" w:name="_Toc5686"/>
      <w:bookmarkStart w:id="119" w:name="_Toc11624"/>
      <w:bookmarkStart w:id="120" w:name="_Toc10667"/>
      <w:r>
        <w:rPr>
          <w:rFonts w:hint="eastAsia" w:ascii="宋体" w:hAnsi="宋体" w:eastAsia="宋体" w:cs="宋体"/>
          <w:color w:val="auto"/>
          <w:sz w:val="21"/>
          <w:szCs w:val="21"/>
          <w:highlight w:val="none"/>
        </w:rPr>
        <w:t>货物和服务</w:t>
      </w:r>
      <w:bookmarkEnd w:id="112"/>
      <w:bookmarkEnd w:id="113"/>
      <w:bookmarkEnd w:id="114"/>
      <w:bookmarkEnd w:id="115"/>
      <w:bookmarkEnd w:id="116"/>
      <w:bookmarkEnd w:id="117"/>
      <w:bookmarkEnd w:id="118"/>
      <w:bookmarkEnd w:id="119"/>
      <w:bookmarkEnd w:id="120"/>
    </w:p>
    <w:p w14:paraId="2DE01487">
      <w:pPr>
        <w:pStyle w:val="47"/>
        <w:widowControl w:val="0"/>
        <w:shd w:val="clear"/>
        <w:adjustRightInd/>
        <w:snapToGrid/>
        <w:ind w:left="425" w:hanging="425" w:firstLineChars="0"/>
        <w:jc w:val="both"/>
        <w:rPr>
          <w:rFonts w:hint="eastAsia" w:ascii="宋体" w:hAnsi="宋体" w:eastAsia="宋体" w:cs="宋体"/>
          <w:vanish/>
          <w:color w:val="auto"/>
          <w:szCs w:val="21"/>
          <w:highlight w:val="none"/>
        </w:rPr>
      </w:pPr>
    </w:p>
    <w:p w14:paraId="2A00DAEE">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货物是指各种形态和种类的物品，包括原材料、燃料、设备、产品等。</w:t>
      </w:r>
    </w:p>
    <w:p w14:paraId="0E50F6BF">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服务是指除货物和工程以外的其他采购对象。</w:t>
      </w:r>
    </w:p>
    <w:p w14:paraId="5EE40680">
      <w:pPr>
        <w:shd w:val="clear"/>
        <w:rPr>
          <w:rFonts w:hint="eastAsia" w:ascii="宋体" w:hAnsi="宋体" w:eastAsia="宋体" w:cs="宋体"/>
          <w:color w:val="auto"/>
          <w:highlight w:val="none"/>
        </w:rPr>
      </w:pPr>
    </w:p>
    <w:p w14:paraId="71DCC54F">
      <w:pPr>
        <w:pStyle w:val="5"/>
        <w:widowControl w:val="0"/>
        <w:numPr>
          <w:ilvl w:val="0"/>
          <w:numId w:val="3"/>
        </w:numPr>
        <w:shd w:val="clear"/>
        <w:overflowPunct w:val="0"/>
        <w:rPr>
          <w:rFonts w:hint="eastAsia" w:ascii="宋体" w:hAnsi="宋体" w:eastAsia="宋体" w:cs="宋体"/>
          <w:color w:val="auto"/>
          <w:sz w:val="21"/>
          <w:szCs w:val="21"/>
          <w:highlight w:val="none"/>
        </w:rPr>
      </w:pPr>
      <w:bookmarkStart w:id="121" w:name="_Toc24448"/>
      <w:bookmarkStart w:id="122" w:name="_Toc31085"/>
      <w:bookmarkStart w:id="123" w:name="_Toc15719"/>
      <w:bookmarkStart w:id="124" w:name="_Toc5009"/>
      <w:bookmarkStart w:id="125" w:name="_Toc22592"/>
      <w:bookmarkStart w:id="126" w:name="_Toc21202"/>
      <w:bookmarkStart w:id="127" w:name="_Toc1673"/>
      <w:bookmarkStart w:id="128" w:name="_Toc20492"/>
      <w:bookmarkStart w:id="129" w:name="_Toc24517"/>
      <w:r>
        <w:rPr>
          <w:rFonts w:hint="eastAsia" w:ascii="宋体" w:hAnsi="宋体" w:eastAsia="宋体" w:cs="宋体"/>
          <w:color w:val="auto"/>
          <w:sz w:val="21"/>
          <w:szCs w:val="21"/>
          <w:highlight w:val="none"/>
        </w:rPr>
        <w:t>投标费用</w:t>
      </w:r>
      <w:bookmarkEnd w:id="121"/>
      <w:bookmarkEnd w:id="122"/>
      <w:bookmarkEnd w:id="123"/>
      <w:bookmarkEnd w:id="124"/>
      <w:bookmarkEnd w:id="125"/>
      <w:bookmarkEnd w:id="126"/>
      <w:bookmarkEnd w:id="127"/>
      <w:bookmarkEnd w:id="128"/>
      <w:bookmarkEnd w:id="129"/>
    </w:p>
    <w:p w14:paraId="1420868D">
      <w:pPr>
        <w:pStyle w:val="47"/>
        <w:widowControl w:val="0"/>
        <w:shd w:val="clear"/>
        <w:adjustRightInd/>
        <w:snapToGrid/>
        <w:ind w:left="425" w:hanging="425" w:firstLineChars="0"/>
        <w:jc w:val="both"/>
        <w:rPr>
          <w:rFonts w:hint="eastAsia" w:ascii="宋体" w:hAnsi="宋体" w:eastAsia="宋体" w:cs="宋体"/>
          <w:vanish/>
          <w:color w:val="auto"/>
          <w:szCs w:val="21"/>
          <w:highlight w:val="none"/>
        </w:rPr>
      </w:pPr>
    </w:p>
    <w:p w14:paraId="6393AD5E">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投标人应承担所有与编写投标文件和参加投标有关的自身的所有费用，不论投标的结果如何，采购代理机构和采购人在任何情况下均无义务和责任承担这些费用。</w:t>
      </w:r>
    </w:p>
    <w:p w14:paraId="3ED98C55">
      <w:pPr>
        <w:widowControl w:val="0"/>
        <w:shd w:val="clear"/>
        <w:adjustRightInd/>
        <w:snapToGrid/>
        <w:jc w:val="both"/>
        <w:rPr>
          <w:rFonts w:hint="eastAsia" w:ascii="宋体" w:hAnsi="宋体" w:eastAsia="宋体" w:cs="宋体"/>
          <w:color w:val="auto"/>
          <w:szCs w:val="21"/>
          <w:highlight w:val="none"/>
        </w:rPr>
      </w:pPr>
    </w:p>
    <w:p w14:paraId="0AB8735E">
      <w:pPr>
        <w:pStyle w:val="5"/>
        <w:widowControl w:val="0"/>
        <w:numPr>
          <w:ilvl w:val="0"/>
          <w:numId w:val="3"/>
        </w:numPr>
        <w:shd w:val="clear"/>
        <w:overflowPunct w:val="0"/>
        <w:rPr>
          <w:rFonts w:hint="eastAsia" w:ascii="宋体" w:hAnsi="宋体" w:eastAsia="宋体" w:cs="宋体"/>
          <w:color w:val="auto"/>
          <w:sz w:val="21"/>
          <w:szCs w:val="21"/>
          <w:highlight w:val="none"/>
        </w:rPr>
      </w:pPr>
      <w:bookmarkStart w:id="130" w:name="_Toc21477"/>
      <w:bookmarkStart w:id="131" w:name="_Toc24656"/>
      <w:bookmarkStart w:id="132" w:name="_Toc16416"/>
      <w:bookmarkStart w:id="133" w:name="_Toc25585"/>
      <w:bookmarkStart w:id="134" w:name="_Toc6180"/>
      <w:bookmarkStart w:id="135" w:name="_Toc32310"/>
      <w:bookmarkStart w:id="136" w:name="_Toc28625"/>
      <w:bookmarkStart w:id="137" w:name="_Toc7235"/>
      <w:bookmarkStart w:id="138" w:name="_Toc12968"/>
      <w:r>
        <w:rPr>
          <w:rFonts w:hint="eastAsia" w:ascii="宋体" w:hAnsi="宋体" w:eastAsia="宋体" w:cs="宋体"/>
          <w:color w:val="auto"/>
          <w:sz w:val="21"/>
          <w:szCs w:val="21"/>
          <w:highlight w:val="none"/>
        </w:rPr>
        <w:t>知识产权</w:t>
      </w:r>
      <w:bookmarkEnd w:id="130"/>
      <w:bookmarkEnd w:id="131"/>
      <w:bookmarkEnd w:id="132"/>
      <w:bookmarkEnd w:id="133"/>
      <w:bookmarkEnd w:id="134"/>
      <w:bookmarkEnd w:id="135"/>
      <w:bookmarkEnd w:id="136"/>
      <w:bookmarkEnd w:id="137"/>
      <w:bookmarkEnd w:id="138"/>
    </w:p>
    <w:p w14:paraId="220A8C29">
      <w:pPr>
        <w:pStyle w:val="47"/>
        <w:widowControl w:val="0"/>
        <w:shd w:val="clear"/>
        <w:adjustRightInd/>
        <w:snapToGrid/>
        <w:ind w:left="425" w:hanging="425" w:firstLineChars="0"/>
        <w:jc w:val="both"/>
        <w:rPr>
          <w:rFonts w:hint="eastAsia" w:ascii="宋体" w:hAnsi="宋体" w:eastAsia="宋体" w:cs="宋体"/>
          <w:vanish/>
          <w:color w:val="auto"/>
          <w:szCs w:val="21"/>
          <w:highlight w:val="none"/>
        </w:rPr>
      </w:pPr>
    </w:p>
    <w:p w14:paraId="719706F3">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应保证在本项目使用的任何产品和服务（包括部分使用）时，不会产生因第三方提出侵犯其专利权、商标权或其它知识产权而引起的法律和经济纠纷，如因专利权、商标权或其它知识产权而引起法律和经济纠纷，由投标人承担所有相关责任。</w:t>
      </w:r>
    </w:p>
    <w:p w14:paraId="2A623323">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采购人享有本项目实施过程中产生的知识成果及知识产权。</w:t>
      </w:r>
    </w:p>
    <w:p w14:paraId="56F3AC5D">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投标人如欲在项目实施过程中采用自有知识成果，需在投标文件中声明，并提供相关知识产权证明文件。使用该知识成果后，投标人需提供开发接口和开发手册等技术文档。</w:t>
      </w:r>
    </w:p>
    <w:p w14:paraId="57275308">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采购货物为计算机办公设备时，投标人提供的产品必须是预装正版操作系统软件的计算机产品。</w:t>
      </w:r>
    </w:p>
    <w:p w14:paraId="49D2EAD8">
      <w:pPr>
        <w:widowControl w:val="0"/>
        <w:shd w:val="clear"/>
        <w:adjustRightInd/>
        <w:snapToGrid/>
        <w:ind w:left="567"/>
        <w:jc w:val="both"/>
        <w:rPr>
          <w:rFonts w:hint="eastAsia" w:ascii="宋体" w:hAnsi="宋体" w:eastAsia="宋体" w:cs="宋体"/>
          <w:color w:val="auto"/>
          <w:szCs w:val="21"/>
          <w:highlight w:val="none"/>
        </w:rPr>
      </w:pPr>
    </w:p>
    <w:p w14:paraId="5EF1A32A">
      <w:pPr>
        <w:pStyle w:val="5"/>
        <w:widowControl w:val="0"/>
        <w:numPr>
          <w:ilvl w:val="0"/>
          <w:numId w:val="3"/>
        </w:numPr>
        <w:shd w:val="clear"/>
        <w:overflowPunct w:val="0"/>
        <w:rPr>
          <w:rFonts w:hint="eastAsia" w:ascii="宋体" w:hAnsi="宋体" w:eastAsia="宋体" w:cs="宋体"/>
          <w:color w:val="auto"/>
          <w:sz w:val="21"/>
          <w:szCs w:val="21"/>
          <w:highlight w:val="none"/>
        </w:rPr>
      </w:pPr>
      <w:bookmarkStart w:id="139" w:name="_Toc25122"/>
      <w:bookmarkStart w:id="140" w:name="_Toc14696"/>
      <w:bookmarkStart w:id="141" w:name="_Toc21013"/>
      <w:bookmarkStart w:id="142" w:name="_Toc20925"/>
      <w:bookmarkStart w:id="143" w:name="_Toc3121"/>
      <w:bookmarkStart w:id="144" w:name="_Toc8096"/>
      <w:bookmarkStart w:id="145" w:name="_Toc2352"/>
      <w:bookmarkStart w:id="146" w:name="_Toc178"/>
      <w:bookmarkStart w:id="147" w:name="_Toc20744"/>
      <w:r>
        <w:rPr>
          <w:rFonts w:hint="eastAsia" w:ascii="宋体" w:hAnsi="宋体" w:eastAsia="宋体" w:cs="宋体"/>
          <w:color w:val="auto"/>
          <w:sz w:val="21"/>
          <w:szCs w:val="21"/>
          <w:highlight w:val="none"/>
        </w:rPr>
        <w:t>关于联合体投标</w:t>
      </w:r>
      <w:bookmarkEnd w:id="139"/>
      <w:bookmarkEnd w:id="140"/>
      <w:bookmarkEnd w:id="141"/>
      <w:bookmarkEnd w:id="142"/>
      <w:bookmarkEnd w:id="143"/>
      <w:bookmarkEnd w:id="144"/>
      <w:bookmarkEnd w:id="145"/>
      <w:bookmarkEnd w:id="146"/>
      <w:bookmarkEnd w:id="147"/>
    </w:p>
    <w:p w14:paraId="395497EF">
      <w:pPr>
        <w:pStyle w:val="47"/>
        <w:widowControl w:val="0"/>
        <w:shd w:val="clear"/>
        <w:adjustRightInd/>
        <w:snapToGrid/>
        <w:ind w:left="425" w:hanging="425" w:firstLineChars="0"/>
        <w:jc w:val="both"/>
        <w:rPr>
          <w:rFonts w:hint="eastAsia" w:ascii="宋体" w:hAnsi="宋体" w:eastAsia="宋体" w:cs="宋体"/>
          <w:vanish/>
          <w:color w:val="auto"/>
          <w:szCs w:val="21"/>
          <w:highlight w:val="none"/>
        </w:rPr>
      </w:pPr>
    </w:p>
    <w:p w14:paraId="5685FB6B">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对接受联合体投标的项目：两个以上的自然人、法人或者其他组织可以组成一个联合体，以一个投标人的身份共同参加采购活动。</w:t>
      </w:r>
    </w:p>
    <w:p w14:paraId="4EFAA0F8">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以联合体形式参与项目的</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在领购采购文件时，应提供所有联合体组成成员的营业执照复印件，并加盖各联合体组成成员的公章。</w:t>
      </w:r>
    </w:p>
    <w:p w14:paraId="7EDFAEAE">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联合体各方均应具有独立承担民事责任能力的法人或其他组织。</w:t>
      </w:r>
    </w:p>
    <w:p w14:paraId="6132D9E1">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两个以上的自然人、法人或者其他组织组成一个联合体，以一个</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的身份共同参加采购活动的，应当对所有联合体成员进行信用记录查询，联合体成员存在不良信用记录的，视同联合体存在不良信用记录。</w:t>
      </w:r>
    </w:p>
    <w:p w14:paraId="70D044E0">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采购文件对投标人资格条件有规定的，联合体各方均应当具备规定的相应资格条件。由同一专业的单位组成的联合体，按照资质等级较低的单位确定资质等级。</w:t>
      </w:r>
    </w:p>
    <w:p w14:paraId="71D3D1A5">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联合体各方之间应当签订共同投标协议并在投标文件内提交，明确约定联合体各方承担的工作和相应的责任。联合体各方签订共同投标协议后，不得再以自己名义单独在同一项目中投标，也不得组成新的联合体参加同一项目投标。</w:t>
      </w:r>
    </w:p>
    <w:p w14:paraId="2739B48C">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为联合体的，可以由联合体中的任意一方交纳保证金，其交纳的保证金对联合体各方均具有约束力。</w:t>
      </w:r>
    </w:p>
    <w:p w14:paraId="3CB05A40">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除联合体协议明确授权盖章单位外，联合体投标时投标文件中所有要求盖章的地方均须加盖联合体所有组成成员的公章，否则该处盖章无效。</w:t>
      </w:r>
    </w:p>
    <w:p w14:paraId="76BABE79">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联合体进行评分时，业绩、奖项等的认定和评分根据共同投标协议约定的各方承担的工作和相应责任，确定一方打分，不累加打分；评审标准不明确或难以明确以哪一方计算评分情况时，则按主体方情况评分。</w:t>
      </w:r>
    </w:p>
    <w:p w14:paraId="3F3F1BC2">
      <w:pPr>
        <w:widowControl w:val="0"/>
        <w:shd w:val="clear"/>
        <w:adjustRightInd/>
        <w:snapToGrid/>
        <w:ind w:left="567"/>
        <w:jc w:val="both"/>
        <w:rPr>
          <w:rFonts w:hint="eastAsia" w:ascii="宋体" w:hAnsi="宋体" w:eastAsia="宋体" w:cs="宋体"/>
          <w:color w:val="auto"/>
          <w:szCs w:val="21"/>
          <w:highlight w:val="none"/>
        </w:rPr>
      </w:pPr>
    </w:p>
    <w:p w14:paraId="5F08C3E9">
      <w:pPr>
        <w:pStyle w:val="5"/>
        <w:widowControl w:val="0"/>
        <w:numPr>
          <w:ilvl w:val="0"/>
          <w:numId w:val="3"/>
        </w:numPr>
        <w:shd w:val="clear"/>
        <w:overflowPunct w:val="0"/>
        <w:rPr>
          <w:rFonts w:hint="eastAsia" w:ascii="宋体" w:hAnsi="宋体" w:eastAsia="宋体" w:cs="宋体"/>
          <w:color w:val="auto"/>
          <w:sz w:val="21"/>
          <w:szCs w:val="21"/>
          <w:highlight w:val="none"/>
        </w:rPr>
      </w:pPr>
      <w:bookmarkStart w:id="148" w:name="_Toc3572"/>
      <w:bookmarkStart w:id="149" w:name="_Toc10447"/>
      <w:bookmarkStart w:id="150" w:name="_Toc12650"/>
      <w:bookmarkStart w:id="151" w:name="_Toc6320"/>
      <w:bookmarkStart w:id="152" w:name="_Toc9909"/>
      <w:bookmarkStart w:id="153" w:name="_Toc10603"/>
      <w:bookmarkStart w:id="154" w:name="_Toc20829"/>
      <w:bookmarkStart w:id="155" w:name="_Toc6210"/>
      <w:bookmarkStart w:id="156" w:name="_Toc11549"/>
      <w:r>
        <w:rPr>
          <w:rFonts w:hint="eastAsia" w:ascii="宋体" w:hAnsi="宋体" w:eastAsia="宋体" w:cs="宋体"/>
          <w:color w:val="auto"/>
          <w:sz w:val="21"/>
          <w:szCs w:val="21"/>
          <w:highlight w:val="none"/>
        </w:rPr>
        <w:t>关于分支机构投标</w:t>
      </w:r>
      <w:bookmarkEnd w:id="148"/>
      <w:bookmarkEnd w:id="149"/>
      <w:bookmarkEnd w:id="150"/>
      <w:bookmarkEnd w:id="151"/>
      <w:bookmarkEnd w:id="152"/>
      <w:bookmarkEnd w:id="153"/>
      <w:bookmarkEnd w:id="154"/>
      <w:bookmarkEnd w:id="155"/>
      <w:bookmarkEnd w:id="156"/>
    </w:p>
    <w:p w14:paraId="744D4D79">
      <w:pPr>
        <w:pStyle w:val="47"/>
        <w:widowControl w:val="0"/>
        <w:shd w:val="clear"/>
        <w:adjustRightInd/>
        <w:snapToGrid/>
        <w:ind w:left="425" w:hanging="425" w:firstLineChars="0"/>
        <w:jc w:val="both"/>
        <w:rPr>
          <w:rFonts w:hint="eastAsia" w:ascii="宋体" w:hAnsi="宋体" w:eastAsia="宋体" w:cs="宋体"/>
          <w:vanish/>
          <w:color w:val="auto"/>
          <w:szCs w:val="21"/>
          <w:highlight w:val="none"/>
        </w:rPr>
      </w:pPr>
      <w:bookmarkStart w:id="157" w:name="EB389f116341dd4693875bc7987e7327f3"/>
    </w:p>
    <w:p w14:paraId="45A3A604">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对可接受分支机构投标的项目，分支机构投标的，需提供具有法人资格的总公司的营业执照原件扫描件及授权书，授权书须加盖总公司公章。总公司可就本项目或此类项目在一定范围或时间内出具授权书。已由总公司授权的，总公司取得的相关资质证书对分公司有效，法律法规或者行业另有规定的除外。</w:t>
      </w:r>
      <w:bookmarkEnd w:id="157"/>
    </w:p>
    <w:p w14:paraId="2487B792">
      <w:pPr>
        <w:widowControl w:val="0"/>
        <w:shd w:val="clear"/>
        <w:adjustRightInd/>
        <w:snapToGrid/>
        <w:ind w:left="567"/>
        <w:jc w:val="both"/>
        <w:rPr>
          <w:rFonts w:hint="eastAsia" w:ascii="宋体" w:hAnsi="宋体" w:eastAsia="宋体" w:cs="宋体"/>
          <w:color w:val="auto"/>
          <w:szCs w:val="21"/>
          <w:highlight w:val="none"/>
        </w:rPr>
      </w:pPr>
    </w:p>
    <w:p w14:paraId="7603C3F9">
      <w:pPr>
        <w:pStyle w:val="5"/>
        <w:widowControl w:val="0"/>
        <w:numPr>
          <w:ilvl w:val="0"/>
          <w:numId w:val="3"/>
        </w:numPr>
        <w:shd w:val="clear"/>
        <w:overflowPunct w:val="0"/>
        <w:rPr>
          <w:rFonts w:hint="eastAsia" w:ascii="宋体" w:hAnsi="宋体" w:eastAsia="宋体" w:cs="宋体"/>
          <w:color w:val="auto"/>
          <w:sz w:val="21"/>
          <w:szCs w:val="21"/>
          <w:highlight w:val="none"/>
        </w:rPr>
      </w:pPr>
      <w:bookmarkStart w:id="158" w:name="_Toc4992"/>
      <w:bookmarkStart w:id="159" w:name="_Toc29647"/>
      <w:bookmarkStart w:id="160" w:name="_Toc15869"/>
      <w:bookmarkStart w:id="161" w:name="_Toc24169"/>
      <w:bookmarkStart w:id="162" w:name="_Toc10540"/>
      <w:bookmarkStart w:id="163" w:name="_Toc12111"/>
      <w:bookmarkStart w:id="164" w:name="_Toc16068"/>
      <w:bookmarkStart w:id="165" w:name="_Toc26179"/>
      <w:r>
        <w:rPr>
          <w:rFonts w:hint="eastAsia" w:ascii="宋体" w:hAnsi="宋体" w:eastAsia="宋体" w:cs="宋体"/>
          <w:color w:val="auto"/>
          <w:sz w:val="21"/>
          <w:szCs w:val="21"/>
          <w:highlight w:val="none"/>
        </w:rPr>
        <w:t>踏勘现场</w:t>
      </w:r>
      <w:bookmarkEnd w:id="158"/>
      <w:bookmarkEnd w:id="159"/>
      <w:bookmarkEnd w:id="160"/>
      <w:bookmarkEnd w:id="161"/>
      <w:bookmarkEnd w:id="162"/>
      <w:bookmarkEnd w:id="163"/>
      <w:bookmarkEnd w:id="164"/>
      <w:bookmarkEnd w:id="165"/>
    </w:p>
    <w:p w14:paraId="43F122A3">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《投标资料表》规定组织踏勘现场的，采购人按《投标资料表》规定的时间、地点组织响应人踏勘项目现场；</w:t>
      </w:r>
    </w:p>
    <w:p w14:paraId="60C14A59">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响应人踏勘现场发生的费用自理；</w:t>
      </w:r>
    </w:p>
    <w:p w14:paraId="18181C9D">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除采购人的原因外，响应人自行负责在踏勘现场中所发生的人员伤亡和财产损失；</w:t>
      </w:r>
    </w:p>
    <w:p w14:paraId="2D488459">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采购人在踏勘现场中介绍的实施地点和相关的周边环境情况，供响应人在编制响应文件时参考，采购人不对响应人据此作出的判断和决策负责；</w:t>
      </w:r>
    </w:p>
    <w:p w14:paraId="4CCB364E">
      <w:pPr>
        <w:shd w:val="clear"/>
        <w:rPr>
          <w:rFonts w:hint="eastAsia" w:ascii="宋体" w:hAnsi="宋体" w:eastAsia="宋体" w:cs="宋体"/>
          <w:color w:val="auto"/>
          <w:highlight w:val="none"/>
        </w:rPr>
      </w:pPr>
    </w:p>
    <w:p w14:paraId="69A38260">
      <w:pPr>
        <w:pStyle w:val="4"/>
        <w:numPr>
          <w:ilvl w:val="0"/>
          <w:numId w:val="2"/>
        </w:numPr>
        <w:shd w:val="clear"/>
        <w:spacing w:before="0" w:after="0" w:line="360" w:lineRule="auto"/>
        <w:jc w:val="center"/>
        <w:rPr>
          <w:rFonts w:hint="eastAsia" w:ascii="宋体" w:hAnsi="宋体" w:eastAsia="宋体" w:cs="宋体"/>
          <w:color w:val="auto"/>
          <w:highlight w:val="none"/>
        </w:rPr>
      </w:pPr>
      <w:bookmarkStart w:id="166" w:name="_Toc28607"/>
      <w:bookmarkStart w:id="167" w:name="_Toc2463"/>
      <w:bookmarkStart w:id="168" w:name="_Toc14732"/>
      <w:bookmarkStart w:id="169" w:name="_Toc4905"/>
      <w:bookmarkStart w:id="170" w:name="_Toc6655"/>
      <w:bookmarkStart w:id="171" w:name="_Toc11506"/>
      <w:bookmarkStart w:id="172" w:name="_Toc5050"/>
      <w:bookmarkStart w:id="173" w:name="_Toc22732"/>
      <w:bookmarkStart w:id="174" w:name="_Toc9444"/>
      <w:r>
        <w:rPr>
          <w:rFonts w:hint="eastAsia" w:ascii="宋体" w:hAnsi="宋体" w:eastAsia="宋体" w:cs="宋体"/>
          <w:color w:val="auto"/>
          <w:highlight w:val="none"/>
        </w:rPr>
        <w:t>采购文件</w:t>
      </w:r>
      <w:bookmarkEnd w:id="166"/>
      <w:bookmarkEnd w:id="167"/>
      <w:bookmarkEnd w:id="168"/>
      <w:bookmarkEnd w:id="169"/>
      <w:bookmarkEnd w:id="170"/>
      <w:bookmarkEnd w:id="171"/>
      <w:bookmarkEnd w:id="172"/>
      <w:bookmarkEnd w:id="173"/>
      <w:bookmarkEnd w:id="174"/>
    </w:p>
    <w:p w14:paraId="272B3319">
      <w:pPr>
        <w:pStyle w:val="5"/>
        <w:numPr>
          <w:ilvl w:val="0"/>
          <w:numId w:val="3"/>
        </w:numPr>
        <w:shd w:val="clear"/>
        <w:overflowPunct w:val="0"/>
        <w:rPr>
          <w:rFonts w:hint="eastAsia" w:ascii="宋体" w:hAnsi="宋体" w:eastAsia="宋体" w:cs="宋体"/>
          <w:vanish w:val="0"/>
          <w:color w:val="auto"/>
          <w:sz w:val="21"/>
          <w:szCs w:val="21"/>
          <w:highlight w:val="none"/>
        </w:rPr>
      </w:pPr>
      <w:bookmarkStart w:id="175" w:name="_Toc29835"/>
      <w:bookmarkStart w:id="176" w:name="_Toc25451"/>
      <w:bookmarkStart w:id="177" w:name="_Toc15479"/>
      <w:bookmarkStart w:id="178" w:name="_Toc28473"/>
      <w:bookmarkStart w:id="179" w:name="_Toc20776"/>
      <w:bookmarkStart w:id="180" w:name="_Toc21604"/>
      <w:bookmarkStart w:id="181" w:name="_Toc18091"/>
      <w:bookmarkStart w:id="182" w:name="_Toc10638"/>
      <w:bookmarkStart w:id="183" w:name="_Toc25416"/>
      <w:r>
        <w:rPr>
          <w:rFonts w:hint="eastAsia" w:ascii="宋体" w:hAnsi="宋体" w:eastAsia="宋体" w:cs="宋体"/>
          <w:color w:val="auto"/>
          <w:sz w:val="21"/>
          <w:szCs w:val="21"/>
          <w:highlight w:val="none"/>
        </w:rPr>
        <w:t>采购文件的组成</w:t>
      </w:r>
      <w:bookmarkEnd w:id="175"/>
      <w:bookmarkEnd w:id="176"/>
      <w:bookmarkEnd w:id="177"/>
      <w:bookmarkEnd w:id="178"/>
      <w:bookmarkEnd w:id="179"/>
      <w:bookmarkEnd w:id="180"/>
      <w:bookmarkEnd w:id="181"/>
      <w:bookmarkEnd w:id="182"/>
      <w:bookmarkEnd w:id="183"/>
    </w:p>
    <w:p w14:paraId="67E65E88">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采购文件包括：</w:t>
      </w:r>
    </w:p>
    <w:p w14:paraId="60854C11">
      <w:pPr>
        <w:widowControl w:val="0"/>
        <w:shd w:val="clear"/>
        <w:adjustRightInd/>
        <w:snapToGrid/>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（1）投标邀请书；</w:t>
      </w:r>
    </w:p>
    <w:p w14:paraId="0DA7FB50">
      <w:pPr>
        <w:widowControl w:val="0"/>
        <w:shd w:val="clear"/>
        <w:adjustRightInd/>
        <w:snapToGrid/>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（2）投标资料表；</w:t>
      </w:r>
    </w:p>
    <w:p w14:paraId="112621FF">
      <w:pPr>
        <w:widowControl w:val="0"/>
        <w:shd w:val="clear"/>
        <w:adjustRightInd/>
        <w:snapToGrid/>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（3）用户需求书；</w:t>
      </w:r>
    </w:p>
    <w:p w14:paraId="3AC41D4E">
      <w:pPr>
        <w:widowControl w:val="0"/>
        <w:shd w:val="clear"/>
        <w:adjustRightInd/>
        <w:snapToGrid/>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（4）投标人须知；</w:t>
      </w:r>
    </w:p>
    <w:p w14:paraId="060CE7BA">
      <w:pPr>
        <w:widowControl w:val="0"/>
        <w:shd w:val="clear"/>
        <w:adjustRightInd/>
        <w:snapToGrid/>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（5）拟签订的合同文本；</w:t>
      </w:r>
    </w:p>
    <w:p w14:paraId="15A9619C">
      <w:pPr>
        <w:widowControl w:val="0"/>
        <w:shd w:val="clear"/>
        <w:adjustRightInd/>
        <w:snapToGrid/>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（6）投标文件格式；</w:t>
      </w:r>
    </w:p>
    <w:p w14:paraId="7EB27E9E">
      <w:pPr>
        <w:widowControl w:val="0"/>
        <w:shd w:val="clear"/>
        <w:adjustRightInd/>
        <w:snapToGrid/>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（7）在采购过程中由采购代理机构发出的澄清更正文件等。</w:t>
      </w:r>
    </w:p>
    <w:p w14:paraId="054B49D2">
      <w:pPr>
        <w:shd w:val="clear"/>
        <w:rPr>
          <w:rFonts w:hint="eastAsia" w:ascii="宋体" w:hAnsi="宋体" w:eastAsia="宋体" w:cs="宋体"/>
          <w:color w:val="auto"/>
          <w:highlight w:val="none"/>
        </w:rPr>
      </w:pPr>
    </w:p>
    <w:p w14:paraId="4DE9BE2B">
      <w:pPr>
        <w:pStyle w:val="5"/>
        <w:widowControl w:val="0"/>
        <w:numPr>
          <w:ilvl w:val="0"/>
          <w:numId w:val="3"/>
        </w:numPr>
        <w:shd w:val="clear"/>
        <w:overflowPunct w:val="0"/>
        <w:rPr>
          <w:rFonts w:hint="eastAsia" w:ascii="宋体" w:hAnsi="宋体" w:eastAsia="宋体" w:cs="宋体"/>
          <w:color w:val="auto"/>
          <w:sz w:val="21"/>
          <w:szCs w:val="21"/>
          <w:highlight w:val="none"/>
        </w:rPr>
      </w:pPr>
      <w:bookmarkStart w:id="184" w:name="_Toc16004"/>
      <w:bookmarkStart w:id="185" w:name="_Toc9119"/>
      <w:bookmarkStart w:id="186" w:name="_Toc20270"/>
      <w:bookmarkStart w:id="187" w:name="_Toc26809"/>
      <w:bookmarkStart w:id="188" w:name="_Toc8827"/>
      <w:bookmarkStart w:id="189" w:name="_Toc21392"/>
      <w:bookmarkStart w:id="190" w:name="_Toc30490"/>
      <w:bookmarkStart w:id="191" w:name="_Toc4563"/>
      <w:bookmarkStart w:id="192" w:name="_Toc11828"/>
      <w:r>
        <w:rPr>
          <w:rFonts w:hint="eastAsia" w:ascii="宋体" w:hAnsi="宋体" w:eastAsia="宋体" w:cs="宋体"/>
          <w:color w:val="auto"/>
          <w:sz w:val="21"/>
          <w:szCs w:val="21"/>
          <w:highlight w:val="none"/>
        </w:rPr>
        <w:t>采购文件的澄清或修改</w:t>
      </w:r>
      <w:bookmarkEnd w:id="184"/>
      <w:bookmarkEnd w:id="185"/>
      <w:bookmarkEnd w:id="186"/>
      <w:bookmarkEnd w:id="187"/>
      <w:bookmarkEnd w:id="188"/>
      <w:bookmarkEnd w:id="189"/>
      <w:bookmarkEnd w:id="190"/>
      <w:bookmarkEnd w:id="191"/>
      <w:bookmarkEnd w:id="192"/>
    </w:p>
    <w:p w14:paraId="379E171B">
      <w:pPr>
        <w:pStyle w:val="47"/>
        <w:widowControl w:val="0"/>
        <w:numPr>
          <w:ilvl w:val="-1"/>
          <w:numId w:val="0"/>
        </w:numPr>
        <w:shd w:val="clear"/>
        <w:adjustRightInd/>
        <w:snapToGrid/>
        <w:ind w:left="0" w:firstLine="0" w:firstLineChars="0"/>
        <w:jc w:val="both"/>
        <w:rPr>
          <w:rFonts w:hint="eastAsia" w:ascii="宋体" w:hAnsi="宋体" w:eastAsia="宋体" w:cs="宋体"/>
          <w:vanish/>
          <w:color w:val="auto"/>
          <w:szCs w:val="21"/>
          <w:highlight w:val="none"/>
        </w:rPr>
      </w:pPr>
    </w:p>
    <w:p w14:paraId="05D670ED">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采购人或者采购代理机构可以对已发出的采购文件、资格预审文件、投标邀请书进行必要的澄清或者修改。澄清或者修改的内容为采购文件、资格预审文件、投标邀请书的组成部分，具有约束作用。当采购文件、采购文件的澄清或修改等在同一内容的表述上不一致时，以最后发出的书面文件及公告为准。</w:t>
      </w:r>
    </w:p>
    <w:p w14:paraId="51548E7A">
      <w:pPr>
        <w:widowControl w:val="0"/>
        <w:numPr>
          <w:ilvl w:val="1"/>
          <w:numId w:val="3"/>
        </w:numPr>
        <w:shd w:val="clear"/>
        <w:overflowPunct w:val="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采购期间，投标人有义务上网查看，公告一经上网发布，即视为送达。因投标人未及时上网查看而造成的所有后果，由投标人自行承担。</w:t>
      </w:r>
    </w:p>
    <w:p w14:paraId="79337551">
      <w:pPr>
        <w:widowControl w:val="0"/>
        <w:shd w:val="clear"/>
        <w:adjustRightInd/>
        <w:snapToGrid/>
        <w:ind w:left="567"/>
        <w:jc w:val="both"/>
        <w:rPr>
          <w:rFonts w:hint="eastAsia" w:ascii="宋体" w:hAnsi="宋体" w:eastAsia="宋体" w:cs="宋体"/>
          <w:color w:val="auto"/>
          <w:szCs w:val="21"/>
          <w:highlight w:val="none"/>
        </w:rPr>
      </w:pPr>
    </w:p>
    <w:p w14:paraId="655F2F51">
      <w:pPr>
        <w:pStyle w:val="4"/>
        <w:numPr>
          <w:ilvl w:val="0"/>
          <w:numId w:val="2"/>
        </w:numPr>
        <w:shd w:val="clear"/>
        <w:spacing w:before="0" w:after="0" w:line="360" w:lineRule="auto"/>
        <w:jc w:val="center"/>
        <w:rPr>
          <w:rFonts w:hint="eastAsia" w:ascii="宋体" w:hAnsi="宋体" w:eastAsia="宋体" w:cs="宋体"/>
          <w:color w:val="auto"/>
          <w:highlight w:val="none"/>
        </w:rPr>
      </w:pPr>
      <w:bookmarkStart w:id="193" w:name="_Toc6676"/>
      <w:bookmarkStart w:id="194" w:name="_Toc22405"/>
      <w:bookmarkStart w:id="195" w:name="_Toc10333"/>
      <w:bookmarkStart w:id="196" w:name="_Toc5423"/>
      <w:bookmarkStart w:id="197" w:name="_Toc12343"/>
      <w:bookmarkStart w:id="198" w:name="_Toc2604"/>
      <w:bookmarkStart w:id="199" w:name="_Toc29723"/>
      <w:bookmarkStart w:id="200" w:name="_Toc2530"/>
      <w:bookmarkStart w:id="201" w:name="_Toc21481"/>
      <w:r>
        <w:rPr>
          <w:rFonts w:hint="eastAsia" w:ascii="宋体" w:hAnsi="宋体" w:eastAsia="宋体" w:cs="宋体"/>
          <w:color w:val="auto"/>
          <w:highlight w:val="none"/>
        </w:rPr>
        <w:t>投标文件的编制</w:t>
      </w:r>
      <w:bookmarkEnd w:id="193"/>
      <w:bookmarkEnd w:id="194"/>
      <w:bookmarkEnd w:id="195"/>
      <w:bookmarkEnd w:id="196"/>
      <w:bookmarkEnd w:id="197"/>
      <w:bookmarkEnd w:id="198"/>
      <w:bookmarkEnd w:id="199"/>
      <w:bookmarkEnd w:id="200"/>
      <w:bookmarkEnd w:id="201"/>
    </w:p>
    <w:p w14:paraId="0AED8D6A">
      <w:pPr>
        <w:pStyle w:val="5"/>
        <w:widowControl w:val="0"/>
        <w:numPr>
          <w:ilvl w:val="0"/>
          <w:numId w:val="3"/>
        </w:numPr>
        <w:shd w:val="clear"/>
        <w:overflowPunct w:val="0"/>
        <w:rPr>
          <w:rFonts w:hint="eastAsia" w:ascii="宋体" w:hAnsi="宋体" w:eastAsia="宋体" w:cs="宋体"/>
          <w:color w:val="auto"/>
          <w:sz w:val="21"/>
          <w:szCs w:val="21"/>
          <w:highlight w:val="none"/>
        </w:rPr>
      </w:pPr>
      <w:bookmarkStart w:id="202" w:name="_Toc23441"/>
      <w:bookmarkStart w:id="203" w:name="_Toc12989"/>
      <w:bookmarkStart w:id="204" w:name="_Toc12048"/>
      <w:bookmarkStart w:id="205" w:name="_Toc10458"/>
      <w:bookmarkStart w:id="206" w:name="_Toc29856"/>
      <w:bookmarkStart w:id="207" w:name="_Toc16938"/>
      <w:bookmarkStart w:id="208" w:name="_Toc28454"/>
      <w:bookmarkStart w:id="209" w:name="_Toc13267"/>
      <w:bookmarkStart w:id="210" w:name="_Toc22622"/>
      <w:r>
        <w:rPr>
          <w:rFonts w:hint="eastAsia" w:ascii="宋体" w:hAnsi="宋体" w:eastAsia="宋体" w:cs="宋体"/>
          <w:color w:val="auto"/>
          <w:sz w:val="21"/>
          <w:szCs w:val="21"/>
          <w:highlight w:val="none"/>
        </w:rPr>
        <w:t>投标文件的语言及度量衡单位</w:t>
      </w:r>
      <w:bookmarkEnd w:id="202"/>
      <w:bookmarkEnd w:id="203"/>
      <w:bookmarkEnd w:id="204"/>
      <w:bookmarkEnd w:id="205"/>
      <w:bookmarkEnd w:id="206"/>
      <w:bookmarkEnd w:id="207"/>
      <w:bookmarkEnd w:id="208"/>
      <w:bookmarkEnd w:id="209"/>
      <w:bookmarkEnd w:id="210"/>
    </w:p>
    <w:p w14:paraId="0829A4F1">
      <w:pPr>
        <w:pStyle w:val="47"/>
        <w:widowControl w:val="0"/>
        <w:numPr>
          <w:ilvl w:val="0"/>
          <w:numId w:val="0"/>
        </w:numPr>
        <w:shd w:val="clear"/>
        <w:adjustRightInd/>
        <w:snapToGrid/>
        <w:ind w:leftChars="0"/>
        <w:jc w:val="both"/>
        <w:rPr>
          <w:rFonts w:hint="eastAsia" w:ascii="宋体" w:hAnsi="宋体" w:eastAsia="宋体" w:cs="宋体"/>
          <w:vanish/>
          <w:color w:val="auto"/>
          <w:szCs w:val="21"/>
          <w:highlight w:val="none"/>
        </w:rPr>
      </w:pPr>
    </w:p>
    <w:p w14:paraId="0A4B099A">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提交的投标文件以及投标人与采购代理机构就有关投标的所有来往函件均应使用简体中文书写。投标人提交的支持资料和已印刷的文献可以用另一种语言，但相应内容应附有中文翻译本（中文译本应由翻译机构盖章或者翻译人员签名确认，否则按无效处理），在解释投标文件的修改内容时以中文翻译本为准。</w:t>
      </w:r>
    </w:p>
    <w:p w14:paraId="56294103">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除非采购文件在技术规格中另有规定，投标人在投标文件中及其与采购代理机构和采购人所有往来文件中的所有计量单位均应采用中华人民共和国法定计量单位。</w:t>
      </w:r>
    </w:p>
    <w:p w14:paraId="40FD7A60">
      <w:pPr>
        <w:widowControl w:val="0"/>
        <w:shd w:val="clear"/>
        <w:adjustRightInd/>
        <w:snapToGrid/>
        <w:ind w:left="567"/>
        <w:jc w:val="both"/>
        <w:rPr>
          <w:rFonts w:hint="eastAsia" w:ascii="宋体" w:hAnsi="宋体" w:eastAsia="宋体" w:cs="宋体"/>
          <w:color w:val="auto"/>
          <w:szCs w:val="21"/>
          <w:highlight w:val="none"/>
        </w:rPr>
      </w:pPr>
    </w:p>
    <w:p w14:paraId="6CBA302A">
      <w:pPr>
        <w:pStyle w:val="5"/>
        <w:widowControl w:val="0"/>
        <w:numPr>
          <w:ilvl w:val="0"/>
          <w:numId w:val="3"/>
        </w:numPr>
        <w:shd w:val="clear"/>
        <w:overflowPunct w:val="0"/>
        <w:rPr>
          <w:rFonts w:hint="eastAsia" w:ascii="宋体" w:hAnsi="宋体" w:eastAsia="宋体" w:cs="宋体"/>
          <w:color w:val="auto"/>
          <w:sz w:val="21"/>
          <w:szCs w:val="21"/>
          <w:highlight w:val="none"/>
        </w:rPr>
      </w:pPr>
      <w:bookmarkStart w:id="211" w:name="_Toc11466"/>
      <w:bookmarkStart w:id="212" w:name="_Toc382049103"/>
      <w:bookmarkStart w:id="213" w:name="_Toc9692"/>
      <w:bookmarkStart w:id="214" w:name="_Toc11925"/>
      <w:bookmarkStart w:id="215" w:name="_Toc27533"/>
      <w:bookmarkStart w:id="216" w:name="_Toc28866"/>
      <w:bookmarkStart w:id="217" w:name="_Toc303084256"/>
      <w:bookmarkStart w:id="218" w:name="_Toc27953"/>
      <w:bookmarkStart w:id="219" w:name="_Toc11677"/>
      <w:bookmarkStart w:id="220" w:name="_Toc12928"/>
      <w:bookmarkStart w:id="221" w:name="_Toc307934854"/>
      <w:bookmarkStart w:id="222" w:name="_Toc10760"/>
      <w:bookmarkStart w:id="223" w:name="_Toc4585"/>
      <w:r>
        <w:rPr>
          <w:rFonts w:hint="eastAsia" w:ascii="宋体" w:hAnsi="宋体" w:eastAsia="宋体" w:cs="宋体"/>
          <w:color w:val="auto"/>
          <w:sz w:val="21"/>
          <w:szCs w:val="21"/>
          <w:highlight w:val="none"/>
        </w:rPr>
        <w:t>投标文件的组成</w:t>
      </w:r>
      <w:bookmarkEnd w:id="211"/>
      <w:bookmarkEnd w:id="212"/>
      <w:bookmarkEnd w:id="213"/>
      <w:bookmarkEnd w:id="214"/>
      <w:bookmarkEnd w:id="215"/>
      <w:bookmarkEnd w:id="216"/>
      <w:bookmarkEnd w:id="217"/>
      <w:bookmarkEnd w:id="218"/>
      <w:bookmarkEnd w:id="219"/>
      <w:bookmarkEnd w:id="220"/>
      <w:bookmarkEnd w:id="221"/>
      <w:bookmarkEnd w:id="222"/>
      <w:bookmarkEnd w:id="223"/>
    </w:p>
    <w:p w14:paraId="3554533A">
      <w:pPr>
        <w:pStyle w:val="47"/>
        <w:widowControl w:val="0"/>
        <w:numPr>
          <w:ilvl w:val="0"/>
          <w:numId w:val="0"/>
        </w:numPr>
        <w:shd w:val="clear"/>
        <w:adjustRightInd/>
        <w:snapToGrid/>
        <w:ind w:leftChars="0"/>
        <w:jc w:val="both"/>
        <w:rPr>
          <w:rFonts w:hint="eastAsia" w:ascii="宋体" w:hAnsi="宋体" w:eastAsia="宋体" w:cs="宋体"/>
          <w:vanish/>
          <w:color w:val="auto"/>
          <w:szCs w:val="21"/>
          <w:highlight w:val="none"/>
        </w:rPr>
      </w:pPr>
    </w:p>
    <w:p w14:paraId="4CA11766">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包括但不限于采购文件附件格式中要求提供的表格。</w:t>
      </w:r>
    </w:p>
    <w:p w14:paraId="3C5961BE">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上述文件须按顺序装订成册，并编制投标文件目录。除上述文件资料外投标人还须按投标人须知的要求制作“唱标信封”。“唱标信封”作为投标文件的一部分，但须单独密封。</w:t>
      </w:r>
    </w:p>
    <w:p w14:paraId="792A60A8">
      <w:pPr>
        <w:shd w:val="clear"/>
        <w:rPr>
          <w:rFonts w:hint="eastAsia" w:ascii="宋体" w:hAnsi="宋体" w:eastAsia="宋体" w:cs="宋体"/>
          <w:color w:val="auto"/>
          <w:highlight w:val="none"/>
        </w:rPr>
      </w:pPr>
    </w:p>
    <w:p w14:paraId="3F523B92">
      <w:pPr>
        <w:pStyle w:val="5"/>
        <w:widowControl w:val="0"/>
        <w:numPr>
          <w:ilvl w:val="0"/>
          <w:numId w:val="3"/>
        </w:numPr>
        <w:shd w:val="clear"/>
        <w:overflowPunct w:val="0"/>
        <w:rPr>
          <w:rFonts w:hint="eastAsia" w:ascii="宋体" w:hAnsi="宋体" w:eastAsia="宋体" w:cs="宋体"/>
          <w:color w:val="auto"/>
          <w:sz w:val="21"/>
          <w:szCs w:val="21"/>
          <w:highlight w:val="none"/>
        </w:rPr>
      </w:pPr>
      <w:bookmarkStart w:id="224" w:name="_Toc755"/>
      <w:bookmarkStart w:id="225" w:name="_Toc9372"/>
      <w:bookmarkStart w:id="226" w:name="_Toc11080"/>
      <w:bookmarkStart w:id="227" w:name="_Toc15126"/>
      <w:bookmarkStart w:id="228" w:name="_Toc26110"/>
      <w:bookmarkStart w:id="229" w:name="_Toc14083"/>
      <w:bookmarkStart w:id="230" w:name="_Toc12736"/>
      <w:bookmarkStart w:id="231" w:name="_Toc26731"/>
      <w:bookmarkStart w:id="232" w:name="_Toc5904"/>
      <w:r>
        <w:rPr>
          <w:rFonts w:hint="eastAsia" w:ascii="宋体" w:hAnsi="宋体" w:eastAsia="宋体" w:cs="宋体"/>
          <w:color w:val="auto"/>
          <w:sz w:val="21"/>
          <w:szCs w:val="21"/>
          <w:highlight w:val="none"/>
        </w:rPr>
        <w:t>投标文件编制</w:t>
      </w:r>
      <w:bookmarkEnd w:id="224"/>
      <w:bookmarkEnd w:id="225"/>
      <w:bookmarkEnd w:id="226"/>
      <w:bookmarkEnd w:id="227"/>
      <w:bookmarkEnd w:id="228"/>
      <w:bookmarkEnd w:id="229"/>
      <w:bookmarkEnd w:id="230"/>
      <w:bookmarkEnd w:id="231"/>
      <w:bookmarkEnd w:id="232"/>
    </w:p>
    <w:p w14:paraId="2520A60D">
      <w:pPr>
        <w:pStyle w:val="47"/>
        <w:widowControl w:val="0"/>
        <w:numPr>
          <w:ilvl w:val="0"/>
          <w:numId w:val="0"/>
        </w:numPr>
        <w:shd w:val="clear"/>
        <w:adjustRightInd/>
        <w:snapToGrid/>
        <w:ind w:leftChars="0"/>
        <w:jc w:val="both"/>
        <w:rPr>
          <w:rFonts w:hint="eastAsia" w:ascii="宋体" w:hAnsi="宋体" w:eastAsia="宋体" w:cs="宋体"/>
          <w:vanish/>
          <w:color w:val="auto"/>
          <w:szCs w:val="21"/>
          <w:highlight w:val="none"/>
        </w:rPr>
      </w:pPr>
      <w:bookmarkStart w:id="233" w:name="_Toc303084258"/>
    </w:p>
    <w:p w14:paraId="7C17E838">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应按采购文件的规定以及附件要求的内容和格式完整地填写（表格可以按同样格式扩展）和提供资料，投标人必须对投标文件所提供的全部材料的真实性承担法律责任，并无条件接受采购人或采购代理机构对其中任何资料进行核实的要求。</w:t>
      </w:r>
    </w:p>
    <w:p w14:paraId="2C19842A">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因投标文件编制存在歧义对投标人产生负面影响的，投标人自行承担后果。</w:t>
      </w:r>
    </w:p>
    <w:p w14:paraId="764E671D">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投标单位名称与投标人公章不一致，若投标单位名称已进行变更，应在投标文件中提供相应的证明材料并加盖公章，否则投标文件无效。</w:t>
      </w:r>
    </w:p>
    <w:p w14:paraId="72B548CD">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投标文件密封、标记及内容与本项目采购信息不符，导致无法分辨所投项目为本项目的，投标文件无效。</w:t>
      </w:r>
    </w:p>
    <w:p w14:paraId="32D54CBD">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投标人须客观撰写投标人简介（格式自理，并提供相关证明）以及所投的产品或服务说明。</w:t>
      </w:r>
    </w:p>
    <w:p w14:paraId="09436863">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投标文件若出现以下内容，经评标委员会认定有可能间接影响评审秩序，作废标处理。</w:t>
      </w:r>
    </w:p>
    <w:p w14:paraId="04359F2D">
      <w:pPr>
        <w:pStyle w:val="47"/>
        <w:widowControl w:val="0"/>
        <w:numPr>
          <w:ilvl w:val="0"/>
          <w:numId w:val="4"/>
        </w:numPr>
        <w:shd w:val="clear"/>
        <w:adjustRightInd/>
        <w:snapToGrid/>
        <w:ind w:firstLineChars="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投标文件内出现无官方证明文件的行业地域排名或使用“国家级”、“最高级”、“最佳”等用语字眼的。</w:t>
      </w:r>
    </w:p>
    <w:p w14:paraId="3D32D2FA">
      <w:pPr>
        <w:pStyle w:val="47"/>
        <w:widowControl w:val="0"/>
        <w:numPr>
          <w:ilvl w:val="0"/>
          <w:numId w:val="4"/>
        </w:numPr>
        <w:shd w:val="clear"/>
        <w:adjustRightInd/>
        <w:snapToGrid/>
        <w:ind w:firstLineChars="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投标文件内出现恶意诋毁、贬低其他生产经营者的商品或者服务的内容。</w:t>
      </w:r>
    </w:p>
    <w:p w14:paraId="2A1EF80C">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有下列情形之一的，视为投标人串通投标，其投标无效：</w:t>
      </w:r>
    </w:p>
    <w:p w14:paraId="3AFD5982">
      <w:pPr>
        <w:widowControl w:val="0"/>
        <w:shd w:val="clear"/>
        <w:adjustRightInd/>
        <w:snapToGrid/>
        <w:ind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（1）不同投标人的投标文件由同一单位或者个人编制；</w:t>
      </w:r>
    </w:p>
    <w:p w14:paraId="779AA361">
      <w:pPr>
        <w:widowControl w:val="0"/>
        <w:shd w:val="clear"/>
        <w:adjustRightInd/>
        <w:snapToGrid/>
        <w:ind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（2）不同投标人委托同一单位或者个人办理投标事宜；</w:t>
      </w:r>
    </w:p>
    <w:p w14:paraId="21C3A192">
      <w:pPr>
        <w:widowControl w:val="0"/>
        <w:shd w:val="clear"/>
        <w:adjustRightInd/>
        <w:snapToGrid/>
        <w:ind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（3）不同投标人的投标文件载明的项目管理成员或者联系人员为同一人；</w:t>
      </w:r>
    </w:p>
    <w:p w14:paraId="1BF9315F">
      <w:pPr>
        <w:widowControl w:val="0"/>
        <w:shd w:val="clear"/>
        <w:adjustRightInd/>
        <w:snapToGrid/>
        <w:ind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（4）不同投标人的投标文件异常一致或者投标报价呈规律性差异；</w:t>
      </w:r>
    </w:p>
    <w:p w14:paraId="2B944128">
      <w:pPr>
        <w:widowControl w:val="0"/>
        <w:shd w:val="clear"/>
        <w:adjustRightInd/>
        <w:snapToGrid/>
        <w:ind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（5）不同投标人的投标文件相互混装；</w:t>
      </w:r>
    </w:p>
    <w:p w14:paraId="005EEDC8">
      <w:pPr>
        <w:widowControl w:val="0"/>
        <w:shd w:val="clear"/>
        <w:adjustRightInd/>
        <w:snapToGrid/>
        <w:ind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（6）不同投标人的投标保证金从同一单位或者个人的账户转出。</w:t>
      </w:r>
    </w:p>
    <w:bookmarkEnd w:id="233"/>
    <w:p w14:paraId="4959F2D9">
      <w:pPr>
        <w:shd w:val="clear"/>
        <w:rPr>
          <w:rFonts w:hint="eastAsia" w:ascii="宋体" w:hAnsi="宋体" w:eastAsia="宋体" w:cs="宋体"/>
          <w:color w:val="auto"/>
          <w:highlight w:val="none"/>
        </w:rPr>
      </w:pPr>
    </w:p>
    <w:p w14:paraId="262799B6">
      <w:pPr>
        <w:pStyle w:val="5"/>
        <w:widowControl w:val="0"/>
        <w:numPr>
          <w:ilvl w:val="0"/>
          <w:numId w:val="3"/>
        </w:numPr>
        <w:shd w:val="clear"/>
        <w:overflowPunct w:val="0"/>
        <w:rPr>
          <w:rFonts w:hint="eastAsia" w:ascii="宋体" w:hAnsi="宋体" w:eastAsia="宋体" w:cs="宋体"/>
          <w:color w:val="auto"/>
          <w:sz w:val="21"/>
          <w:szCs w:val="21"/>
          <w:highlight w:val="none"/>
        </w:rPr>
      </w:pPr>
      <w:bookmarkStart w:id="234" w:name="_Toc20319"/>
      <w:bookmarkStart w:id="235" w:name="_Toc11834"/>
      <w:bookmarkStart w:id="236" w:name="_Toc23526"/>
      <w:bookmarkStart w:id="237" w:name="_Toc6154"/>
      <w:bookmarkStart w:id="238" w:name="_Toc12227"/>
      <w:bookmarkStart w:id="239" w:name="_Toc16440"/>
      <w:bookmarkStart w:id="240" w:name="_Toc7134"/>
      <w:bookmarkStart w:id="241" w:name="_Toc9446"/>
      <w:bookmarkStart w:id="242" w:name="_Toc13487"/>
      <w:r>
        <w:rPr>
          <w:rFonts w:hint="eastAsia" w:ascii="宋体" w:hAnsi="宋体" w:eastAsia="宋体" w:cs="宋体"/>
          <w:color w:val="auto"/>
          <w:sz w:val="21"/>
          <w:szCs w:val="21"/>
          <w:highlight w:val="none"/>
        </w:rPr>
        <w:t>投标报价说明</w:t>
      </w:r>
      <w:bookmarkEnd w:id="234"/>
      <w:bookmarkEnd w:id="235"/>
      <w:bookmarkEnd w:id="236"/>
      <w:bookmarkEnd w:id="237"/>
      <w:bookmarkEnd w:id="238"/>
      <w:bookmarkEnd w:id="239"/>
      <w:bookmarkEnd w:id="240"/>
      <w:bookmarkEnd w:id="241"/>
      <w:bookmarkEnd w:id="242"/>
    </w:p>
    <w:p w14:paraId="1F82FC00">
      <w:pPr>
        <w:pStyle w:val="47"/>
        <w:widowControl w:val="0"/>
        <w:numPr>
          <w:ilvl w:val="0"/>
          <w:numId w:val="0"/>
        </w:numPr>
        <w:shd w:val="clear"/>
        <w:adjustRightInd/>
        <w:snapToGrid/>
        <w:ind w:leftChars="0"/>
        <w:jc w:val="both"/>
        <w:rPr>
          <w:rFonts w:hint="eastAsia" w:ascii="宋体" w:hAnsi="宋体" w:eastAsia="宋体" w:cs="宋体"/>
          <w:vanish/>
          <w:color w:val="auto"/>
          <w:szCs w:val="21"/>
          <w:highlight w:val="none"/>
        </w:rPr>
      </w:pPr>
    </w:p>
    <w:p w14:paraId="0954563B">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本次采购，投标人应按用户需求中的要求进行投标报价，少报无效。</w:t>
      </w:r>
    </w:p>
    <w:p w14:paraId="55388CDE">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投标人所提供的货物或服务均以人民币（或相关费率）报价。</w:t>
      </w:r>
    </w:p>
    <w:p w14:paraId="2D478ED6">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投标报价应包含完成本次采购所有服务内容的费用，包含各种税务费及合同实施过程中的全部费用和售后服务费等。</w:t>
      </w:r>
    </w:p>
    <w:p w14:paraId="2944D1F2">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6D74C9C3">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中标后开出的所有发票必须与中标人的名称一致。</w:t>
      </w:r>
    </w:p>
    <w:p w14:paraId="01477483">
      <w:pPr>
        <w:shd w:val="clear"/>
        <w:rPr>
          <w:rFonts w:hint="eastAsia" w:ascii="宋体" w:hAnsi="宋体" w:eastAsia="宋体" w:cs="宋体"/>
          <w:color w:val="auto"/>
          <w:highlight w:val="none"/>
        </w:rPr>
      </w:pPr>
    </w:p>
    <w:p w14:paraId="4BE70D2F">
      <w:pPr>
        <w:pStyle w:val="5"/>
        <w:widowControl w:val="0"/>
        <w:numPr>
          <w:ilvl w:val="0"/>
          <w:numId w:val="3"/>
        </w:numPr>
        <w:shd w:val="clear"/>
        <w:overflowPunct w:val="0"/>
        <w:rPr>
          <w:rFonts w:hint="eastAsia" w:ascii="宋体" w:hAnsi="宋体" w:eastAsia="宋体" w:cs="宋体"/>
          <w:color w:val="auto"/>
          <w:sz w:val="21"/>
          <w:szCs w:val="21"/>
          <w:highlight w:val="none"/>
        </w:rPr>
      </w:pPr>
      <w:bookmarkStart w:id="243" w:name="_Toc14501"/>
      <w:bookmarkStart w:id="244" w:name="_Toc4650"/>
      <w:bookmarkStart w:id="245" w:name="_Toc1577"/>
      <w:bookmarkStart w:id="246" w:name="_Toc11816"/>
      <w:bookmarkStart w:id="247" w:name="_Toc29949"/>
      <w:bookmarkStart w:id="248" w:name="_Toc17669"/>
      <w:bookmarkStart w:id="249" w:name="_Toc8144"/>
      <w:bookmarkStart w:id="250" w:name="_Toc24998"/>
      <w:bookmarkStart w:id="251" w:name="_Toc25689"/>
      <w:r>
        <w:rPr>
          <w:rFonts w:hint="eastAsia" w:ascii="宋体" w:hAnsi="宋体" w:eastAsia="宋体" w:cs="宋体"/>
          <w:color w:val="auto"/>
          <w:sz w:val="21"/>
          <w:szCs w:val="21"/>
          <w:highlight w:val="none"/>
        </w:rPr>
        <w:t>投标人所提供的服务或货物的证明文件</w:t>
      </w:r>
      <w:bookmarkEnd w:id="243"/>
      <w:bookmarkEnd w:id="244"/>
      <w:bookmarkEnd w:id="245"/>
      <w:bookmarkEnd w:id="246"/>
      <w:bookmarkEnd w:id="247"/>
      <w:bookmarkEnd w:id="248"/>
      <w:bookmarkEnd w:id="249"/>
      <w:bookmarkEnd w:id="250"/>
      <w:bookmarkEnd w:id="251"/>
    </w:p>
    <w:p w14:paraId="65C67A49">
      <w:pPr>
        <w:pStyle w:val="47"/>
        <w:widowControl w:val="0"/>
        <w:numPr>
          <w:ilvl w:val="0"/>
          <w:numId w:val="0"/>
        </w:numPr>
        <w:shd w:val="clear"/>
        <w:adjustRightInd/>
        <w:snapToGrid/>
        <w:ind w:leftChars="0"/>
        <w:jc w:val="both"/>
        <w:rPr>
          <w:rFonts w:hint="eastAsia" w:ascii="宋体" w:hAnsi="宋体" w:eastAsia="宋体" w:cs="宋体"/>
          <w:vanish/>
          <w:color w:val="auto"/>
          <w:szCs w:val="21"/>
          <w:highlight w:val="none"/>
        </w:rPr>
      </w:pPr>
    </w:p>
    <w:p w14:paraId="708E4CB5">
      <w:pPr>
        <w:widowControl w:val="0"/>
        <w:numPr>
          <w:ilvl w:val="1"/>
          <w:numId w:val="3"/>
        </w:numPr>
        <w:shd w:val="clear"/>
        <w:overflowPunct w:val="0"/>
        <w:rPr>
          <w:rFonts w:hint="eastAsia" w:ascii="宋体" w:hAnsi="宋体" w:eastAsia="宋体" w:cs="宋体"/>
          <w:color w:val="auto"/>
          <w:szCs w:val="21"/>
          <w:highlight w:val="none"/>
        </w:rPr>
      </w:pPr>
      <w:bookmarkStart w:id="252" w:name="_Hlt107925638"/>
      <w:bookmarkEnd w:id="252"/>
      <w:bookmarkStart w:id="253" w:name="_Hlt107925668"/>
      <w:bookmarkEnd w:id="253"/>
      <w:r>
        <w:rPr>
          <w:rFonts w:hint="eastAsia" w:ascii="宋体" w:hAnsi="宋体" w:eastAsia="宋体" w:cs="宋体"/>
          <w:color w:val="auto"/>
          <w:szCs w:val="21"/>
          <w:highlight w:val="none"/>
        </w:rPr>
        <w:t>证明服务或货物的文件，它可以是文字资料、图纸和数据包括但不限于：服务主要内容、标准、质量、人员资质、计划安排、报告审核等的详细说明；对采购文件第三部分《用户需求书》中规定的要求进行详细应答和说明。</w:t>
      </w:r>
    </w:p>
    <w:p w14:paraId="1A6A1730">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有下列情形之一的，视为投标人弄虚作假，其投标无效：</w:t>
      </w:r>
    </w:p>
    <w:p w14:paraId="0B4F0E9D">
      <w:pPr>
        <w:pStyle w:val="47"/>
        <w:widowControl w:val="0"/>
        <w:shd w:val="clear"/>
        <w:adjustRightInd/>
        <w:snapToGrid/>
        <w:ind w:left="425" w:firstLine="0" w:firstLineChars="0"/>
        <w:jc w:val="both"/>
        <w:rPr>
          <w:rFonts w:hint="eastAsia" w:ascii="宋体" w:hAnsi="宋体" w:eastAsia="宋体" w:cs="宋体"/>
          <w:color w:val="auto"/>
          <w:highlight w:val="none"/>
        </w:rPr>
      </w:pPr>
      <w:r>
        <w:rPr>
          <w:rFonts w:hint="eastAsia" w:ascii="宋体" w:hAnsi="宋体" w:eastAsia="宋体" w:cs="宋体"/>
          <w:color w:val="auto"/>
          <w:highlight w:val="none"/>
        </w:rPr>
        <w:t>1、使用通过受让或者租借等方式获取的资格、资质证书投标的，属于以他人名义投标。</w:t>
      </w:r>
    </w:p>
    <w:p w14:paraId="63E0D973">
      <w:pPr>
        <w:pStyle w:val="47"/>
        <w:widowControl w:val="0"/>
        <w:shd w:val="clear"/>
        <w:adjustRightInd/>
        <w:snapToGrid/>
        <w:ind w:left="425" w:firstLine="0" w:firstLineChars="0"/>
        <w:jc w:val="both"/>
        <w:rPr>
          <w:rFonts w:hint="eastAsia" w:ascii="宋体" w:hAnsi="宋体" w:eastAsia="宋体" w:cs="宋体"/>
          <w:color w:val="auto"/>
          <w:highlight w:val="none"/>
        </w:rPr>
      </w:pPr>
      <w:r>
        <w:rPr>
          <w:rFonts w:hint="eastAsia" w:ascii="宋体" w:hAnsi="宋体" w:eastAsia="宋体" w:cs="宋体"/>
          <w:color w:val="auto"/>
          <w:highlight w:val="none"/>
        </w:rPr>
        <w:t>2、投标人有下列情形之一的，属于以其他方式弄虚作假的行为：</w:t>
      </w:r>
    </w:p>
    <w:p w14:paraId="00EDA445">
      <w:pPr>
        <w:pStyle w:val="47"/>
        <w:widowControl w:val="0"/>
        <w:shd w:val="clear"/>
        <w:adjustRightInd/>
        <w:snapToGrid/>
        <w:ind w:left="425" w:firstLine="0" w:firstLineChars="0"/>
        <w:jc w:val="both"/>
        <w:rPr>
          <w:rFonts w:hint="eastAsia" w:ascii="宋体" w:hAnsi="宋体" w:eastAsia="宋体" w:cs="宋体"/>
          <w:color w:val="auto"/>
          <w:highlight w:val="none"/>
        </w:rPr>
      </w:pPr>
      <w:r>
        <w:rPr>
          <w:rFonts w:hint="eastAsia" w:ascii="宋体" w:hAnsi="宋体" w:eastAsia="宋体" w:cs="宋体"/>
          <w:color w:val="auto"/>
          <w:highlight w:val="none"/>
        </w:rPr>
        <w:t>（1）使用伪造、变造的许可证件；</w:t>
      </w:r>
    </w:p>
    <w:p w14:paraId="490070FD">
      <w:pPr>
        <w:pStyle w:val="47"/>
        <w:widowControl w:val="0"/>
        <w:shd w:val="clear"/>
        <w:adjustRightInd/>
        <w:snapToGrid/>
        <w:ind w:left="425" w:firstLine="0" w:firstLineChars="0"/>
        <w:jc w:val="both"/>
        <w:rPr>
          <w:rFonts w:hint="eastAsia" w:ascii="宋体" w:hAnsi="宋体" w:eastAsia="宋体" w:cs="宋体"/>
          <w:color w:val="auto"/>
          <w:highlight w:val="none"/>
        </w:rPr>
      </w:pPr>
      <w:r>
        <w:rPr>
          <w:rFonts w:hint="eastAsia" w:ascii="宋体" w:hAnsi="宋体" w:eastAsia="宋体" w:cs="宋体"/>
          <w:color w:val="auto"/>
          <w:highlight w:val="none"/>
        </w:rPr>
        <w:t>（2）提供虚假的财务状况或者业绩；</w:t>
      </w:r>
    </w:p>
    <w:p w14:paraId="47D68F77">
      <w:pPr>
        <w:pStyle w:val="47"/>
        <w:widowControl w:val="0"/>
        <w:shd w:val="clear"/>
        <w:adjustRightInd/>
        <w:snapToGrid/>
        <w:ind w:left="425" w:firstLine="0" w:firstLineChars="0"/>
        <w:jc w:val="both"/>
        <w:rPr>
          <w:rFonts w:hint="eastAsia" w:ascii="宋体" w:hAnsi="宋体" w:eastAsia="宋体" w:cs="宋体"/>
          <w:color w:val="auto"/>
          <w:highlight w:val="none"/>
        </w:rPr>
      </w:pPr>
      <w:r>
        <w:rPr>
          <w:rFonts w:hint="eastAsia" w:ascii="宋体" w:hAnsi="宋体" w:eastAsia="宋体" w:cs="宋体"/>
          <w:color w:val="auto"/>
          <w:highlight w:val="none"/>
        </w:rPr>
        <w:t>（3）提供虚假的项目负责人或者主要技术人员简历、劳动关系证明；</w:t>
      </w:r>
    </w:p>
    <w:p w14:paraId="7CEF2F28">
      <w:pPr>
        <w:pStyle w:val="47"/>
        <w:widowControl w:val="0"/>
        <w:shd w:val="clear"/>
        <w:adjustRightInd/>
        <w:snapToGrid/>
        <w:ind w:left="425" w:firstLine="0" w:firstLineChars="0"/>
        <w:jc w:val="both"/>
        <w:rPr>
          <w:rFonts w:hint="eastAsia" w:ascii="宋体" w:hAnsi="宋体" w:eastAsia="宋体" w:cs="宋体"/>
          <w:color w:val="auto"/>
          <w:highlight w:val="none"/>
        </w:rPr>
      </w:pPr>
      <w:r>
        <w:rPr>
          <w:rFonts w:hint="eastAsia" w:ascii="宋体" w:hAnsi="宋体" w:eastAsia="宋体" w:cs="宋体"/>
          <w:color w:val="auto"/>
          <w:highlight w:val="none"/>
        </w:rPr>
        <w:t>（4）提供虚假的信用状况；</w:t>
      </w:r>
    </w:p>
    <w:p w14:paraId="06E79BED">
      <w:pPr>
        <w:pStyle w:val="47"/>
        <w:widowControl w:val="0"/>
        <w:shd w:val="clear"/>
        <w:adjustRightInd/>
        <w:snapToGrid/>
        <w:ind w:left="425" w:firstLine="0" w:firstLineChars="0"/>
        <w:jc w:val="both"/>
        <w:rPr>
          <w:rFonts w:hint="eastAsia" w:ascii="宋体" w:hAnsi="宋体" w:eastAsia="宋体" w:cs="宋体"/>
          <w:color w:val="auto"/>
          <w:highlight w:val="none"/>
        </w:rPr>
      </w:pPr>
      <w:r>
        <w:rPr>
          <w:rFonts w:hint="eastAsia" w:ascii="宋体" w:hAnsi="宋体" w:eastAsia="宋体" w:cs="宋体"/>
          <w:color w:val="auto"/>
          <w:highlight w:val="none"/>
        </w:rPr>
        <w:t>（5）其他弄虚作假的行为。</w:t>
      </w:r>
    </w:p>
    <w:p w14:paraId="06424A87">
      <w:pPr>
        <w:pStyle w:val="5"/>
        <w:widowControl w:val="0"/>
        <w:numPr>
          <w:ilvl w:val="0"/>
          <w:numId w:val="3"/>
        </w:numPr>
        <w:shd w:val="clear"/>
        <w:overflowPunct w:val="0"/>
        <w:rPr>
          <w:rFonts w:hint="eastAsia" w:ascii="宋体" w:hAnsi="宋体" w:eastAsia="宋体" w:cs="宋体"/>
          <w:color w:val="auto"/>
          <w:sz w:val="21"/>
          <w:szCs w:val="21"/>
          <w:highlight w:val="none"/>
        </w:rPr>
      </w:pPr>
      <w:bookmarkStart w:id="254" w:name="_Toc7077"/>
      <w:bookmarkStart w:id="255" w:name="_Toc6014"/>
      <w:bookmarkStart w:id="256" w:name="_Toc10924"/>
      <w:bookmarkStart w:id="257" w:name="_Toc30708"/>
      <w:bookmarkStart w:id="258" w:name="_Toc8324"/>
      <w:bookmarkStart w:id="259" w:name="_Toc2409"/>
      <w:bookmarkStart w:id="260" w:name="_Toc1589"/>
      <w:bookmarkStart w:id="261" w:name="_Toc15279"/>
      <w:bookmarkStart w:id="262" w:name="_Toc566"/>
      <w:r>
        <w:rPr>
          <w:rFonts w:hint="eastAsia" w:ascii="宋体" w:hAnsi="宋体" w:eastAsia="宋体" w:cs="宋体"/>
          <w:color w:val="auto"/>
          <w:sz w:val="21"/>
          <w:szCs w:val="21"/>
          <w:highlight w:val="none"/>
        </w:rPr>
        <w:t>投标有效期</w:t>
      </w:r>
      <w:bookmarkEnd w:id="254"/>
      <w:bookmarkEnd w:id="255"/>
      <w:bookmarkEnd w:id="256"/>
      <w:bookmarkEnd w:id="257"/>
      <w:bookmarkEnd w:id="258"/>
      <w:bookmarkEnd w:id="259"/>
      <w:bookmarkEnd w:id="260"/>
      <w:bookmarkEnd w:id="261"/>
      <w:bookmarkEnd w:id="262"/>
    </w:p>
    <w:p w14:paraId="69E0E7A5">
      <w:pPr>
        <w:pStyle w:val="47"/>
        <w:widowControl w:val="0"/>
        <w:numPr>
          <w:ilvl w:val="0"/>
          <w:numId w:val="0"/>
        </w:numPr>
        <w:shd w:val="clear"/>
        <w:adjustRightInd/>
        <w:snapToGrid/>
        <w:ind w:leftChars="0"/>
        <w:jc w:val="both"/>
        <w:rPr>
          <w:rFonts w:hint="eastAsia" w:ascii="宋体" w:hAnsi="宋体" w:eastAsia="宋体" w:cs="宋体"/>
          <w:vanish/>
          <w:color w:val="auto"/>
          <w:szCs w:val="21"/>
          <w:highlight w:val="none"/>
        </w:rPr>
      </w:pPr>
    </w:p>
    <w:p w14:paraId="0717B5F0">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投标文件应根据投标人须知的规定在投标截止日后的90天内保持有效。</w:t>
      </w:r>
    </w:p>
    <w:p w14:paraId="689FFB1F">
      <w:pPr>
        <w:widowControl w:val="0"/>
        <w:shd w:val="clear"/>
        <w:adjustRightInd/>
        <w:snapToGrid/>
        <w:ind w:left="567"/>
        <w:jc w:val="both"/>
        <w:rPr>
          <w:rFonts w:hint="eastAsia" w:ascii="宋体" w:hAnsi="宋体" w:eastAsia="宋体" w:cs="宋体"/>
          <w:color w:val="auto"/>
          <w:highlight w:val="none"/>
        </w:rPr>
      </w:pPr>
    </w:p>
    <w:p w14:paraId="2737B839">
      <w:pPr>
        <w:pStyle w:val="5"/>
        <w:widowControl w:val="0"/>
        <w:numPr>
          <w:ilvl w:val="0"/>
          <w:numId w:val="3"/>
        </w:numPr>
        <w:shd w:val="clear"/>
        <w:overflowPunct w:val="0"/>
        <w:rPr>
          <w:rFonts w:hint="eastAsia" w:ascii="宋体" w:hAnsi="宋体" w:eastAsia="宋体" w:cs="宋体"/>
          <w:color w:val="auto"/>
          <w:sz w:val="21"/>
          <w:szCs w:val="21"/>
          <w:highlight w:val="none"/>
        </w:rPr>
      </w:pPr>
      <w:bookmarkStart w:id="263" w:name="_Toc26564"/>
      <w:bookmarkStart w:id="264" w:name="_Toc11268"/>
      <w:bookmarkStart w:id="265" w:name="_Toc4156"/>
      <w:bookmarkStart w:id="266" w:name="_Toc6348"/>
      <w:bookmarkStart w:id="267" w:name="_Toc29597"/>
      <w:bookmarkStart w:id="268" w:name="_Toc26615"/>
      <w:bookmarkStart w:id="269" w:name="_Toc12582"/>
      <w:bookmarkStart w:id="270" w:name="_Toc31422"/>
      <w:bookmarkStart w:id="271" w:name="_Toc14244"/>
      <w:r>
        <w:rPr>
          <w:rFonts w:hint="eastAsia" w:ascii="宋体" w:hAnsi="宋体" w:eastAsia="宋体" w:cs="宋体"/>
          <w:color w:val="auto"/>
          <w:sz w:val="21"/>
          <w:szCs w:val="21"/>
          <w:highlight w:val="none"/>
        </w:rPr>
        <w:t>投标保证金</w:t>
      </w:r>
      <w:bookmarkEnd w:id="263"/>
      <w:bookmarkEnd w:id="264"/>
      <w:bookmarkEnd w:id="265"/>
      <w:bookmarkEnd w:id="266"/>
      <w:bookmarkEnd w:id="267"/>
      <w:bookmarkEnd w:id="268"/>
      <w:bookmarkEnd w:id="269"/>
      <w:bookmarkEnd w:id="270"/>
      <w:bookmarkEnd w:id="271"/>
    </w:p>
    <w:p w14:paraId="3CA7A65A">
      <w:pPr>
        <w:pStyle w:val="47"/>
        <w:widowControl w:val="0"/>
        <w:numPr>
          <w:ilvl w:val="0"/>
          <w:numId w:val="0"/>
        </w:numPr>
        <w:shd w:val="clear"/>
        <w:adjustRightInd/>
        <w:snapToGrid/>
        <w:ind w:leftChars="0"/>
        <w:jc w:val="both"/>
        <w:rPr>
          <w:rFonts w:hint="eastAsia" w:ascii="宋体" w:hAnsi="宋体" w:eastAsia="宋体" w:cs="宋体"/>
          <w:vanish/>
          <w:color w:val="auto"/>
          <w:szCs w:val="21"/>
          <w:highlight w:val="none"/>
        </w:rPr>
      </w:pPr>
      <w:bookmarkStart w:id="272" w:name="_Ref179619405"/>
    </w:p>
    <w:p w14:paraId="491B57D1">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投标人应在投标文件递交截止前提交相应的投标保证金，并作为其投标的一部分。</w:t>
      </w:r>
      <w:bookmarkEnd w:id="272"/>
    </w:p>
    <w:p w14:paraId="1195C6C5">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投标保证金是为了保护采购代理机构和采购人免遭因投标人的行为而蒙受的损失。采购代理机构和采购人在因投标人的行为受到损害时可根据本须知（17.7）的规定没收投标人的投标保证金。</w:t>
      </w:r>
    </w:p>
    <w:p w14:paraId="20EF54AE">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保证金采用转账、电汇方式方式提交，应符合以下要求：采用银行转账、电汇方式提交的，保证金汇入《投标资料表》中投标保证金专用账户，不接收由以投标人分支机构、私人账户和其他单位转入的保证金。投标保证金必须在投标文件递交截止前到账，投标保证金未按规定时间到达指定账户或提交金额不足的，将被视为无效投标。且在备注或用途中注明本项目的项目编号。</w:t>
      </w:r>
    </w:p>
    <w:p w14:paraId="73576B34">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凡没有根据本须知（17.1和17.3）的规定随附有效的投标保证金的投标，将被视为非响应性投标予以拒绝。</w:t>
      </w:r>
    </w:p>
    <w:p w14:paraId="0E853E71">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投标保证金有效期应当与投标有效期一致。采购人如果按照采购文件另外规定延长了投标文件有效期，则投标担保的有效期也相应延长。</w:t>
      </w:r>
    </w:p>
    <w:p w14:paraId="28EC1844">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中标人在签订采购合同并按采购文件第（33）条规定提交履约担保金后，携带退保证金声明函、投标保证金汇款单复印件（加盖公章）和合同正本到采购人处办理投标保证金（无息）退回手续。</w:t>
      </w:r>
    </w:p>
    <w:p w14:paraId="4E2FD222">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下列任何情况发生时，投标保证金将不予退还：</w:t>
      </w:r>
    </w:p>
    <w:p w14:paraId="43BC88BD">
      <w:pPr>
        <w:widowControl w:val="0"/>
        <w:shd w:val="clear"/>
        <w:adjustRightInd/>
        <w:snapToGrid/>
        <w:ind w:left="540" w:leftChars="257"/>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（1）投标人在采购文件中规定的投标有效期内撤回其投标；</w:t>
      </w:r>
    </w:p>
    <w:p w14:paraId="32266F1D">
      <w:pPr>
        <w:widowControl w:val="0"/>
        <w:shd w:val="clear"/>
        <w:adjustRightInd/>
        <w:snapToGrid/>
        <w:ind w:left="540" w:leftChars="257"/>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（2）中标人无正当理由不与采购人订立合同，在签订合同时向采购人提出附加条件，或者不按照采购文件要求提交履约保证金的；</w:t>
      </w:r>
    </w:p>
    <w:p w14:paraId="504EFB8B">
      <w:pPr>
        <w:widowControl w:val="0"/>
        <w:shd w:val="clear"/>
        <w:adjustRightInd/>
        <w:snapToGrid/>
        <w:ind w:left="540" w:leftChars="257"/>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（3）中标人将本项目转让给他人，或者在投标文件中未说明，且未经采购人同意，将中标项目分包给他人的；</w:t>
      </w:r>
    </w:p>
    <w:p w14:paraId="55152297">
      <w:pPr>
        <w:widowControl w:val="0"/>
        <w:shd w:val="clear"/>
        <w:adjustRightInd/>
        <w:snapToGrid/>
        <w:ind w:left="540" w:leftChars="257"/>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（4）投标人提供虚假投标文件或虚假补充文件的。</w:t>
      </w:r>
    </w:p>
    <w:p w14:paraId="485FC10B">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在中标通知书发出后，未中标投标人的投标保证金，由采购人自行返还至投标人的原转出账户。</w:t>
      </w:r>
    </w:p>
    <w:p w14:paraId="7A01536E">
      <w:pPr>
        <w:shd w:val="clear"/>
        <w:rPr>
          <w:rFonts w:hint="eastAsia" w:ascii="宋体" w:hAnsi="宋体" w:eastAsia="宋体" w:cs="宋体"/>
          <w:color w:val="auto"/>
          <w:highlight w:val="none"/>
        </w:rPr>
      </w:pPr>
    </w:p>
    <w:p w14:paraId="06514940">
      <w:pPr>
        <w:pStyle w:val="4"/>
        <w:numPr>
          <w:ilvl w:val="0"/>
          <w:numId w:val="2"/>
        </w:numPr>
        <w:shd w:val="clear"/>
        <w:spacing w:before="0" w:after="0" w:line="360" w:lineRule="auto"/>
        <w:jc w:val="center"/>
        <w:rPr>
          <w:rFonts w:hint="eastAsia" w:ascii="宋体" w:hAnsi="宋体" w:eastAsia="宋体" w:cs="宋体"/>
          <w:color w:val="auto"/>
          <w:highlight w:val="none"/>
        </w:rPr>
      </w:pPr>
      <w:bookmarkStart w:id="273" w:name="_Toc21607"/>
      <w:bookmarkStart w:id="274" w:name="_Toc30352"/>
      <w:bookmarkStart w:id="275" w:name="_Toc18326"/>
      <w:bookmarkStart w:id="276" w:name="_Toc29577"/>
      <w:bookmarkStart w:id="277" w:name="_Toc30194"/>
      <w:bookmarkStart w:id="278" w:name="_Toc29932"/>
      <w:bookmarkStart w:id="279" w:name="_Toc8670"/>
      <w:bookmarkStart w:id="280" w:name="_Toc18672"/>
      <w:bookmarkStart w:id="281" w:name="_Toc23675"/>
      <w:r>
        <w:rPr>
          <w:rFonts w:hint="eastAsia" w:ascii="宋体" w:hAnsi="宋体" w:eastAsia="宋体" w:cs="宋体"/>
          <w:color w:val="auto"/>
          <w:highlight w:val="none"/>
        </w:rPr>
        <w:t>投标文件的递交</w:t>
      </w:r>
      <w:bookmarkEnd w:id="273"/>
      <w:bookmarkEnd w:id="274"/>
      <w:bookmarkEnd w:id="275"/>
      <w:bookmarkEnd w:id="276"/>
      <w:bookmarkEnd w:id="277"/>
      <w:bookmarkEnd w:id="278"/>
      <w:bookmarkEnd w:id="279"/>
      <w:bookmarkEnd w:id="280"/>
      <w:bookmarkEnd w:id="281"/>
    </w:p>
    <w:p w14:paraId="01F37269">
      <w:pPr>
        <w:pStyle w:val="5"/>
        <w:widowControl w:val="0"/>
        <w:numPr>
          <w:ilvl w:val="0"/>
          <w:numId w:val="3"/>
        </w:numPr>
        <w:shd w:val="clear"/>
        <w:overflowPunct w:val="0"/>
        <w:rPr>
          <w:rFonts w:hint="eastAsia" w:ascii="宋体" w:hAnsi="宋体" w:eastAsia="宋体" w:cs="宋体"/>
          <w:color w:val="auto"/>
          <w:sz w:val="21"/>
          <w:szCs w:val="21"/>
          <w:highlight w:val="none"/>
        </w:rPr>
      </w:pPr>
      <w:bookmarkStart w:id="282" w:name="_Toc24997"/>
      <w:bookmarkStart w:id="283" w:name="_Toc10417"/>
      <w:bookmarkStart w:id="284" w:name="_Toc1480"/>
      <w:bookmarkStart w:id="285" w:name="_Toc25274"/>
      <w:bookmarkStart w:id="286" w:name="_Toc23775"/>
      <w:bookmarkStart w:id="287" w:name="_Toc20989"/>
      <w:bookmarkStart w:id="288" w:name="_Toc382049111"/>
      <w:bookmarkStart w:id="289" w:name="_Toc303084264"/>
      <w:bookmarkStart w:id="290" w:name="_Toc11158"/>
      <w:bookmarkStart w:id="291" w:name="_Toc25480"/>
      <w:bookmarkStart w:id="292" w:name="_Toc9759"/>
      <w:bookmarkStart w:id="293" w:name="_Toc24150"/>
      <w:r>
        <w:rPr>
          <w:rFonts w:hint="eastAsia" w:ascii="宋体" w:hAnsi="宋体" w:eastAsia="宋体" w:cs="宋体"/>
          <w:color w:val="auto"/>
          <w:sz w:val="21"/>
          <w:szCs w:val="21"/>
          <w:highlight w:val="none"/>
        </w:rPr>
        <w:t>投标文件的装订，签署，密封和标记</w:t>
      </w:r>
      <w:bookmarkEnd w:id="282"/>
      <w:bookmarkEnd w:id="283"/>
      <w:bookmarkEnd w:id="284"/>
      <w:bookmarkEnd w:id="285"/>
      <w:bookmarkEnd w:id="286"/>
      <w:bookmarkEnd w:id="287"/>
      <w:bookmarkEnd w:id="288"/>
      <w:bookmarkEnd w:id="289"/>
      <w:bookmarkEnd w:id="290"/>
      <w:bookmarkEnd w:id="291"/>
      <w:bookmarkEnd w:id="292"/>
      <w:bookmarkEnd w:id="293"/>
    </w:p>
    <w:p w14:paraId="3411B3FC">
      <w:pPr>
        <w:pStyle w:val="47"/>
        <w:widowControl w:val="0"/>
        <w:numPr>
          <w:ilvl w:val="0"/>
          <w:numId w:val="0"/>
        </w:numPr>
        <w:shd w:val="clear"/>
        <w:adjustRightInd/>
        <w:snapToGrid/>
        <w:ind w:leftChars="0"/>
        <w:jc w:val="both"/>
        <w:rPr>
          <w:rFonts w:hint="eastAsia" w:ascii="宋体" w:hAnsi="宋体" w:eastAsia="宋体" w:cs="宋体"/>
          <w:vanish/>
          <w:color w:val="auto"/>
          <w:szCs w:val="21"/>
          <w:highlight w:val="none"/>
        </w:rPr>
      </w:pPr>
    </w:p>
    <w:p w14:paraId="6F9CC9F9">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投标人应按《投标资料表》的份数准备商务文件、技术文件、唱标信封和电子文件（</w:t>
      </w:r>
      <w:r>
        <w:rPr>
          <w:rFonts w:hint="eastAsia" w:ascii="宋体" w:hAnsi="宋体" w:eastAsia="宋体" w:cs="宋体"/>
          <w:b/>
          <w:color w:val="auto"/>
          <w:szCs w:val="21"/>
          <w:highlight w:val="none"/>
        </w:rPr>
        <w:t>商务文件、技术文件分别单独装订成册</w:t>
      </w:r>
      <w:r>
        <w:rPr>
          <w:rFonts w:hint="eastAsia" w:ascii="宋体" w:hAnsi="宋体" w:eastAsia="宋体" w:cs="宋体"/>
          <w:color w:val="auto"/>
          <w:szCs w:val="21"/>
          <w:highlight w:val="none"/>
        </w:rPr>
        <w:t>），每一份投标文件均需编上页次，装订成册（不允许使用活页夹，否则由此产生的风险由投标人自行承担）。所有投标文件必须封入密封完好的信封或包装，封口加盖公章。</w:t>
      </w:r>
    </w:p>
    <w:p w14:paraId="373097A8">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文件正本均须用不褪色墨水书写或打印。投标文件的副本可采用投标文件的正本复印件，每套投标文件应当标明“正本”、“副本”的字样。投标文件的【正本】及所有【副本】的封面及骑缝均须加盖投标人公章（文件每页盖章等同于盖骑缝章）。若正本与副本不符，以正本为准。</w:t>
      </w:r>
    </w:p>
    <w:p w14:paraId="62776638">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联合体投标文件的【正本】及【副本】的封面及骑缝均须加盖所有联合体组成成员的公章。（文件每页盖章等同于盖骑缝章）</w:t>
      </w:r>
    </w:p>
    <w:p w14:paraId="376BC9EF">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电子文件内容包括：由投标人自行制作的与正本文件一致的所有文件。电子文件由光盘或U盘储存，并注明投标人名称及项目名称、采购项目编号，随投标文件一同密封提交。</w:t>
      </w:r>
    </w:p>
    <w:p w14:paraId="07D036C7">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除投标人对错误处修改外，全套投标文件应无涂改或行间插字和增删。如有修改，修改处须由法定代表人或其正式授权代表在旁边签字及盖章。</w:t>
      </w:r>
    </w:p>
    <w:p w14:paraId="6935C1D3">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投标人应将投标文件进行非透明的封装，以防止投标文件内容的泄露。采购代理机构将拒绝接收采用透明包装进行密封的投标文件。</w:t>
      </w:r>
    </w:p>
    <w:p w14:paraId="4841745A">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密封破损导致投标文件内容直接或间接泄露的投标文件，采购代理机构将拒绝接收。</w:t>
      </w:r>
    </w:p>
    <w:p w14:paraId="17E9E7C0">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为方便开标唱标，投标人应将开标一览表和授权委托书单独密封提交，并在信封上标明“唱标信封”字样。唱标信封内还须包括并不限于：投标保证金支付凭证银行汇款底单（复印件加盖公章，原件随身携带，以备查核）和投标保证金汇入情况说明（加盖公章）。投标人的法定代表人参加投标时，须开具法定代表人证明书，按上述要求与开标一览表一并密封提交。“唱标信封”份数及签章等要求与投标文件正本相同（1份）。</w:t>
      </w:r>
    </w:p>
    <w:p w14:paraId="5BE8333C">
      <w:pPr>
        <w:widowControl w:val="0"/>
        <w:numPr>
          <w:ilvl w:val="1"/>
          <w:numId w:val="3"/>
        </w:numPr>
        <w:shd w:val="clear"/>
        <w:overflowPunct w:val="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未单独提交唱标信封的投标人投标文件不进行唱标，投标文件作无效处理。</w:t>
      </w:r>
    </w:p>
    <w:p w14:paraId="6206AA94">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所有的信封均应注明： </w:t>
      </w:r>
    </w:p>
    <w:p w14:paraId="6CD9492B">
      <w:pPr>
        <w:widowControl w:val="0"/>
        <w:numPr>
          <w:ilvl w:val="0"/>
          <w:numId w:val="5"/>
        </w:numPr>
        <w:shd w:val="clear"/>
        <w:adjustRightInd/>
        <w:snapToGrid/>
        <w:ind w:left="567"/>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收件人： </w:t>
      </w:r>
    </w:p>
    <w:p w14:paraId="0369F0D0">
      <w:pPr>
        <w:widowControl w:val="0"/>
        <w:numPr>
          <w:ilvl w:val="0"/>
          <w:numId w:val="5"/>
        </w:numPr>
        <w:shd w:val="clear"/>
        <w:adjustRightInd/>
        <w:snapToGrid/>
        <w:ind w:left="567"/>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投标单位名称：</w:t>
      </w:r>
    </w:p>
    <w:p w14:paraId="4816C25E">
      <w:pPr>
        <w:widowControl w:val="0"/>
        <w:numPr>
          <w:ilvl w:val="0"/>
          <w:numId w:val="5"/>
        </w:numPr>
        <w:shd w:val="clear"/>
        <w:adjustRightInd/>
        <w:snapToGrid/>
        <w:ind w:left="567"/>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项目名称：</w:t>
      </w:r>
    </w:p>
    <w:p w14:paraId="24822FD4">
      <w:pPr>
        <w:widowControl w:val="0"/>
        <w:numPr>
          <w:ilvl w:val="0"/>
          <w:numId w:val="5"/>
        </w:numPr>
        <w:shd w:val="clear"/>
        <w:adjustRightInd/>
        <w:snapToGrid/>
        <w:ind w:left="567"/>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项目采购项目编号：</w:t>
      </w:r>
    </w:p>
    <w:p w14:paraId="48434CB6">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密封信封上的项目编号错误或项目名称出现严重歧义的（包括采购内容不符），采购代理机构将拒绝接收。</w:t>
      </w:r>
    </w:p>
    <w:p w14:paraId="5DCC31EE">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采购代理机构对所有投标文件的误投或提前启封概不负责。</w:t>
      </w:r>
    </w:p>
    <w:p w14:paraId="0271595C">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投标人同时参加几个包投标时必须按采购文件要求按包号分别制作投标文件，分别密封递交。</w:t>
      </w:r>
    </w:p>
    <w:p w14:paraId="344C4F67">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传真、电传的投标文件将被拒绝。</w:t>
      </w:r>
    </w:p>
    <w:p w14:paraId="51FFE33A">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递交的投标文件中所提供的通讯方式应保持联络畅通，因联系不上而导致的所有后果由投标人自行承担。</w:t>
      </w:r>
    </w:p>
    <w:p w14:paraId="78CE692A">
      <w:pPr>
        <w:shd w:val="clear"/>
        <w:rPr>
          <w:rFonts w:hint="eastAsia" w:ascii="宋体" w:hAnsi="宋体" w:eastAsia="宋体" w:cs="宋体"/>
          <w:color w:val="auto"/>
          <w:highlight w:val="none"/>
        </w:rPr>
      </w:pPr>
    </w:p>
    <w:p w14:paraId="71109BFF">
      <w:pPr>
        <w:pStyle w:val="5"/>
        <w:widowControl w:val="0"/>
        <w:numPr>
          <w:ilvl w:val="0"/>
          <w:numId w:val="3"/>
        </w:numPr>
        <w:shd w:val="clear"/>
        <w:overflowPunct w:val="0"/>
        <w:rPr>
          <w:rFonts w:hint="eastAsia" w:ascii="宋体" w:hAnsi="宋体" w:eastAsia="宋体" w:cs="宋体"/>
          <w:color w:val="auto"/>
          <w:sz w:val="21"/>
          <w:szCs w:val="21"/>
          <w:highlight w:val="none"/>
        </w:rPr>
      </w:pPr>
      <w:bookmarkStart w:id="294" w:name="_Toc25206"/>
      <w:bookmarkStart w:id="295" w:name="_Toc32750"/>
      <w:bookmarkStart w:id="296" w:name="_Toc5771"/>
      <w:bookmarkStart w:id="297" w:name="_Toc29116"/>
      <w:bookmarkStart w:id="298" w:name="_Toc5785"/>
      <w:bookmarkStart w:id="299" w:name="_Toc27686"/>
      <w:bookmarkStart w:id="300" w:name="_Toc28289"/>
      <w:bookmarkStart w:id="301" w:name="_Toc25895"/>
      <w:bookmarkStart w:id="302" w:name="_Toc23256"/>
      <w:r>
        <w:rPr>
          <w:rFonts w:hint="eastAsia" w:ascii="宋体" w:hAnsi="宋体" w:eastAsia="宋体" w:cs="宋体"/>
          <w:color w:val="auto"/>
          <w:sz w:val="21"/>
          <w:szCs w:val="21"/>
          <w:highlight w:val="none"/>
        </w:rPr>
        <w:t>迟交的投标文件</w:t>
      </w:r>
      <w:bookmarkEnd w:id="294"/>
      <w:bookmarkEnd w:id="295"/>
      <w:bookmarkEnd w:id="296"/>
      <w:bookmarkEnd w:id="297"/>
      <w:bookmarkEnd w:id="298"/>
      <w:bookmarkEnd w:id="299"/>
      <w:bookmarkEnd w:id="300"/>
      <w:bookmarkEnd w:id="301"/>
      <w:bookmarkEnd w:id="302"/>
    </w:p>
    <w:p w14:paraId="0B750729">
      <w:pPr>
        <w:pStyle w:val="47"/>
        <w:widowControl w:val="0"/>
        <w:numPr>
          <w:ilvl w:val="0"/>
          <w:numId w:val="0"/>
        </w:numPr>
        <w:shd w:val="clear"/>
        <w:adjustRightInd/>
        <w:snapToGrid/>
        <w:ind w:leftChars="0"/>
        <w:jc w:val="both"/>
        <w:rPr>
          <w:rFonts w:hint="eastAsia" w:ascii="宋体" w:hAnsi="宋体" w:eastAsia="宋体" w:cs="宋体"/>
          <w:vanish/>
          <w:color w:val="auto"/>
          <w:szCs w:val="21"/>
          <w:highlight w:val="none"/>
        </w:rPr>
      </w:pPr>
    </w:p>
    <w:p w14:paraId="3841DB01">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投标人在投标截止时间之后提交的投标文件，采购代理机构将拒绝接收。</w:t>
      </w:r>
    </w:p>
    <w:p w14:paraId="196C272B">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有违反其他法律规定情形的，采购代理机构将拒绝接收。</w:t>
      </w:r>
    </w:p>
    <w:p w14:paraId="0C22E726">
      <w:pPr>
        <w:shd w:val="clear"/>
        <w:rPr>
          <w:rFonts w:hint="eastAsia" w:ascii="宋体" w:hAnsi="宋体" w:eastAsia="宋体" w:cs="宋体"/>
          <w:color w:val="auto"/>
          <w:highlight w:val="none"/>
        </w:rPr>
      </w:pPr>
    </w:p>
    <w:p w14:paraId="504302BC">
      <w:pPr>
        <w:pStyle w:val="5"/>
        <w:widowControl w:val="0"/>
        <w:numPr>
          <w:ilvl w:val="0"/>
          <w:numId w:val="3"/>
        </w:numPr>
        <w:shd w:val="clear"/>
        <w:overflowPunct w:val="0"/>
        <w:rPr>
          <w:rFonts w:hint="eastAsia" w:ascii="宋体" w:hAnsi="宋体" w:eastAsia="宋体" w:cs="宋体"/>
          <w:color w:val="auto"/>
          <w:sz w:val="21"/>
          <w:szCs w:val="21"/>
          <w:highlight w:val="none"/>
        </w:rPr>
      </w:pPr>
      <w:bookmarkStart w:id="303" w:name="_Toc3838"/>
      <w:bookmarkStart w:id="304" w:name="_Toc2229"/>
      <w:bookmarkStart w:id="305" w:name="_Toc17256"/>
      <w:bookmarkStart w:id="306" w:name="_Toc9143"/>
      <w:bookmarkStart w:id="307" w:name="_Toc24471"/>
      <w:bookmarkStart w:id="308" w:name="_Toc30203"/>
      <w:bookmarkStart w:id="309" w:name="_Toc8776"/>
      <w:bookmarkStart w:id="310" w:name="_Toc8505"/>
      <w:bookmarkStart w:id="311" w:name="_Toc1217"/>
      <w:r>
        <w:rPr>
          <w:rFonts w:hint="eastAsia" w:ascii="宋体" w:hAnsi="宋体" w:eastAsia="宋体" w:cs="宋体"/>
          <w:color w:val="auto"/>
          <w:sz w:val="21"/>
          <w:szCs w:val="21"/>
          <w:highlight w:val="none"/>
        </w:rPr>
        <w:t>投标样品（如需提交）</w:t>
      </w:r>
      <w:bookmarkEnd w:id="303"/>
      <w:bookmarkEnd w:id="304"/>
      <w:bookmarkEnd w:id="305"/>
      <w:bookmarkEnd w:id="306"/>
      <w:bookmarkEnd w:id="307"/>
      <w:bookmarkEnd w:id="308"/>
      <w:bookmarkEnd w:id="309"/>
      <w:bookmarkEnd w:id="310"/>
      <w:bookmarkEnd w:id="311"/>
    </w:p>
    <w:p w14:paraId="420D07A0">
      <w:pPr>
        <w:pStyle w:val="47"/>
        <w:widowControl w:val="0"/>
        <w:numPr>
          <w:ilvl w:val="0"/>
          <w:numId w:val="0"/>
        </w:numPr>
        <w:shd w:val="clear"/>
        <w:adjustRightInd/>
        <w:snapToGrid/>
        <w:ind w:leftChars="0"/>
        <w:jc w:val="both"/>
        <w:rPr>
          <w:rFonts w:hint="eastAsia" w:ascii="宋体" w:hAnsi="宋体" w:eastAsia="宋体" w:cs="宋体"/>
          <w:vanish/>
          <w:color w:val="auto"/>
          <w:szCs w:val="21"/>
          <w:highlight w:val="none"/>
        </w:rPr>
      </w:pPr>
    </w:p>
    <w:p w14:paraId="292CADA3">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如有必要，采购代理机构可以要求投标人提供本服务项目涉及的部分设备或产品样品，投标人在投标时应提交《样品清单》。</w:t>
      </w:r>
    </w:p>
    <w:p w14:paraId="6C7D905C">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为方便评标，投标人在提供样品时，应在所提供的样品表面显著位置标注投标人的名称、包号、样品名称、采购文件规定的服务或货物编号。</w:t>
      </w:r>
    </w:p>
    <w:p w14:paraId="076A9E80">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样品作为投标文件的一部分，除非另有说明，中标单位的样品将作为履约验收标准的参考不再退还，未中标单位须在中标公告发布后五个工作日内，前往采购代理机构领取投标样品，逾期不领，采购代理机构将不承担样品的保管责任，由此引发的样品丢失、毁损，采购代理机构不予负责。</w:t>
      </w:r>
    </w:p>
    <w:p w14:paraId="5498FDFB">
      <w:pPr>
        <w:shd w:val="clear"/>
        <w:rPr>
          <w:rFonts w:hint="eastAsia" w:ascii="宋体" w:hAnsi="宋体" w:eastAsia="宋体" w:cs="宋体"/>
          <w:color w:val="auto"/>
          <w:highlight w:val="none"/>
        </w:rPr>
      </w:pPr>
    </w:p>
    <w:p w14:paraId="19FA3110">
      <w:pPr>
        <w:pStyle w:val="5"/>
        <w:widowControl w:val="0"/>
        <w:numPr>
          <w:ilvl w:val="0"/>
          <w:numId w:val="3"/>
        </w:numPr>
        <w:shd w:val="clear"/>
        <w:overflowPunct w:val="0"/>
        <w:rPr>
          <w:rFonts w:hint="eastAsia" w:ascii="宋体" w:hAnsi="宋体" w:eastAsia="宋体" w:cs="宋体"/>
          <w:color w:val="auto"/>
          <w:sz w:val="21"/>
          <w:szCs w:val="21"/>
          <w:highlight w:val="none"/>
        </w:rPr>
      </w:pPr>
      <w:bookmarkStart w:id="312" w:name="_Toc1712"/>
      <w:bookmarkStart w:id="313" w:name="_Toc8370"/>
      <w:bookmarkStart w:id="314" w:name="_Toc29635"/>
      <w:bookmarkStart w:id="315" w:name="_Toc15851"/>
      <w:bookmarkStart w:id="316" w:name="_Toc20461"/>
      <w:bookmarkStart w:id="317" w:name="_Toc26183"/>
      <w:bookmarkStart w:id="318" w:name="_Toc17522"/>
      <w:bookmarkStart w:id="319" w:name="_Toc9777"/>
      <w:bookmarkStart w:id="320" w:name="_Toc303084265"/>
      <w:bookmarkStart w:id="321" w:name="_Toc382049112"/>
      <w:bookmarkStart w:id="322" w:name="_Toc29111"/>
      <w:bookmarkStart w:id="323" w:name="_Toc3467"/>
      <w:r>
        <w:rPr>
          <w:rFonts w:hint="eastAsia" w:ascii="宋体" w:hAnsi="宋体" w:eastAsia="宋体" w:cs="宋体"/>
          <w:color w:val="auto"/>
          <w:sz w:val="21"/>
          <w:szCs w:val="21"/>
          <w:highlight w:val="none"/>
        </w:rPr>
        <w:t>投标截止期</w:t>
      </w:r>
      <w:bookmarkEnd w:id="312"/>
      <w:bookmarkEnd w:id="313"/>
      <w:bookmarkEnd w:id="314"/>
      <w:bookmarkEnd w:id="315"/>
      <w:bookmarkEnd w:id="316"/>
      <w:bookmarkEnd w:id="317"/>
      <w:bookmarkEnd w:id="318"/>
      <w:bookmarkEnd w:id="319"/>
      <w:bookmarkEnd w:id="320"/>
      <w:bookmarkEnd w:id="321"/>
      <w:bookmarkEnd w:id="322"/>
      <w:bookmarkEnd w:id="323"/>
    </w:p>
    <w:p w14:paraId="3C6F7704">
      <w:pPr>
        <w:pStyle w:val="47"/>
        <w:widowControl w:val="0"/>
        <w:numPr>
          <w:ilvl w:val="0"/>
          <w:numId w:val="0"/>
        </w:numPr>
        <w:shd w:val="clear"/>
        <w:adjustRightInd/>
        <w:snapToGrid/>
        <w:ind w:leftChars="0"/>
        <w:jc w:val="both"/>
        <w:rPr>
          <w:rFonts w:hint="eastAsia" w:ascii="宋体" w:hAnsi="宋体" w:eastAsia="宋体" w:cs="宋体"/>
          <w:vanish/>
          <w:color w:val="auto"/>
          <w:szCs w:val="21"/>
          <w:highlight w:val="none"/>
        </w:rPr>
      </w:pPr>
    </w:p>
    <w:p w14:paraId="21424FBE">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投标人应在采购文件规定的截止日期和时间内，将投标文件送达到指定地点。</w:t>
      </w:r>
    </w:p>
    <w:p w14:paraId="1BFB8CDF">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采购代理机构可按本须知规定以澄清或修改通知的方式，酌情延长递交投标文件的截止时间。在此情况下，投标人的所有权利和义务以及投标人受制约的截止时间，均以延长后新的投标截止时间为准。</w:t>
      </w:r>
    </w:p>
    <w:p w14:paraId="2A36FE79">
      <w:pPr>
        <w:shd w:val="clear"/>
        <w:rPr>
          <w:rFonts w:hint="eastAsia" w:ascii="宋体" w:hAnsi="宋体" w:eastAsia="宋体" w:cs="宋体"/>
          <w:color w:val="auto"/>
          <w:highlight w:val="none"/>
        </w:rPr>
      </w:pPr>
    </w:p>
    <w:p w14:paraId="5C611F77">
      <w:pPr>
        <w:pStyle w:val="5"/>
        <w:widowControl w:val="0"/>
        <w:numPr>
          <w:ilvl w:val="0"/>
          <w:numId w:val="3"/>
        </w:numPr>
        <w:shd w:val="clear"/>
        <w:overflowPunct w:val="0"/>
        <w:rPr>
          <w:rFonts w:hint="eastAsia" w:ascii="宋体" w:hAnsi="宋体" w:eastAsia="宋体" w:cs="宋体"/>
          <w:color w:val="auto"/>
          <w:sz w:val="21"/>
          <w:szCs w:val="21"/>
          <w:highlight w:val="none"/>
        </w:rPr>
      </w:pPr>
      <w:bookmarkStart w:id="324" w:name="_Toc13646"/>
      <w:bookmarkStart w:id="325" w:name="_Toc631"/>
      <w:bookmarkStart w:id="326" w:name="_Toc31417"/>
      <w:bookmarkStart w:id="327" w:name="_Toc442"/>
      <w:bookmarkStart w:id="328" w:name="_Toc24122"/>
      <w:bookmarkStart w:id="329" w:name="_Toc14518"/>
      <w:bookmarkStart w:id="330" w:name="_Toc29181"/>
      <w:bookmarkStart w:id="331" w:name="_Toc15676"/>
      <w:bookmarkStart w:id="332" w:name="_Toc31881"/>
      <w:r>
        <w:rPr>
          <w:rFonts w:hint="eastAsia" w:ascii="宋体" w:hAnsi="宋体" w:eastAsia="宋体" w:cs="宋体"/>
          <w:color w:val="auto"/>
          <w:sz w:val="21"/>
          <w:szCs w:val="21"/>
          <w:highlight w:val="none"/>
        </w:rPr>
        <w:t>投标文件的补充、修改与撤回</w:t>
      </w:r>
      <w:bookmarkEnd w:id="324"/>
      <w:bookmarkEnd w:id="325"/>
      <w:bookmarkEnd w:id="326"/>
      <w:bookmarkEnd w:id="327"/>
      <w:bookmarkEnd w:id="328"/>
      <w:bookmarkEnd w:id="329"/>
      <w:bookmarkEnd w:id="330"/>
      <w:bookmarkEnd w:id="331"/>
      <w:bookmarkEnd w:id="332"/>
    </w:p>
    <w:p w14:paraId="7BD53837">
      <w:pPr>
        <w:pStyle w:val="47"/>
        <w:widowControl w:val="0"/>
        <w:numPr>
          <w:ilvl w:val="0"/>
          <w:numId w:val="0"/>
        </w:numPr>
        <w:shd w:val="clear"/>
        <w:adjustRightInd/>
        <w:snapToGrid/>
        <w:ind w:leftChars="0"/>
        <w:jc w:val="both"/>
        <w:rPr>
          <w:rFonts w:hint="eastAsia" w:ascii="宋体" w:hAnsi="宋体" w:eastAsia="宋体" w:cs="宋体"/>
          <w:vanish/>
          <w:color w:val="auto"/>
          <w:szCs w:val="21"/>
          <w:highlight w:val="none"/>
        </w:rPr>
      </w:pPr>
    </w:p>
    <w:p w14:paraId="5BC4D9F9">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投标人在提交投标文件截止时间前，可以对所提交的投标文件进行补充、修改或撤回，并以纸质版形式通知采购代理机构。在提交投标文件截止时间之后，投标人不得对其投标文件做出任何的补充和修改。</w:t>
      </w:r>
    </w:p>
    <w:p w14:paraId="5FD83B1E">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投标人对投标文件的补充、修改的内容应当按采购文件要求的签署、盖章、密封后，作为投标文件的组成部分。并按照采购文件规定密封和标记的要求提交，并在投标文件密封袋上标明“补充、修改”字样。</w:t>
      </w:r>
    </w:p>
    <w:p w14:paraId="6445F9D8">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投标文件一经递交不予退还。</w:t>
      </w:r>
    </w:p>
    <w:p w14:paraId="2956418D">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在提交投标文件截止时间至投标有效期满之前，投标人不得撤回其投标，否则其投标保证金将不予退还。</w:t>
      </w:r>
    </w:p>
    <w:p w14:paraId="1C289BC9">
      <w:pPr>
        <w:pStyle w:val="13"/>
        <w:shd w:val="clear"/>
        <w:rPr>
          <w:rFonts w:hint="eastAsia" w:ascii="宋体" w:hAnsi="宋体" w:eastAsia="宋体" w:cs="宋体"/>
          <w:color w:val="auto"/>
          <w:highlight w:val="none"/>
        </w:rPr>
      </w:pPr>
    </w:p>
    <w:p w14:paraId="49163BB5">
      <w:pPr>
        <w:pStyle w:val="4"/>
        <w:numPr>
          <w:ilvl w:val="0"/>
          <w:numId w:val="2"/>
        </w:numPr>
        <w:shd w:val="clear"/>
        <w:spacing w:before="0" w:after="0" w:line="360" w:lineRule="auto"/>
        <w:jc w:val="center"/>
        <w:rPr>
          <w:rFonts w:hint="eastAsia" w:ascii="宋体" w:hAnsi="宋体" w:eastAsia="宋体" w:cs="宋体"/>
          <w:color w:val="auto"/>
          <w:highlight w:val="none"/>
        </w:rPr>
      </w:pPr>
      <w:bookmarkStart w:id="333" w:name="_Toc6983"/>
      <w:bookmarkStart w:id="334" w:name="_Toc27660"/>
      <w:bookmarkStart w:id="335" w:name="_Toc14035"/>
      <w:bookmarkStart w:id="336" w:name="_Toc14167"/>
      <w:bookmarkStart w:id="337" w:name="_Toc28283"/>
      <w:bookmarkStart w:id="338" w:name="_Toc7410"/>
      <w:bookmarkStart w:id="339" w:name="_Toc22435"/>
      <w:bookmarkStart w:id="340" w:name="_Toc14877"/>
      <w:bookmarkStart w:id="341" w:name="_Toc4693"/>
      <w:r>
        <w:rPr>
          <w:rFonts w:hint="eastAsia" w:ascii="宋体" w:hAnsi="宋体" w:eastAsia="宋体" w:cs="宋体"/>
          <w:color w:val="auto"/>
          <w:highlight w:val="none"/>
        </w:rPr>
        <w:t>开标与评标</w:t>
      </w:r>
      <w:bookmarkEnd w:id="333"/>
      <w:bookmarkEnd w:id="334"/>
      <w:bookmarkEnd w:id="335"/>
      <w:bookmarkEnd w:id="336"/>
      <w:bookmarkEnd w:id="337"/>
      <w:bookmarkEnd w:id="338"/>
      <w:bookmarkEnd w:id="339"/>
      <w:bookmarkEnd w:id="340"/>
      <w:bookmarkEnd w:id="341"/>
    </w:p>
    <w:p w14:paraId="50BDBBA3">
      <w:pPr>
        <w:pStyle w:val="5"/>
        <w:widowControl w:val="0"/>
        <w:numPr>
          <w:ilvl w:val="0"/>
          <w:numId w:val="3"/>
        </w:numPr>
        <w:shd w:val="clear"/>
        <w:overflowPunct w:val="0"/>
        <w:rPr>
          <w:rFonts w:hint="eastAsia" w:ascii="宋体" w:hAnsi="宋体" w:eastAsia="宋体" w:cs="宋体"/>
          <w:color w:val="auto"/>
          <w:sz w:val="21"/>
          <w:szCs w:val="21"/>
          <w:highlight w:val="none"/>
        </w:rPr>
      </w:pPr>
      <w:bookmarkStart w:id="342" w:name="_Toc20009"/>
      <w:bookmarkStart w:id="343" w:name="_Toc14115"/>
      <w:bookmarkStart w:id="344" w:name="_Toc18607"/>
      <w:bookmarkStart w:id="345" w:name="_Toc25526"/>
      <w:bookmarkStart w:id="346" w:name="_Toc9776"/>
      <w:bookmarkStart w:id="347" w:name="_Toc31671"/>
      <w:bookmarkStart w:id="348" w:name="_Toc17405"/>
      <w:bookmarkStart w:id="349" w:name="_Toc25839"/>
      <w:bookmarkStart w:id="350" w:name="_Toc17513"/>
      <w:r>
        <w:rPr>
          <w:rFonts w:hint="eastAsia" w:ascii="宋体" w:hAnsi="宋体" w:eastAsia="宋体" w:cs="宋体"/>
          <w:color w:val="auto"/>
          <w:sz w:val="21"/>
          <w:szCs w:val="21"/>
          <w:highlight w:val="none"/>
        </w:rPr>
        <w:t>开标</w:t>
      </w:r>
      <w:bookmarkEnd w:id="342"/>
      <w:bookmarkEnd w:id="343"/>
      <w:bookmarkEnd w:id="344"/>
      <w:bookmarkEnd w:id="345"/>
      <w:bookmarkEnd w:id="346"/>
      <w:bookmarkEnd w:id="347"/>
      <w:bookmarkEnd w:id="348"/>
      <w:bookmarkEnd w:id="349"/>
      <w:bookmarkEnd w:id="350"/>
    </w:p>
    <w:p w14:paraId="32FBCDA1">
      <w:pPr>
        <w:pStyle w:val="47"/>
        <w:widowControl w:val="0"/>
        <w:numPr>
          <w:ilvl w:val="0"/>
          <w:numId w:val="0"/>
        </w:numPr>
        <w:shd w:val="clear"/>
        <w:adjustRightInd/>
        <w:snapToGrid/>
        <w:ind w:leftChars="0"/>
        <w:jc w:val="both"/>
        <w:rPr>
          <w:rFonts w:hint="eastAsia" w:ascii="宋体" w:hAnsi="宋体" w:eastAsia="宋体" w:cs="宋体"/>
          <w:vanish/>
          <w:color w:val="auto"/>
          <w:szCs w:val="21"/>
          <w:highlight w:val="none"/>
        </w:rPr>
      </w:pPr>
    </w:p>
    <w:p w14:paraId="2EA2FD2D">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采购代理机构按本采购文件所规定的时间和地点公开开标，并邀请所有投标人代表参加。</w:t>
      </w:r>
    </w:p>
    <w:p w14:paraId="21337D43">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开标程序：</w:t>
      </w:r>
    </w:p>
    <w:p w14:paraId="00E3F522">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开标会由采购代理机构主持，投标人的法定代表人或其授权代表携带有效身份证明准时参加开标会并签名报到。</w:t>
      </w:r>
    </w:p>
    <w:p w14:paraId="1FF62D1F">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开标时，由投标人或者其推选的代表检查投标文件的密封情况；经确认无误后，由采购人或者采购代理机构工作人员当众拆封，宣布投标人名称、采购文件规定的需要宣布的其他内容；</w:t>
      </w:r>
    </w:p>
    <w:p w14:paraId="27786C4A">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代表对开标过程和开标记录有异议，以及认为采购人、采购代理机构相关工作人员有需要回避的情形的，应当场提出询问或者回避申请。开标现场未提出异议的视为认同开标结果。开标结束后，投标人对开标过程和开标记录不得再提出异议。</w:t>
      </w:r>
    </w:p>
    <w:p w14:paraId="13D4D5B1">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投标人未参加开标的，视同认可开标结果。</w:t>
      </w:r>
    </w:p>
    <w:p w14:paraId="5F31FF2E">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合格投标人不足3家的，不得开标；</w:t>
      </w:r>
    </w:p>
    <w:p w14:paraId="58973D99">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开标过程应当由采购人或者采购代理机构负责记录，由参加开标的各投标人代表和相关工作人员签字确认。</w:t>
      </w:r>
    </w:p>
    <w:p w14:paraId="77906ABE">
      <w:pPr>
        <w:widowControl w:val="0"/>
        <w:shd w:val="clear"/>
        <w:adjustRightInd/>
        <w:snapToGrid/>
        <w:ind w:left="567"/>
        <w:jc w:val="both"/>
        <w:rPr>
          <w:rFonts w:hint="eastAsia" w:ascii="宋体" w:hAnsi="宋体" w:eastAsia="宋体" w:cs="宋体"/>
          <w:color w:val="auto"/>
          <w:highlight w:val="none"/>
        </w:rPr>
      </w:pPr>
    </w:p>
    <w:p w14:paraId="76352EEF">
      <w:pPr>
        <w:pStyle w:val="5"/>
        <w:widowControl w:val="0"/>
        <w:numPr>
          <w:ilvl w:val="0"/>
          <w:numId w:val="3"/>
        </w:numPr>
        <w:shd w:val="clear"/>
        <w:overflowPunct w:val="0"/>
        <w:rPr>
          <w:rFonts w:hint="eastAsia" w:ascii="宋体" w:hAnsi="宋体" w:eastAsia="宋体" w:cs="宋体"/>
          <w:color w:val="auto"/>
          <w:sz w:val="21"/>
          <w:szCs w:val="21"/>
          <w:highlight w:val="none"/>
        </w:rPr>
      </w:pPr>
      <w:bookmarkStart w:id="351" w:name="_Toc10668"/>
      <w:bookmarkStart w:id="352" w:name="_Toc24889"/>
      <w:bookmarkStart w:id="353" w:name="_Toc15560"/>
      <w:bookmarkStart w:id="354" w:name="_Toc3528"/>
      <w:bookmarkStart w:id="355" w:name="_Toc25976"/>
      <w:bookmarkStart w:id="356" w:name="_Toc2612"/>
      <w:bookmarkStart w:id="357" w:name="_Toc14903"/>
      <w:bookmarkStart w:id="358" w:name="_Toc27516"/>
      <w:bookmarkStart w:id="359" w:name="_Toc29690"/>
      <w:r>
        <w:rPr>
          <w:rFonts w:hint="eastAsia" w:ascii="宋体" w:hAnsi="宋体" w:eastAsia="宋体" w:cs="宋体"/>
          <w:color w:val="auto"/>
          <w:sz w:val="21"/>
          <w:szCs w:val="21"/>
          <w:highlight w:val="none"/>
        </w:rPr>
        <w:t>评标委员会及评标方法</w:t>
      </w:r>
      <w:bookmarkEnd w:id="351"/>
      <w:bookmarkEnd w:id="352"/>
      <w:bookmarkEnd w:id="353"/>
      <w:bookmarkEnd w:id="354"/>
      <w:bookmarkEnd w:id="355"/>
      <w:bookmarkEnd w:id="356"/>
      <w:bookmarkEnd w:id="357"/>
      <w:bookmarkEnd w:id="358"/>
      <w:bookmarkEnd w:id="359"/>
    </w:p>
    <w:p w14:paraId="7A632F44">
      <w:pPr>
        <w:pStyle w:val="47"/>
        <w:widowControl w:val="0"/>
        <w:numPr>
          <w:ilvl w:val="0"/>
          <w:numId w:val="0"/>
        </w:numPr>
        <w:shd w:val="clear"/>
        <w:adjustRightInd/>
        <w:snapToGrid/>
        <w:ind w:leftChars="0"/>
        <w:jc w:val="both"/>
        <w:rPr>
          <w:rFonts w:hint="eastAsia" w:ascii="宋体" w:hAnsi="宋体" w:eastAsia="宋体" w:cs="宋体"/>
          <w:vanish/>
          <w:color w:val="auto"/>
          <w:szCs w:val="21"/>
          <w:highlight w:val="none"/>
        </w:rPr>
      </w:pPr>
    </w:p>
    <w:p w14:paraId="670C497D">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依法组成评标委员会，评标委员会由采购人和有关技术、经济等方面的专家组成，成员人数为五人或五人以上单数，其中技术、经济等方面的专家不少于成员总数的三分之二，并负责评标工作。</w:t>
      </w:r>
    </w:p>
    <w:p w14:paraId="03BB30DB">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评审方法：本次采购的评审方法采用综合评分法。</w:t>
      </w:r>
    </w:p>
    <w:p w14:paraId="5F97386E">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定标原则：在最大限度满足采购文件实质性要求前提下，按照采购文件规定的各项评价因素进行量化打分，以评标总得分最高的投标人作为中标候选人或中标人。</w:t>
      </w:r>
    </w:p>
    <w:p w14:paraId="2EBEC594">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评标委员会对投标文件的评审内容，分为商务评议、技术评议。评审流程包括符合性检查、澄清问题、比较与评价、推荐中标候选人或确定中标人、编写评标报告等步骤。</w:t>
      </w:r>
    </w:p>
    <w:p w14:paraId="4DE5538B">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在评标期间，评标委员会可要求投标人对其投标文件进行澄清，但不得寻求、提供或允许对投标</w:t>
      </w:r>
      <w:r>
        <w:rPr>
          <w:rFonts w:hint="eastAsia" w:ascii="宋体" w:hAnsi="宋体" w:cs="宋体"/>
          <w:color w:val="auto"/>
          <w:szCs w:val="21"/>
          <w:highlight w:val="none"/>
          <w:lang w:val="en-US" w:eastAsia="zh-CN"/>
        </w:rPr>
        <w:t>文件</w:t>
      </w:r>
      <w:r>
        <w:rPr>
          <w:rFonts w:hint="eastAsia" w:ascii="宋体" w:hAnsi="宋体" w:eastAsia="宋体" w:cs="宋体"/>
          <w:color w:val="auto"/>
          <w:szCs w:val="21"/>
          <w:highlight w:val="none"/>
        </w:rPr>
        <w:t>等实质性内容做任何更改。有关澄清的要求和答复均应以纸质版形式提交，如投标人拒绝评标委员会要求对其投标文件进行澄清的要求，所造成的后果由投标人自行承担。</w:t>
      </w:r>
    </w:p>
    <w:p w14:paraId="408600D8">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评标委员会和采购人在评审过程中有权核对投标文件中相关材料的原件，投标人在接到通知后应在评标委员会规定的时间内提交原件核查。</w:t>
      </w:r>
    </w:p>
    <w:p w14:paraId="4109EA91">
      <w:pPr>
        <w:shd w:val="clear"/>
        <w:rPr>
          <w:rFonts w:hint="eastAsia" w:ascii="宋体" w:hAnsi="宋体" w:eastAsia="宋体" w:cs="宋体"/>
          <w:color w:val="auto"/>
          <w:highlight w:val="none"/>
        </w:rPr>
      </w:pPr>
    </w:p>
    <w:p w14:paraId="40B8C852">
      <w:pPr>
        <w:pStyle w:val="5"/>
        <w:widowControl w:val="0"/>
        <w:numPr>
          <w:ilvl w:val="0"/>
          <w:numId w:val="3"/>
        </w:numPr>
        <w:shd w:val="clear"/>
        <w:overflowPunct w:val="0"/>
        <w:rPr>
          <w:rFonts w:hint="eastAsia" w:ascii="宋体" w:hAnsi="宋体" w:eastAsia="宋体" w:cs="宋体"/>
          <w:color w:val="auto"/>
          <w:sz w:val="21"/>
          <w:szCs w:val="21"/>
          <w:highlight w:val="none"/>
        </w:rPr>
      </w:pPr>
      <w:bookmarkStart w:id="360" w:name="_Toc26153"/>
      <w:bookmarkStart w:id="361" w:name="_Toc3553"/>
      <w:bookmarkStart w:id="362" w:name="_Toc1064"/>
      <w:bookmarkStart w:id="363" w:name="_Toc4198"/>
      <w:bookmarkStart w:id="364" w:name="_Toc1555"/>
      <w:bookmarkStart w:id="365" w:name="_Toc28008"/>
      <w:bookmarkStart w:id="366" w:name="_Toc22022"/>
      <w:bookmarkStart w:id="367" w:name="_Toc9196"/>
      <w:bookmarkStart w:id="368" w:name="_Toc19852"/>
      <w:r>
        <w:rPr>
          <w:rFonts w:hint="eastAsia" w:ascii="宋体" w:hAnsi="宋体" w:eastAsia="宋体" w:cs="宋体"/>
          <w:color w:val="auto"/>
          <w:sz w:val="21"/>
          <w:szCs w:val="21"/>
          <w:highlight w:val="none"/>
        </w:rPr>
        <w:t>评审原则及评标过程的保密</w:t>
      </w:r>
      <w:bookmarkEnd w:id="360"/>
      <w:bookmarkEnd w:id="361"/>
      <w:bookmarkEnd w:id="362"/>
      <w:bookmarkEnd w:id="363"/>
      <w:bookmarkEnd w:id="364"/>
      <w:bookmarkEnd w:id="365"/>
      <w:bookmarkEnd w:id="366"/>
      <w:bookmarkEnd w:id="367"/>
      <w:bookmarkEnd w:id="368"/>
    </w:p>
    <w:p w14:paraId="13C14D88">
      <w:pPr>
        <w:pStyle w:val="47"/>
        <w:widowControl w:val="0"/>
        <w:numPr>
          <w:ilvl w:val="0"/>
          <w:numId w:val="0"/>
        </w:numPr>
        <w:shd w:val="clear"/>
        <w:adjustRightInd/>
        <w:snapToGrid/>
        <w:ind w:leftChars="0"/>
        <w:jc w:val="both"/>
        <w:rPr>
          <w:rFonts w:hint="eastAsia" w:ascii="宋体" w:hAnsi="宋体" w:eastAsia="宋体" w:cs="宋体"/>
          <w:vanish/>
          <w:color w:val="auto"/>
          <w:szCs w:val="21"/>
          <w:highlight w:val="none"/>
        </w:rPr>
      </w:pPr>
    </w:p>
    <w:p w14:paraId="33587329">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评审的基本原则：评标委员会将依据采购文件的规定，遵循“公开、公平、公正、择优、信用”的原则进行评审工作。</w:t>
      </w:r>
    </w:p>
    <w:p w14:paraId="460605BC">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从公开开标到签订合同，凡与审查、澄清、评审和投标有关的资料以及定标意见相关的事项，均不得向投标人及与评标无关的其他人透露。</w:t>
      </w:r>
    </w:p>
    <w:p w14:paraId="557C72C6">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任何单位和个人不得非法干预、影响评标的过程和结果。</w:t>
      </w:r>
    </w:p>
    <w:p w14:paraId="417E9319">
      <w:pPr>
        <w:shd w:val="clear"/>
        <w:rPr>
          <w:rFonts w:hint="eastAsia" w:ascii="宋体" w:hAnsi="宋体" w:eastAsia="宋体" w:cs="宋体"/>
          <w:color w:val="auto"/>
          <w:highlight w:val="none"/>
        </w:rPr>
      </w:pPr>
    </w:p>
    <w:p w14:paraId="1BBE9683">
      <w:pPr>
        <w:pStyle w:val="5"/>
        <w:widowControl w:val="0"/>
        <w:numPr>
          <w:ilvl w:val="0"/>
          <w:numId w:val="3"/>
        </w:numPr>
        <w:shd w:val="clear"/>
        <w:overflowPunct w:val="0"/>
        <w:rPr>
          <w:rFonts w:hint="eastAsia" w:ascii="宋体" w:hAnsi="宋体" w:eastAsia="宋体" w:cs="宋体"/>
          <w:color w:val="auto"/>
          <w:sz w:val="21"/>
          <w:szCs w:val="21"/>
          <w:highlight w:val="none"/>
        </w:rPr>
      </w:pPr>
      <w:bookmarkStart w:id="369" w:name="_Toc27619"/>
      <w:bookmarkStart w:id="370" w:name="_Toc15561"/>
      <w:bookmarkStart w:id="371" w:name="_Toc2101"/>
      <w:bookmarkStart w:id="372" w:name="_Toc24234"/>
      <w:bookmarkStart w:id="373" w:name="_Toc19556"/>
      <w:bookmarkStart w:id="374" w:name="_Toc14506"/>
      <w:bookmarkStart w:id="375" w:name="_Toc336"/>
      <w:bookmarkStart w:id="376" w:name="_Toc30610"/>
      <w:r>
        <w:rPr>
          <w:rFonts w:hint="eastAsia" w:ascii="宋体" w:hAnsi="宋体" w:eastAsia="宋体" w:cs="宋体"/>
          <w:color w:val="auto"/>
          <w:sz w:val="21"/>
          <w:szCs w:val="21"/>
          <w:highlight w:val="none"/>
        </w:rPr>
        <w:t>评标程序</w:t>
      </w:r>
      <w:bookmarkEnd w:id="369"/>
      <w:bookmarkEnd w:id="370"/>
      <w:bookmarkEnd w:id="371"/>
      <w:bookmarkEnd w:id="372"/>
      <w:bookmarkEnd w:id="373"/>
      <w:bookmarkEnd w:id="374"/>
      <w:bookmarkEnd w:id="375"/>
      <w:bookmarkEnd w:id="376"/>
    </w:p>
    <w:p w14:paraId="3C29C572">
      <w:pPr>
        <w:widowControl w:val="0"/>
        <w:numPr>
          <w:ilvl w:val="1"/>
          <w:numId w:val="3"/>
        </w:numPr>
        <w:shd w:val="clear"/>
        <w:overflowPunct w:val="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资格性、符合性审查</w:t>
      </w:r>
    </w:p>
    <w:p w14:paraId="79CF8BCB">
      <w:pPr>
        <w:widowControl w:val="0"/>
        <w:shd w:val="clear"/>
        <w:overflowPunct w:val="0"/>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公开采购项目开标结束后，评标委员会根据《资格性、符合性审查表》将依法对投标人进行资格性、符合性审查。投标人必须严格按照《资格性、符合性审查表》的评审内容的要求如实提供证明材料并应加盖投标人公章，对缺漏或不符合项将直接导致无效投标。合格投标人不足3家的，不得评标。未通过资格性、符合性审查的投标人不进入评标阶段的评审。</w:t>
      </w:r>
    </w:p>
    <w:p w14:paraId="43534181">
      <w:pPr>
        <w:shd w:val="clear"/>
        <w:jc w:val="center"/>
        <w:rPr>
          <w:rFonts w:hint="eastAsia" w:ascii="宋体" w:hAnsi="宋体" w:eastAsia="宋体" w:cs="宋体"/>
          <w:b/>
          <w:bCs/>
          <w:color w:val="auto"/>
          <w:highlight w:val="none"/>
        </w:rPr>
      </w:pPr>
      <w:r>
        <w:rPr>
          <w:rFonts w:hint="eastAsia" w:ascii="宋体" w:hAnsi="宋体" w:eastAsia="宋体" w:cs="宋体"/>
          <w:b/>
          <w:bCs/>
          <w:color w:val="auto"/>
          <w:highlight w:val="none"/>
        </w:rPr>
        <w:t>《资格性、符合性审查表》</w:t>
      </w:r>
    </w:p>
    <w:tbl>
      <w:tblPr>
        <w:tblStyle w:val="3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
        <w:gridCol w:w="7823"/>
      </w:tblGrid>
      <w:tr w14:paraId="5CE1C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tcBorders>
              <w:top w:val="single" w:color="auto" w:sz="4" w:space="0"/>
              <w:left w:val="single" w:color="auto" w:sz="4" w:space="0"/>
              <w:bottom w:val="single" w:color="auto" w:sz="4" w:space="0"/>
              <w:right w:val="single" w:color="auto" w:sz="4" w:space="0"/>
              <w:tl2br w:val="nil"/>
              <w:tr2bl w:val="nil"/>
            </w:tcBorders>
            <w:vAlign w:val="center"/>
          </w:tcPr>
          <w:p w14:paraId="6D8FD41F">
            <w:pPr>
              <w:shd w:val="clear"/>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7823" w:type="dxa"/>
            <w:tcBorders>
              <w:top w:val="single" w:color="auto" w:sz="4" w:space="0"/>
              <w:left w:val="single" w:color="auto" w:sz="4" w:space="0"/>
              <w:bottom w:val="single" w:color="auto" w:sz="4" w:space="0"/>
              <w:right w:val="single" w:color="auto" w:sz="4" w:space="0"/>
              <w:tl2br w:val="nil"/>
              <w:tr2bl w:val="nil"/>
            </w:tcBorders>
            <w:vAlign w:val="center"/>
          </w:tcPr>
          <w:p w14:paraId="3BD7FC05">
            <w:pPr>
              <w:shd w:val="clear"/>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评 审 内 容</w:t>
            </w:r>
          </w:p>
        </w:tc>
      </w:tr>
      <w:tr w14:paraId="6B1F4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vMerge w:val="restart"/>
            <w:tcBorders>
              <w:top w:val="single" w:color="auto" w:sz="4" w:space="0"/>
              <w:left w:val="single" w:color="auto" w:sz="4" w:space="0"/>
              <w:right w:val="single" w:color="auto" w:sz="4" w:space="0"/>
              <w:tl2br w:val="nil"/>
              <w:tr2bl w:val="nil"/>
            </w:tcBorders>
            <w:vAlign w:val="center"/>
          </w:tcPr>
          <w:p w14:paraId="14F11359">
            <w:pPr>
              <w:numPr>
                <w:ilvl w:val="0"/>
                <w:numId w:val="6"/>
              </w:numPr>
              <w:shd w:val="clear"/>
              <w:tabs>
                <w:tab w:val="left" w:pos="176"/>
                <w:tab w:val="left" w:pos="612"/>
              </w:tabs>
              <w:ind w:left="630"/>
              <w:jc w:val="center"/>
              <w:rPr>
                <w:rFonts w:hint="eastAsia" w:ascii="宋体" w:hAnsi="宋体" w:eastAsia="宋体" w:cs="宋体"/>
                <w:color w:val="auto"/>
                <w:szCs w:val="21"/>
                <w:highlight w:val="none"/>
              </w:rPr>
            </w:pPr>
          </w:p>
        </w:tc>
        <w:tc>
          <w:tcPr>
            <w:tcW w:w="7823" w:type="dxa"/>
            <w:tcBorders>
              <w:top w:val="single" w:color="auto" w:sz="4" w:space="0"/>
              <w:left w:val="single" w:color="auto" w:sz="4" w:space="0"/>
              <w:bottom w:val="single" w:color="auto" w:sz="4" w:space="0"/>
              <w:right w:val="single" w:color="auto" w:sz="4" w:space="0"/>
              <w:tl2br w:val="nil"/>
              <w:tr2bl w:val="nil"/>
            </w:tcBorders>
            <w:vAlign w:val="center"/>
          </w:tcPr>
          <w:p w14:paraId="781FFA5F">
            <w:pPr>
              <w:shd w:val="clear"/>
              <w:tabs>
                <w:tab w:val="left" w:pos="612"/>
              </w:tabs>
              <w:rPr>
                <w:rFonts w:hint="eastAsia" w:ascii="宋体" w:hAnsi="宋体" w:eastAsia="宋体" w:cs="宋体"/>
                <w:color w:val="auto"/>
                <w:szCs w:val="21"/>
                <w:highlight w:val="none"/>
              </w:rPr>
            </w:pPr>
            <w:r>
              <w:rPr>
                <w:rFonts w:hint="eastAsia" w:ascii="宋体" w:hAnsi="宋体" w:eastAsia="宋体" w:cs="宋体"/>
                <w:color w:val="auto"/>
                <w:szCs w:val="21"/>
                <w:highlight w:val="none"/>
              </w:rPr>
              <w:t>（1）投标人须为在中华人民共和国境内登记注册的具有独立承担民事责任能力的法人或其他组织【提供《营业执照》复印件（加盖公章）或《事业单位法人证书》复印件（加盖公章）或其他主体证书复印件（加盖公章）】；</w:t>
            </w:r>
          </w:p>
        </w:tc>
      </w:tr>
      <w:tr w14:paraId="0653D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7" w:hRule="atLeast"/>
          <w:jc w:val="center"/>
        </w:trPr>
        <w:tc>
          <w:tcPr>
            <w:tcW w:w="699" w:type="dxa"/>
            <w:vMerge w:val="continue"/>
            <w:tcBorders>
              <w:left w:val="single" w:color="auto" w:sz="4" w:space="0"/>
              <w:right w:val="single" w:color="auto" w:sz="4" w:space="0"/>
              <w:tl2br w:val="nil"/>
              <w:tr2bl w:val="nil"/>
            </w:tcBorders>
            <w:vAlign w:val="center"/>
          </w:tcPr>
          <w:p w14:paraId="152B886D">
            <w:pPr>
              <w:numPr>
                <w:ilvl w:val="0"/>
                <w:numId w:val="6"/>
              </w:numPr>
              <w:shd w:val="clear"/>
              <w:tabs>
                <w:tab w:val="left" w:pos="176"/>
                <w:tab w:val="left" w:pos="612"/>
              </w:tabs>
              <w:jc w:val="center"/>
              <w:rPr>
                <w:rFonts w:hint="eastAsia" w:ascii="宋体" w:hAnsi="宋体" w:eastAsia="宋体" w:cs="宋体"/>
                <w:color w:val="auto"/>
                <w:szCs w:val="21"/>
                <w:highlight w:val="none"/>
              </w:rPr>
            </w:pPr>
          </w:p>
        </w:tc>
        <w:tc>
          <w:tcPr>
            <w:tcW w:w="7823" w:type="dxa"/>
            <w:tcBorders>
              <w:top w:val="single" w:color="auto" w:sz="4" w:space="0"/>
              <w:left w:val="single" w:color="auto" w:sz="4" w:space="0"/>
              <w:bottom w:val="single" w:color="auto" w:sz="4" w:space="0"/>
              <w:right w:val="single" w:color="auto" w:sz="4" w:space="0"/>
              <w:tl2br w:val="nil"/>
              <w:tr2bl w:val="nil"/>
            </w:tcBorders>
            <w:vAlign w:val="center"/>
          </w:tcPr>
          <w:p w14:paraId="398A40C3">
            <w:pPr>
              <w:shd w:val="clear"/>
              <w:spacing w:line="240" w:lineRule="auto"/>
              <w:rPr>
                <w:rFonts w:hint="eastAsia" w:ascii="宋体" w:hAnsi="宋体" w:eastAsia="宋体" w:cs="宋体"/>
                <w:color w:val="auto"/>
                <w:szCs w:val="21"/>
                <w:highlight w:val="none"/>
              </w:rPr>
            </w:pPr>
            <w:r>
              <w:rPr>
                <w:rFonts w:hint="eastAsia" w:ascii="宋体" w:hAnsi="宋体" w:cs="宋体"/>
                <w:color w:val="auto"/>
                <w:highlight w:val="none"/>
                <w:lang w:eastAsia="zh-CN"/>
              </w:rPr>
              <w:t>（</w:t>
            </w:r>
            <w:r>
              <w:rPr>
                <w:rFonts w:hint="eastAsia" w:ascii="宋体" w:hAnsi="宋体" w:cs="宋体"/>
                <w:color w:val="auto"/>
                <w:highlight w:val="none"/>
                <w:lang w:val="en-US" w:eastAsia="zh-CN"/>
              </w:rPr>
              <w:t>2</w:t>
            </w:r>
            <w:r>
              <w:rPr>
                <w:rFonts w:hint="eastAsia" w:ascii="宋体" w:hAnsi="宋体" w:cs="宋体"/>
                <w:color w:val="auto"/>
                <w:highlight w:val="none"/>
                <w:lang w:eastAsia="zh-CN"/>
              </w:rPr>
              <w:t>）</w:t>
            </w:r>
            <w:r>
              <w:rPr>
                <w:rFonts w:hint="eastAsia" w:ascii="宋体" w:hAnsi="宋体" w:eastAsia="宋体" w:cs="宋体"/>
                <w:color w:val="auto"/>
                <w:szCs w:val="21"/>
                <w:highlight w:val="none"/>
                <w:lang w:val="en-US" w:eastAsia="zh-CN"/>
              </w:rPr>
              <w:t>投标人</w:t>
            </w:r>
            <w:r>
              <w:rPr>
                <w:rFonts w:hint="eastAsia" w:ascii="宋体" w:hAnsi="宋体" w:cs="宋体"/>
                <w:color w:val="auto"/>
                <w:szCs w:val="21"/>
                <w:highlight w:val="none"/>
                <w:lang w:val="en-US" w:eastAsia="zh-CN"/>
              </w:rPr>
              <w:t>具备以下情形：具有有效期的《食品生产许可证》或《食品经营许可证》或</w:t>
            </w:r>
            <w:r>
              <w:rPr>
                <w:rFonts w:hint="eastAsia"/>
                <w:color w:val="auto"/>
                <w:highlight w:val="none"/>
              </w:rPr>
              <w:t>《仅销售预包装食品经营者备案凭证》</w:t>
            </w:r>
            <w:r>
              <w:rPr>
                <w:rFonts w:hint="eastAsia"/>
                <w:color w:val="auto"/>
                <w:highlight w:val="none"/>
                <w:lang w:eastAsia="zh-CN"/>
              </w:rPr>
              <w:t>，</w:t>
            </w:r>
            <w:r>
              <w:rPr>
                <w:rFonts w:hint="eastAsia"/>
                <w:color w:val="auto"/>
                <w:highlight w:val="none"/>
                <w:lang w:val="en-US" w:eastAsia="zh-CN"/>
              </w:rPr>
              <w:t>投标时提供证书复印件并加盖公章</w:t>
            </w:r>
            <w:r>
              <w:rPr>
                <w:rFonts w:hint="eastAsia" w:ascii="宋体" w:hAnsi="宋体" w:cs="宋体"/>
                <w:color w:val="auto"/>
                <w:szCs w:val="21"/>
                <w:highlight w:val="none"/>
                <w:lang w:val="en-US" w:eastAsia="zh-CN"/>
              </w:rPr>
              <w:t>；</w:t>
            </w:r>
          </w:p>
        </w:tc>
      </w:tr>
      <w:tr w14:paraId="4E75B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vMerge w:val="continue"/>
            <w:tcBorders>
              <w:left w:val="single" w:color="auto" w:sz="4" w:space="0"/>
              <w:right w:val="single" w:color="auto" w:sz="4" w:space="0"/>
              <w:tl2br w:val="nil"/>
              <w:tr2bl w:val="nil"/>
            </w:tcBorders>
            <w:vAlign w:val="center"/>
          </w:tcPr>
          <w:p w14:paraId="052F0ABB">
            <w:pPr>
              <w:shd w:val="clear"/>
              <w:tabs>
                <w:tab w:val="left" w:pos="176"/>
                <w:tab w:val="left" w:pos="420"/>
                <w:tab w:val="left" w:pos="612"/>
              </w:tabs>
              <w:jc w:val="center"/>
              <w:rPr>
                <w:rFonts w:hint="eastAsia" w:ascii="宋体" w:hAnsi="宋体" w:eastAsia="宋体" w:cs="宋体"/>
                <w:color w:val="auto"/>
                <w:szCs w:val="21"/>
                <w:highlight w:val="none"/>
              </w:rPr>
            </w:pPr>
          </w:p>
        </w:tc>
        <w:tc>
          <w:tcPr>
            <w:tcW w:w="7823" w:type="dxa"/>
            <w:tcBorders>
              <w:top w:val="single" w:color="auto" w:sz="4" w:space="0"/>
              <w:left w:val="single" w:color="auto" w:sz="4" w:space="0"/>
              <w:bottom w:val="single" w:color="auto" w:sz="4" w:space="0"/>
              <w:right w:val="single" w:color="auto" w:sz="4" w:space="0"/>
              <w:tl2br w:val="nil"/>
              <w:tr2bl w:val="nil"/>
            </w:tcBorders>
            <w:vAlign w:val="center"/>
          </w:tcPr>
          <w:p w14:paraId="43D0662A">
            <w:pPr>
              <w:shd w:val="clear"/>
              <w:tabs>
                <w:tab w:val="left" w:pos="612"/>
              </w:tabs>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cs="宋体"/>
                <w:color w:val="auto"/>
                <w:szCs w:val="21"/>
                <w:highlight w:val="none"/>
                <w:lang w:val="en-US" w:eastAsia="zh-CN"/>
              </w:rPr>
              <w:t>3</w:t>
            </w:r>
            <w:r>
              <w:rPr>
                <w:rFonts w:hint="eastAsia" w:ascii="宋体" w:hAnsi="宋体" w:eastAsia="宋体" w:cs="宋体"/>
                <w:color w:val="auto"/>
                <w:szCs w:val="21"/>
                <w:highlight w:val="none"/>
              </w:rPr>
              <w:t>）参加采购活动前三年内，在经营活动中没有重大违法记录（须提供书面声明）；</w:t>
            </w:r>
          </w:p>
        </w:tc>
      </w:tr>
      <w:tr w14:paraId="06F43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vMerge w:val="continue"/>
            <w:tcBorders>
              <w:left w:val="single" w:color="auto" w:sz="4" w:space="0"/>
              <w:right w:val="single" w:color="auto" w:sz="4" w:space="0"/>
              <w:tl2br w:val="nil"/>
              <w:tr2bl w:val="nil"/>
            </w:tcBorders>
            <w:vAlign w:val="center"/>
          </w:tcPr>
          <w:p w14:paraId="36248136">
            <w:pPr>
              <w:shd w:val="clear"/>
              <w:tabs>
                <w:tab w:val="left" w:pos="176"/>
                <w:tab w:val="left" w:pos="420"/>
                <w:tab w:val="left" w:pos="612"/>
              </w:tabs>
              <w:jc w:val="center"/>
              <w:rPr>
                <w:rFonts w:hint="eastAsia" w:ascii="宋体" w:hAnsi="宋体" w:eastAsia="宋体" w:cs="宋体"/>
                <w:color w:val="auto"/>
                <w:szCs w:val="21"/>
                <w:highlight w:val="none"/>
              </w:rPr>
            </w:pPr>
          </w:p>
        </w:tc>
        <w:tc>
          <w:tcPr>
            <w:tcW w:w="7823" w:type="dxa"/>
            <w:tcBorders>
              <w:top w:val="single" w:color="auto" w:sz="4" w:space="0"/>
              <w:left w:val="single" w:color="auto" w:sz="4" w:space="0"/>
              <w:bottom w:val="single" w:color="auto" w:sz="4" w:space="0"/>
              <w:right w:val="single" w:color="auto" w:sz="4" w:space="0"/>
              <w:tl2br w:val="nil"/>
              <w:tr2bl w:val="nil"/>
            </w:tcBorders>
            <w:vAlign w:val="center"/>
          </w:tcPr>
          <w:p w14:paraId="00C48081">
            <w:pPr>
              <w:shd w:val="clear"/>
              <w:tabs>
                <w:tab w:val="left" w:pos="612"/>
              </w:tabs>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rPr>
              <w:t>）投标人的单位负责人为同一人或者存在直接控股、管理关系的不同投标人，不得参加同一合同项下的采购活动；</w:t>
            </w:r>
          </w:p>
        </w:tc>
      </w:tr>
      <w:tr w14:paraId="76824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vMerge w:val="continue"/>
            <w:tcBorders>
              <w:left w:val="single" w:color="auto" w:sz="4" w:space="0"/>
              <w:right w:val="single" w:color="auto" w:sz="4" w:space="0"/>
              <w:tl2br w:val="nil"/>
              <w:tr2bl w:val="nil"/>
            </w:tcBorders>
            <w:vAlign w:val="center"/>
          </w:tcPr>
          <w:p w14:paraId="0DB2E8C6">
            <w:pPr>
              <w:shd w:val="clear"/>
              <w:tabs>
                <w:tab w:val="left" w:pos="176"/>
                <w:tab w:val="left" w:pos="420"/>
                <w:tab w:val="left" w:pos="612"/>
              </w:tabs>
              <w:jc w:val="center"/>
              <w:rPr>
                <w:rFonts w:hint="eastAsia" w:ascii="宋体" w:hAnsi="宋体" w:eastAsia="宋体" w:cs="宋体"/>
                <w:color w:val="auto"/>
                <w:szCs w:val="21"/>
                <w:highlight w:val="none"/>
              </w:rPr>
            </w:pPr>
          </w:p>
        </w:tc>
        <w:tc>
          <w:tcPr>
            <w:tcW w:w="7823" w:type="dxa"/>
            <w:tcBorders>
              <w:top w:val="single" w:color="auto" w:sz="4" w:space="0"/>
              <w:left w:val="single" w:color="auto" w:sz="4" w:space="0"/>
              <w:bottom w:val="single" w:color="auto" w:sz="4" w:space="0"/>
              <w:right w:val="single" w:color="auto" w:sz="4" w:space="0"/>
              <w:tl2br w:val="nil"/>
              <w:tr2bl w:val="nil"/>
            </w:tcBorders>
            <w:vAlign w:val="center"/>
          </w:tcPr>
          <w:p w14:paraId="1CF91B72">
            <w:pPr>
              <w:shd w:val="clear"/>
              <w:tabs>
                <w:tab w:val="left" w:pos="612"/>
              </w:tabs>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cs="宋体"/>
                <w:color w:val="auto"/>
                <w:szCs w:val="21"/>
                <w:highlight w:val="none"/>
                <w:lang w:val="en-US" w:eastAsia="zh-CN"/>
              </w:rPr>
              <w:t>5</w:t>
            </w:r>
            <w:r>
              <w:rPr>
                <w:rFonts w:hint="eastAsia" w:ascii="宋体" w:hAnsi="宋体" w:eastAsia="宋体" w:cs="宋体"/>
                <w:color w:val="auto"/>
                <w:szCs w:val="21"/>
                <w:highlight w:val="none"/>
              </w:rPr>
              <w:t>）未被列入“信用中国”网站</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 xml:space="preserve">www.creditchina.gov.cn </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“记录失信被执行人或重大税收违法失信主体或政府采购严重违法失信行为”记录名单。以代理机构于投标截止日当天在“信用中国”网站查询结果为准，如相关失信记录已失效，投标人需提供相关证明资料；</w:t>
            </w:r>
          </w:p>
        </w:tc>
      </w:tr>
      <w:tr w14:paraId="64CC9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vMerge w:val="continue"/>
            <w:tcBorders>
              <w:left w:val="single" w:color="auto" w:sz="4" w:space="0"/>
              <w:right w:val="single" w:color="auto" w:sz="4" w:space="0"/>
              <w:tl2br w:val="nil"/>
              <w:tr2bl w:val="nil"/>
            </w:tcBorders>
            <w:vAlign w:val="center"/>
          </w:tcPr>
          <w:p w14:paraId="35ABCB99">
            <w:pPr>
              <w:shd w:val="clear"/>
              <w:tabs>
                <w:tab w:val="left" w:pos="176"/>
                <w:tab w:val="left" w:pos="420"/>
                <w:tab w:val="left" w:pos="612"/>
              </w:tabs>
              <w:jc w:val="center"/>
              <w:rPr>
                <w:rFonts w:hint="eastAsia" w:ascii="宋体" w:hAnsi="宋体" w:eastAsia="宋体" w:cs="宋体"/>
                <w:color w:val="auto"/>
                <w:szCs w:val="21"/>
                <w:highlight w:val="none"/>
              </w:rPr>
            </w:pPr>
          </w:p>
        </w:tc>
        <w:tc>
          <w:tcPr>
            <w:tcW w:w="7823" w:type="dxa"/>
            <w:tcBorders>
              <w:top w:val="single" w:color="auto" w:sz="4" w:space="0"/>
              <w:left w:val="single" w:color="auto" w:sz="4" w:space="0"/>
              <w:bottom w:val="single" w:color="auto" w:sz="4" w:space="0"/>
              <w:right w:val="single" w:color="auto" w:sz="4" w:space="0"/>
              <w:tl2br w:val="nil"/>
              <w:tr2bl w:val="nil"/>
            </w:tcBorders>
            <w:vAlign w:val="center"/>
          </w:tcPr>
          <w:p w14:paraId="76E6CEEC">
            <w:pPr>
              <w:shd w:val="clear"/>
              <w:tabs>
                <w:tab w:val="left" w:pos="612"/>
              </w:tabs>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rPr>
              <w:t>）未被列入</w:t>
            </w:r>
            <w:r>
              <w:rPr>
                <w:rFonts w:hint="eastAsia" w:ascii="宋体" w:hAnsi="宋体" w:cs="宋体"/>
                <w:color w:val="auto"/>
                <w:szCs w:val="21"/>
                <w:highlight w:val="none"/>
                <w:lang w:val="en-US" w:eastAsia="zh-CN"/>
              </w:rPr>
              <w:t>采购人及上级</w:t>
            </w:r>
            <w:r>
              <w:rPr>
                <w:rFonts w:hint="eastAsia" w:ascii="宋体" w:hAnsi="宋体" w:eastAsia="宋体" w:cs="宋体"/>
                <w:color w:val="auto"/>
                <w:szCs w:val="21"/>
                <w:highlight w:val="none"/>
              </w:rPr>
              <w:t>企业相关领域黑名单。</w:t>
            </w:r>
          </w:p>
        </w:tc>
      </w:tr>
      <w:tr w14:paraId="28D3F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tcBorders>
              <w:top w:val="single" w:color="auto" w:sz="4" w:space="0"/>
              <w:left w:val="single" w:color="auto" w:sz="4" w:space="0"/>
              <w:bottom w:val="single" w:color="auto" w:sz="4" w:space="0"/>
              <w:right w:val="single" w:color="auto" w:sz="4" w:space="0"/>
              <w:tl2br w:val="nil"/>
              <w:tr2bl w:val="nil"/>
            </w:tcBorders>
            <w:vAlign w:val="center"/>
          </w:tcPr>
          <w:p w14:paraId="334EAE9D">
            <w:pPr>
              <w:numPr>
                <w:ilvl w:val="0"/>
                <w:numId w:val="6"/>
              </w:numPr>
              <w:shd w:val="clear"/>
              <w:tabs>
                <w:tab w:val="left" w:pos="176"/>
                <w:tab w:val="left" w:pos="612"/>
              </w:tabs>
              <w:ind w:left="630"/>
              <w:jc w:val="center"/>
              <w:rPr>
                <w:rFonts w:hint="eastAsia" w:ascii="宋体" w:hAnsi="宋体" w:eastAsia="宋体" w:cs="宋体"/>
                <w:color w:val="auto"/>
                <w:szCs w:val="21"/>
                <w:highlight w:val="none"/>
              </w:rPr>
            </w:pPr>
          </w:p>
        </w:tc>
        <w:tc>
          <w:tcPr>
            <w:tcW w:w="7823" w:type="dxa"/>
            <w:tcBorders>
              <w:top w:val="single" w:color="auto" w:sz="4" w:space="0"/>
              <w:left w:val="single" w:color="auto" w:sz="4" w:space="0"/>
              <w:bottom w:val="single" w:color="auto" w:sz="4" w:space="0"/>
              <w:right w:val="single" w:color="auto" w:sz="4" w:space="0"/>
              <w:tl2br w:val="nil"/>
              <w:tr2bl w:val="nil"/>
            </w:tcBorders>
            <w:vAlign w:val="center"/>
          </w:tcPr>
          <w:p w14:paraId="62B58A58">
            <w:pPr>
              <w:shd w:val="clear"/>
              <w:textAlignment w:val="center"/>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bidi="ar"/>
              </w:rPr>
              <w:t>投标人按照采购文件要求提交投标保证金；</w:t>
            </w:r>
          </w:p>
        </w:tc>
      </w:tr>
      <w:tr w14:paraId="2C31B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tcBorders>
              <w:top w:val="single" w:color="auto" w:sz="4" w:space="0"/>
              <w:left w:val="single" w:color="auto" w:sz="4" w:space="0"/>
              <w:bottom w:val="single" w:color="auto" w:sz="4" w:space="0"/>
              <w:right w:val="single" w:color="auto" w:sz="4" w:space="0"/>
              <w:tl2br w:val="nil"/>
              <w:tr2bl w:val="nil"/>
            </w:tcBorders>
            <w:vAlign w:val="center"/>
          </w:tcPr>
          <w:p w14:paraId="182E5509">
            <w:pPr>
              <w:numPr>
                <w:ilvl w:val="0"/>
                <w:numId w:val="6"/>
              </w:numPr>
              <w:shd w:val="clear"/>
              <w:tabs>
                <w:tab w:val="left" w:pos="176"/>
                <w:tab w:val="left" w:pos="612"/>
              </w:tabs>
              <w:ind w:left="630"/>
              <w:jc w:val="center"/>
              <w:rPr>
                <w:rFonts w:hint="eastAsia" w:ascii="宋体" w:hAnsi="宋体" w:eastAsia="宋体" w:cs="宋体"/>
                <w:color w:val="auto"/>
                <w:szCs w:val="21"/>
                <w:highlight w:val="none"/>
              </w:rPr>
            </w:pPr>
          </w:p>
        </w:tc>
        <w:tc>
          <w:tcPr>
            <w:tcW w:w="7823" w:type="dxa"/>
            <w:tcBorders>
              <w:top w:val="single" w:color="auto" w:sz="4" w:space="0"/>
              <w:left w:val="single" w:color="auto" w:sz="4" w:space="0"/>
              <w:bottom w:val="single" w:color="auto" w:sz="4" w:space="0"/>
              <w:right w:val="single" w:color="auto" w:sz="4" w:space="0"/>
              <w:tl2br w:val="nil"/>
              <w:tr2bl w:val="nil"/>
            </w:tcBorders>
            <w:vAlign w:val="center"/>
          </w:tcPr>
          <w:p w14:paraId="163EE639">
            <w:pPr>
              <w:shd w:val="clear"/>
              <w:textAlignment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bidi="ar"/>
              </w:rPr>
              <w:t>投标文件按照采购文件要求签署盖章；</w:t>
            </w:r>
          </w:p>
        </w:tc>
      </w:tr>
      <w:tr w14:paraId="65ABB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tcBorders>
              <w:top w:val="single" w:color="auto" w:sz="4" w:space="0"/>
              <w:left w:val="single" w:color="auto" w:sz="4" w:space="0"/>
              <w:bottom w:val="single" w:color="auto" w:sz="4" w:space="0"/>
              <w:right w:val="single" w:color="auto" w:sz="4" w:space="0"/>
              <w:tl2br w:val="nil"/>
              <w:tr2bl w:val="nil"/>
            </w:tcBorders>
            <w:vAlign w:val="center"/>
          </w:tcPr>
          <w:p w14:paraId="0700E1F9">
            <w:pPr>
              <w:shd w:val="clear"/>
              <w:tabs>
                <w:tab w:val="left" w:pos="176"/>
                <w:tab w:val="left" w:pos="612"/>
              </w:tabs>
              <w:ind w:firstLine="210" w:firstLineChars="100"/>
              <w:jc w:val="both"/>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4</w:t>
            </w:r>
          </w:p>
        </w:tc>
        <w:tc>
          <w:tcPr>
            <w:tcW w:w="7823" w:type="dxa"/>
            <w:tcBorders>
              <w:top w:val="single" w:color="auto" w:sz="4" w:space="0"/>
              <w:left w:val="single" w:color="auto" w:sz="4" w:space="0"/>
              <w:bottom w:val="single" w:color="auto" w:sz="4" w:space="0"/>
              <w:right w:val="single" w:color="auto" w:sz="4" w:space="0"/>
              <w:tl2br w:val="nil"/>
              <w:tr2bl w:val="nil"/>
            </w:tcBorders>
            <w:vAlign w:val="center"/>
          </w:tcPr>
          <w:p w14:paraId="73FD90D8">
            <w:pPr>
              <w:shd w:val="clear"/>
              <w:textAlignment w:val="center"/>
              <w:rPr>
                <w:rFonts w:hint="eastAsia" w:ascii="宋体" w:hAnsi="宋体" w:eastAsia="宋体" w:cs="宋体"/>
                <w:color w:val="auto"/>
                <w:szCs w:val="21"/>
                <w:highlight w:val="none"/>
                <w:lang w:bidi="ar"/>
              </w:rPr>
            </w:pPr>
            <w:r>
              <w:rPr>
                <w:rFonts w:hint="eastAsia" w:ascii="宋体" w:hAnsi="宋体" w:cs="宋体"/>
                <w:color w:val="auto"/>
                <w:szCs w:val="21"/>
                <w:highlight w:val="none"/>
                <w:lang w:val="en-US" w:eastAsia="zh-CN"/>
              </w:rPr>
              <w:t>按招标文件要求填报投标下浮率，且填报的投标下浮率是固定唯一的</w:t>
            </w:r>
            <w:r>
              <w:rPr>
                <w:rFonts w:hint="eastAsia" w:ascii="宋体" w:hAnsi="宋体" w:eastAsia="宋体" w:cs="宋体"/>
                <w:color w:val="auto"/>
                <w:szCs w:val="21"/>
                <w:highlight w:val="none"/>
              </w:rPr>
              <w:t>；</w:t>
            </w:r>
          </w:p>
        </w:tc>
      </w:tr>
      <w:tr w14:paraId="15E32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tcBorders>
              <w:top w:val="single" w:color="auto" w:sz="4" w:space="0"/>
              <w:left w:val="single" w:color="auto" w:sz="4" w:space="0"/>
              <w:bottom w:val="single" w:color="auto" w:sz="4" w:space="0"/>
              <w:right w:val="single" w:color="auto" w:sz="4" w:space="0"/>
              <w:tl2br w:val="nil"/>
              <w:tr2bl w:val="nil"/>
            </w:tcBorders>
            <w:vAlign w:val="center"/>
          </w:tcPr>
          <w:p w14:paraId="1587B109">
            <w:pPr>
              <w:shd w:val="clear"/>
              <w:tabs>
                <w:tab w:val="left" w:pos="176"/>
                <w:tab w:val="left" w:pos="612"/>
              </w:tabs>
              <w:ind w:firstLine="210" w:firstLineChars="100"/>
              <w:jc w:val="both"/>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7823" w:type="dxa"/>
            <w:tcBorders>
              <w:top w:val="single" w:color="auto" w:sz="4" w:space="0"/>
              <w:left w:val="single" w:color="auto" w:sz="4" w:space="0"/>
              <w:bottom w:val="single" w:color="auto" w:sz="4" w:space="0"/>
              <w:right w:val="single" w:color="auto" w:sz="4" w:space="0"/>
              <w:tl2br w:val="nil"/>
              <w:tr2bl w:val="nil"/>
            </w:tcBorders>
            <w:vAlign w:val="center"/>
          </w:tcPr>
          <w:p w14:paraId="7399802D">
            <w:pPr>
              <w:shd w:val="clear"/>
              <w:textAlignment w:val="center"/>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bidi="ar"/>
              </w:rPr>
              <w:t>投标文件未含有采购人不能接受的附加条件；</w:t>
            </w:r>
          </w:p>
        </w:tc>
      </w:tr>
      <w:tr w14:paraId="45285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tcBorders>
              <w:top w:val="single" w:color="auto" w:sz="4" w:space="0"/>
              <w:left w:val="single" w:color="auto" w:sz="4" w:space="0"/>
              <w:bottom w:val="single" w:color="auto" w:sz="4" w:space="0"/>
              <w:right w:val="single" w:color="auto" w:sz="4" w:space="0"/>
              <w:tl2br w:val="nil"/>
              <w:tr2bl w:val="nil"/>
            </w:tcBorders>
            <w:vAlign w:val="center"/>
          </w:tcPr>
          <w:p w14:paraId="28B22B1A">
            <w:pPr>
              <w:shd w:val="clear"/>
              <w:tabs>
                <w:tab w:val="left" w:pos="176"/>
                <w:tab w:val="left" w:pos="612"/>
              </w:tabs>
              <w:ind w:firstLine="210" w:firstLineChars="100"/>
              <w:jc w:val="both"/>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6</w:t>
            </w:r>
          </w:p>
        </w:tc>
        <w:tc>
          <w:tcPr>
            <w:tcW w:w="7823" w:type="dxa"/>
            <w:tcBorders>
              <w:top w:val="single" w:color="auto" w:sz="4" w:space="0"/>
              <w:left w:val="single" w:color="auto" w:sz="4" w:space="0"/>
              <w:bottom w:val="single" w:color="auto" w:sz="4" w:space="0"/>
              <w:right w:val="single" w:color="auto" w:sz="4" w:space="0"/>
              <w:tl2br w:val="nil"/>
              <w:tr2bl w:val="nil"/>
            </w:tcBorders>
            <w:vAlign w:val="center"/>
          </w:tcPr>
          <w:p w14:paraId="66F3A309">
            <w:pPr>
              <w:shd w:val="clear"/>
              <w:textAlignment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bidi="ar"/>
              </w:rPr>
              <w:t>无负偏离标注“★”符号的条款。</w:t>
            </w:r>
          </w:p>
        </w:tc>
      </w:tr>
      <w:tr w14:paraId="74F84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tcBorders>
              <w:top w:val="single" w:color="auto" w:sz="4" w:space="0"/>
              <w:left w:val="single" w:color="auto" w:sz="4" w:space="0"/>
              <w:bottom w:val="single" w:color="auto" w:sz="4" w:space="0"/>
              <w:right w:val="single" w:color="auto" w:sz="4" w:space="0"/>
              <w:tl2br w:val="nil"/>
              <w:tr2bl w:val="nil"/>
            </w:tcBorders>
            <w:vAlign w:val="center"/>
          </w:tcPr>
          <w:p w14:paraId="51BF89B6">
            <w:pPr>
              <w:shd w:val="clear"/>
              <w:tabs>
                <w:tab w:val="left" w:pos="176"/>
                <w:tab w:val="left" w:pos="612"/>
              </w:tabs>
              <w:ind w:firstLine="210" w:firstLineChars="100"/>
              <w:jc w:val="both"/>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7</w:t>
            </w:r>
          </w:p>
        </w:tc>
        <w:tc>
          <w:tcPr>
            <w:tcW w:w="7823" w:type="dxa"/>
            <w:tcBorders>
              <w:top w:val="single" w:color="auto" w:sz="4" w:space="0"/>
              <w:left w:val="single" w:color="auto" w:sz="4" w:space="0"/>
              <w:bottom w:val="single" w:color="auto" w:sz="4" w:space="0"/>
              <w:right w:val="single" w:color="auto" w:sz="4" w:space="0"/>
              <w:tl2br w:val="nil"/>
              <w:tr2bl w:val="nil"/>
            </w:tcBorders>
            <w:vAlign w:val="center"/>
          </w:tcPr>
          <w:p w14:paraId="18D9E6BB">
            <w:pPr>
              <w:shd w:val="clear"/>
              <w:textAlignment w:val="center"/>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rPr>
              <w:t>未出现</w:t>
            </w:r>
            <w:r>
              <w:rPr>
                <w:rFonts w:hint="eastAsia" w:ascii="宋体" w:hAnsi="宋体" w:eastAsia="宋体" w:cs="宋体"/>
                <w:color w:val="auto"/>
                <w:szCs w:val="21"/>
                <w:highlight w:val="none"/>
                <w:lang w:bidi="ar"/>
              </w:rPr>
              <w:t>法律、法规和采购文件规定的其他无效情形。</w:t>
            </w:r>
          </w:p>
        </w:tc>
      </w:tr>
    </w:tbl>
    <w:p w14:paraId="024FB243">
      <w:pPr>
        <w:widowControl w:val="0"/>
        <w:shd w:val="clear"/>
        <w:overflowPunct w:val="0"/>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以上资格性、符合性审查中带有不合格分项的投标文件，将作无效标处理。经评标委员会确认的无效投标文件，采购人和采购代理机构将予以拒绝，并且不允许通过修正或撤消其不符合要求的差异，使之成为具有符合性的投标文件。经评标委员会资格性、符合性审查确认具有有效投标文件的投标人不足</w:t>
      </w:r>
      <w:r>
        <w:rPr>
          <w:rFonts w:hint="eastAsia" w:ascii="宋体" w:hAnsi="宋体" w:cs="宋体"/>
          <w:color w:val="auto"/>
          <w:szCs w:val="21"/>
          <w:highlight w:val="none"/>
          <w:lang w:val="en-US" w:eastAsia="zh-CN"/>
        </w:rPr>
        <w:t>三</w:t>
      </w:r>
      <w:r>
        <w:rPr>
          <w:rFonts w:hint="eastAsia" w:ascii="宋体" w:hAnsi="宋体" w:eastAsia="宋体" w:cs="宋体"/>
          <w:color w:val="auto"/>
          <w:szCs w:val="21"/>
          <w:highlight w:val="none"/>
        </w:rPr>
        <w:t>家时将重新组织采购</w:t>
      </w:r>
      <w:r>
        <w:rPr>
          <w:rFonts w:hint="eastAsia" w:ascii="宋体" w:hAnsi="宋体" w:cs="宋体"/>
          <w:color w:val="auto"/>
          <w:szCs w:val="21"/>
          <w:highlight w:val="none"/>
          <w:lang w:eastAsia="zh-CN"/>
        </w:rPr>
        <w:t>。</w:t>
      </w:r>
    </w:p>
    <w:p w14:paraId="1F4F1F48">
      <w:pPr>
        <w:widowControl w:val="0"/>
        <w:numPr>
          <w:ilvl w:val="1"/>
          <w:numId w:val="3"/>
        </w:numPr>
        <w:shd w:val="clear"/>
        <w:overflowPunct w:val="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投标文件报价出现前后不一致的，评标委员会按照下列规定修正</w:t>
      </w:r>
      <w:r>
        <w:rPr>
          <w:rFonts w:hint="eastAsia" w:ascii="宋体" w:hAnsi="宋体" w:cs="宋体"/>
          <w:b/>
          <w:bCs/>
          <w:color w:val="auto"/>
          <w:szCs w:val="21"/>
          <w:highlight w:val="none"/>
          <w:lang w:eastAsia="zh-CN"/>
        </w:rPr>
        <w:t>（</w:t>
      </w:r>
      <w:r>
        <w:rPr>
          <w:rFonts w:hint="eastAsia" w:ascii="宋体" w:hAnsi="宋体" w:cs="宋体"/>
          <w:b/>
          <w:bCs/>
          <w:color w:val="auto"/>
          <w:szCs w:val="21"/>
          <w:highlight w:val="none"/>
          <w:lang w:val="en-US" w:eastAsia="zh-CN"/>
        </w:rPr>
        <w:t>本项目不涉及投标报价，不适用</w:t>
      </w:r>
      <w:r>
        <w:rPr>
          <w:rFonts w:hint="eastAsia" w:ascii="宋体" w:hAnsi="宋体" w:cs="宋体"/>
          <w:b/>
          <w:bCs/>
          <w:color w:val="auto"/>
          <w:szCs w:val="21"/>
          <w:highlight w:val="none"/>
          <w:lang w:eastAsia="zh-CN"/>
        </w:rPr>
        <w:t>）</w:t>
      </w:r>
      <w:r>
        <w:rPr>
          <w:rFonts w:hint="eastAsia" w:ascii="宋体" w:hAnsi="宋体" w:eastAsia="宋体" w:cs="宋体"/>
          <w:b/>
          <w:bCs/>
          <w:color w:val="auto"/>
          <w:szCs w:val="21"/>
          <w:highlight w:val="none"/>
        </w:rPr>
        <w:t>：</w:t>
      </w:r>
    </w:p>
    <w:p w14:paraId="04E264B1">
      <w:pPr>
        <w:widowControl w:val="0"/>
        <w:numPr>
          <w:ilvl w:val="0"/>
          <w:numId w:val="7"/>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投标文件中开标一览表（报价表）内容与投标文件中相应内容不一致的，以开标一览表（报价表）为准；</w:t>
      </w:r>
    </w:p>
    <w:p w14:paraId="06186220">
      <w:pPr>
        <w:widowControl w:val="0"/>
        <w:numPr>
          <w:ilvl w:val="0"/>
          <w:numId w:val="7"/>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大写金额和小写金额不一致的，以大写金额为准；</w:t>
      </w:r>
    </w:p>
    <w:p w14:paraId="1F76AD77">
      <w:pPr>
        <w:widowControl w:val="0"/>
        <w:numPr>
          <w:ilvl w:val="0"/>
          <w:numId w:val="7"/>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单价金额小数点或者百分比有明显错位的，以开标一览表的总价为准，并修改单价；</w:t>
      </w:r>
    </w:p>
    <w:p w14:paraId="4DAC273C">
      <w:pPr>
        <w:widowControl w:val="0"/>
        <w:numPr>
          <w:ilvl w:val="0"/>
          <w:numId w:val="7"/>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总价金额与按单价汇总金额不一致的，以单价金额计算结果为准。</w:t>
      </w:r>
    </w:p>
    <w:p w14:paraId="1411C98C">
      <w:pPr>
        <w:widowControl w:val="0"/>
        <w:numPr>
          <w:ilvl w:val="0"/>
          <w:numId w:val="7"/>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同时出现两种以上不一致的，按照前款规定的顺序修正。修正后的报价按照经投标人确认后产生约束力，投标人不确认的，其投标无效。</w:t>
      </w:r>
    </w:p>
    <w:p w14:paraId="10F9433A">
      <w:pPr>
        <w:widowControl w:val="0"/>
        <w:shd w:val="clear"/>
        <w:overflowPunct w:val="0"/>
        <w:ind w:left="630" w:hanging="630" w:hanging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26.3  评标委员会认为投标人的报价明显低于其他通过符合性审查投标人的报价，有可能影响产品质量或者不能诚信履约的，应当要求其在评标现场合理的时间内提供书面说明（以现场通知时间为准），必要时提交相关证明材料；投标人不能证明其报价合理性的，评标委员会应当将其作为无效投标处理。</w:t>
      </w:r>
    </w:p>
    <w:p w14:paraId="3A0A329C">
      <w:pPr>
        <w:widowControl w:val="0"/>
        <w:shd w:val="clear"/>
        <w:overflowPunct w:val="0"/>
        <w:ind w:left="630" w:hanging="630" w:hanging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26.4  对于投标文件中不构成实质性偏差的不正规、不一致或不规则，评标委员会可以接受，但这种接受不能损害或影响任何投标人的相对排序。</w:t>
      </w:r>
    </w:p>
    <w:p w14:paraId="4D95C808">
      <w:pPr>
        <w:widowControl w:val="0"/>
        <w:shd w:val="clear"/>
        <w:overflowPunct w:val="0"/>
        <w:ind w:left="630" w:hanging="630" w:hangingChars="300"/>
        <w:rPr>
          <w:rFonts w:hint="eastAsia" w:ascii="宋体" w:hAnsi="宋体" w:eastAsia="宋体" w:cs="宋体"/>
          <w:color w:val="auto"/>
          <w:highlight w:val="none"/>
        </w:rPr>
      </w:pPr>
      <w:r>
        <w:rPr>
          <w:rFonts w:hint="eastAsia" w:ascii="宋体" w:hAnsi="宋体" w:eastAsia="宋体" w:cs="宋体"/>
          <w:color w:val="auto"/>
          <w:szCs w:val="21"/>
          <w:highlight w:val="none"/>
        </w:rPr>
        <w:t>26.5  在详细评标之前，评标委员会要审查每份投标文件是否实质上响应了采购文件的要求。实质上响应的投标应该是与采购文件要求的全部主要条款（加“★”号）、条件和规格相符，没有重大偏离的投标。对关键条文的偏离、保留或反对，例如关于投标保证金、合同条款的重大偏离将被认为是实质上的偏离。评标委员会决定投标文件的响应性只根据投标文件本身的内容，而不寻求外部的证据。</w:t>
      </w:r>
    </w:p>
    <w:p w14:paraId="03297B72">
      <w:pPr>
        <w:pStyle w:val="5"/>
        <w:numPr>
          <w:ilvl w:val="0"/>
          <w:numId w:val="3"/>
        </w:numPr>
        <w:shd w:val="clear"/>
        <w:overflowPunct w:val="0"/>
        <w:rPr>
          <w:rFonts w:hint="eastAsia" w:ascii="宋体" w:hAnsi="宋体" w:eastAsia="宋体" w:cs="宋体"/>
          <w:vanish/>
          <w:color w:val="auto"/>
          <w:szCs w:val="21"/>
          <w:highlight w:val="none"/>
        </w:rPr>
      </w:pPr>
      <w:bookmarkStart w:id="377" w:name="_Toc13578"/>
      <w:bookmarkStart w:id="378" w:name="_Toc11415"/>
      <w:bookmarkStart w:id="379" w:name="_Toc22721"/>
      <w:bookmarkStart w:id="380" w:name="_Toc4799"/>
      <w:bookmarkStart w:id="381" w:name="_Toc6008"/>
      <w:bookmarkStart w:id="382" w:name="_Toc5328"/>
      <w:bookmarkStart w:id="383" w:name="_Toc19744"/>
      <w:bookmarkStart w:id="384" w:name="_Toc21532"/>
      <w:bookmarkStart w:id="385" w:name="_Toc16367"/>
      <w:r>
        <w:rPr>
          <w:rFonts w:hint="eastAsia" w:ascii="宋体" w:hAnsi="宋体" w:eastAsia="宋体" w:cs="宋体"/>
          <w:color w:val="auto"/>
          <w:sz w:val="21"/>
          <w:szCs w:val="21"/>
          <w:highlight w:val="none"/>
        </w:rPr>
        <w:t>商务、技术评审（具体评审项目详见投标资料表）</w:t>
      </w:r>
      <w:bookmarkEnd w:id="377"/>
      <w:bookmarkEnd w:id="378"/>
      <w:bookmarkEnd w:id="379"/>
      <w:bookmarkEnd w:id="380"/>
      <w:bookmarkEnd w:id="381"/>
      <w:bookmarkEnd w:id="382"/>
      <w:bookmarkEnd w:id="383"/>
      <w:bookmarkEnd w:id="384"/>
      <w:bookmarkEnd w:id="385"/>
    </w:p>
    <w:p w14:paraId="614CEB96">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对通过资格性、符合性审查的有效</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 xml:space="preserve">方有资格进入综合评审。采购文件中要求投标人提供的相关资质证书证明材料因国家政策变动导致新旧证书名称不一致，旧证书未取消且新旧证书具有同等效力的，投标人提供新证书与提供在有效期内的旧证书给予同等认可。 </w:t>
      </w:r>
    </w:p>
    <w:p w14:paraId="5F1F942E">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标委员会对通过资格性、符合性审查的投标文件进行详细评审。评标委员会对每一投标文件进行详细的商务评审、技术评审。按照评审程序的规定和依据评分标准，各位评委就每个投标人的技术、商务状况及其对采购文件要求的响应情况进行评议和比较，评出其技术评分和商务评分。根据采购文件规定评出得分，将商务得分、技术得分相加得出最终评标得分。</w:t>
      </w:r>
    </w:p>
    <w:p w14:paraId="10E38D4D">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采用综合评分法的，评标结果按评审后得分由高到低顺序排列</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推荐综合得分排名第一的为第一中标候选人，综合得分排名第二的为第二中标候选人，以此类推。</w:t>
      </w:r>
      <w:r>
        <w:rPr>
          <w:rFonts w:hint="eastAsia" w:ascii="宋体" w:hAnsi="宋体" w:eastAsia="宋体" w:cs="宋体"/>
          <w:color w:val="auto"/>
          <w:szCs w:val="21"/>
          <w:highlight w:val="none"/>
        </w:rPr>
        <w:t>综合得分相同的，按商务评分由高到低顺序排列，得分高的排前，得分低的排后；按上述环节依然存在同分情形而不能确认排名顺序时，由评标委员会进行投票，得票多的排名在先。当第一轮投票结果为投标人得票数相同时，再次进行投票，如此类推，直到能确定排序次序为止。</w:t>
      </w:r>
    </w:p>
    <w:p w14:paraId="729DA49F">
      <w:pPr>
        <w:widowControl w:val="0"/>
        <w:shd w:val="clear"/>
        <w:tabs>
          <w:tab w:val="left" w:pos="907"/>
        </w:tabs>
        <w:adjustRightInd/>
        <w:snapToGrid/>
        <w:ind w:left="567"/>
        <w:jc w:val="both"/>
        <w:rPr>
          <w:rFonts w:hint="eastAsia" w:ascii="宋体" w:hAnsi="宋体" w:eastAsia="宋体" w:cs="宋体"/>
          <w:color w:val="auto"/>
          <w:szCs w:val="21"/>
          <w:highlight w:val="none"/>
        </w:rPr>
      </w:pPr>
    </w:p>
    <w:p w14:paraId="36AD220A">
      <w:pPr>
        <w:pStyle w:val="5"/>
        <w:widowControl w:val="0"/>
        <w:numPr>
          <w:ilvl w:val="0"/>
          <w:numId w:val="3"/>
        </w:numPr>
        <w:shd w:val="clear"/>
        <w:overflowPunct w:val="0"/>
        <w:rPr>
          <w:rFonts w:hint="eastAsia" w:ascii="宋体" w:hAnsi="宋体" w:eastAsia="宋体" w:cs="宋体"/>
          <w:color w:val="auto"/>
          <w:sz w:val="21"/>
          <w:szCs w:val="21"/>
          <w:highlight w:val="none"/>
        </w:rPr>
      </w:pPr>
      <w:bookmarkStart w:id="386" w:name="_Toc316375620"/>
      <w:bookmarkStart w:id="387" w:name="_Toc17500"/>
      <w:bookmarkStart w:id="388" w:name="_Toc12232"/>
      <w:bookmarkStart w:id="389" w:name="_Toc29701"/>
      <w:bookmarkStart w:id="390" w:name="_Toc19641"/>
      <w:bookmarkStart w:id="391" w:name="_Toc18550"/>
      <w:bookmarkStart w:id="392" w:name="_Toc31158"/>
      <w:bookmarkStart w:id="393" w:name="_Toc21663"/>
      <w:bookmarkStart w:id="394" w:name="_Toc15923"/>
      <w:bookmarkStart w:id="395" w:name="_Toc382049120"/>
      <w:bookmarkStart w:id="396" w:name="_Toc20328"/>
      <w:bookmarkStart w:id="397" w:name="_Toc9516"/>
      <w:r>
        <w:rPr>
          <w:rFonts w:hint="eastAsia" w:ascii="宋体" w:hAnsi="宋体" w:eastAsia="宋体" w:cs="宋体"/>
          <w:color w:val="auto"/>
          <w:sz w:val="21"/>
          <w:szCs w:val="21"/>
          <w:highlight w:val="none"/>
        </w:rPr>
        <w:t>纪律和保密</w:t>
      </w:r>
      <w:bookmarkEnd w:id="386"/>
      <w:r>
        <w:rPr>
          <w:rFonts w:hint="eastAsia" w:ascii="宋体" w:hAnsi="宋体" w:eastAsia="宋体" w:cs="宋体"/>
          <w:color w:val="auto"/>
          <w:sz w:val="21"/>
          <w:szCs w:val="21"/>
          <w:highlight w:val="none"/>
        </w:rPr>
        <w:t>事项</w:t>
      </w:r>
      <w:bookmarkEnd w:id="387"/>
      <w:bookmarkEnd w:id="388"/>
      <w:bookmarkEnd w:id="389"/>
      <w:bookmarkEnd w:id="390"/>
      <w:bookmarkEnd w:id="391"/>
      <w:bookmarkEnd w:id="392"/>
      <w:bookmarkEnd w:id="393"/>
      <w:bookmarkEnd w:id="394"/>
      <w:bookmarkEnd w:id="395"/>
      <w:bookmarkEnd w:id="396"/>
      <w:bookmarkEnd w:id="397"/>
    </w:p>
    <w:p w14:paraId="67D55635">
      <w:pPr>
        <w:pStyle w:val="47"/>
        <w:widowControl w:val="0"/>
        <w:numPr>
          <w:ilvl w:val="0"/>
          <w:numId w:val="0"/>
        </w:numPr>
        <w:shd w:val="clear"/>
        <w:tabs>
          <w:tab w:val="left" w:pos="907"/>
        </w:tabs>
        <w:adjustRightInd/>
        <w:snapToGrid/>
        <w:ind w:leftChars="0"/>
        <w:jc w:val="both"/>
        <w:rPr>
          <w:rFonts w:hint="eastAsia" w:ascii="宋体" w:hAnsi="宋体" w:eastAsia="宋体" w:cs="宋体"/>
          <w:vanish/>
          <w:color w:val="auto"/>
          <w:szCs w:val="21"/>
          <w:highlight w:val="none"/>
        </w:rPr>
      </w:pPr>
    </w:p>
    <w:p w14:paraId="0D87B541">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从开标之日起至授予合同期间，在投标文件的审查、澄清、比较和评价阶段，投标人试图对评标委员会和采购代理机构施加任何影响或对采购人的比较及授予合同的决定产生影响，都可能导致其投标文件被拒绝。</w:t>
      </w:r>
    </w:p>
    <w:p w14:paraId="23B05887">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投标人不得串通作弊，以不正当的手段妨碍、排挤其他投标人，扰乱采购市场，破坏公平竞争原则。否则将按相关法律规定严肃处理。</w:t>
      </w:r>
    </w:p>
    <w:p w14:paraId="75D2DE7D">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获得本采购文件的投标人，应对文件进行保密，不得用作本次投标以外的任何用途。开标后，投标人应归还采购文件中要求保密的文件和资料。</w:t>
      </w:r>
    </w:p>
    <w:p w14:paraId="7A2FE20B">
      <w:pPr>
        <w:shd w:val="clear"/>
        <w:rPr>
          <w:rFonts w:hint="eastAsia" w:ascii="宋体" w:hAnsi="宋体" w:eastAsia="宋体" w:cs="宋体"/>
          <w:color w:val="auto"/>
          <w:highlight w:val="none"/>
        </w:rPr>
      </w:pPr>
    </w:p>
    <w:p w14:paraId="39C50A1C">
      <w:pPr>
        <w:pStyle w:val="4"/>
        <w:numPr>
          <w:ilvl w:val="0"/>
          <w:numId w:val="2"/>
        </w:numPr>
        <w:shd w:val="clear"/>
        <w:spacing w:before="0" w:after="0" w:line="360" w:lineRule="auto"/>
        <w:jc w:val="center"/>
        <w:rPr>
          <w:rFonts w:hint="eastAsia" w:ascii="宋体" w:hAnsi="宋体" w:eastAsia="宋体" w:cs="宋体"/>
          <w:color w:val="auto"/>
          <w:highlight w:val="none"/>
        </w:rPr>
      </w:pPr>
      <w:bookmarkStart w:id="398" w:name="_Toc28270"/>
      <w:bookmarkStart w:id="399" w:name="_Toc27102"/>
      <w:bookmarkStart w:id="400" w:name="_Toc1109"/>
      <w:bookmarkStart w:id="401" w:name="_Toc21019"/>
      <w:bookmarkStart w:id="402" w:name="_Toc31111"/>
      <w:bookmarkStart w:id="403" w:name="_Toc9469"/>
      <w:bookmarkStart w:id="404" w:name="_Toc27738"/>
      <w:bookmarkStart w:id="405" w:name="_Toc9337"/>
      <w:bookmarkStart w:id="406" w:name="_Toc11131"/>
      <w:r>
        <w:rPr>
          <w:rFonts w:hint="eastAsia" w:ascii="宋体" w:hAnsi="宋体" w:eastAsia="宋体" w:cs="宋体"/>
          <w:color w:val="auto"/>
          <w:highlight w:val="none"/>
        </w:rPr>
        <w:t>授予合同</w:t>
      </w:r>
      <w:bookmarkEnd w:id="398"/>
      <w:bookmarkEnd w:id="399"/>
      <w:bookmarkEnd w:id="400"/>
      <w:bookmarkEnd w:id="401"/>
      <w:bookmarkEnd w:id="402"/>
      <w:bookmarkEnd w:id="403"/>
      <w:bookmarkEnd w:id="404"/>
      <w:bookmarkEnd w:id="405"/>
      <w:bookmarkEnd w:id="406"/>
    </w:p>
    <w:p w14:paraId="6F62FCCC">
      <w:pPr>
        <w:pStyle w:val="5"/>
        <w:widowControl w:val="0"/>
        <w:numPr>
          <w:ilvl w:val="0"/>
          <w:numId w:val="3"/>
        </w:numPr>
        <w:shd w:val="clear"/>
        <w:overflowPunct w:val="0"/>
        <w:rPr>
          <w:rFonts w:hint="eastAsia" w:ascii="宋体" w:hAnsi="宋体" w:eastAsia="宋体" w:cs="宋体"/>
          <w:color w:val="auto"/>
          <w:sz w:val="21"/>
          <w:szCs w:val="21"/>
          <w:highlight w:val="none"/>
        </w:rPr>
      </w:pPr>
      <w:bookmarkStart w:id="407" w:name="_Toc26342"/>
      <w:bookmarkStart w:id="408" w:name="_Toc19033"/>
      <w:bookmarkStart w:id="409" w:name="_Toc11955"/>
      <w:bookmarkStart w:id="410" w:name="_Toc22058"/>
      <w:bookmarkStart w:id="411" w:name="_Toc22623"/>
      <w:bookmarkStart w:id="412" w:name="_Toc13333"/>
      <w:bookmarkStart w:id="413" w:name="_Toc508284011"/>
      <w:bookmarkStart w:id="414" w:name="_Toc20452"/>
      <w:bookmarkStart w:id="415" w:name="_Toc28071"/>
      <w:bookmarkStart w:id="416" w:name="_Toc16090"/>
      <w:r>
        <w:rPr>
          <w:rFonts w:hint="eastAsia" w:ascii="宋体" w:hAnsi="宋体" w:eastAsia="宋体" w:cs="宋体"/>
          <w:color w:val="auto"/>
          <w:sz w:val="21"/>
          <w:szCs w:val="21"/>
          <w:highlight w:val="none"/>
        </w:rPr>
        <w:t>合同授予标准</w:t>
      </w:r>
      <w:bookmarkEnd w:id="407"/>
      <w:bookmarkEnd w:id="408"/>
      <w:bookmarkEnd w:id="409"/>
      <w:bookmarkEnd w:id="410"/>
      <w:bookmarkEnd w:id="411"/>
      <w:bookmarkEnd w:id="412"/>
      <w:bookmarkEnd w:id="413"/>
      <w:bookmarkEnd w:id="414"/>
      <w:bookmarkEnd w:id="415"/>
      <w:bookmarkEnd w:id="416"/>
    </w:p>
    <w:p w14:paraId="11121BAC">
      <w:pPr>
        <w:pStyle w:val="47"/>
        <w:widowControl w:val="0"/>
        <w:numPr>
          <w:ilvl w:val="0"/>
          <w:numId w:val="0"/>
        </w:numPr>
        <w:shd w:val="clear"/>
        <w:tabs>
          <w:tab w:val="left" w:pos="907"/>
        </w:tabs>
        <w:adjustRightInd/>
        <w:snapToGrid/>
        <w:ind w:leftChars="0"/>
        <w:jc w:val="both"/>
        <w:rPr>
          <w:rFonts w:hint="eastAsia" w:ascii="宋体" w:hAnsi="宋体" w:eastAsia="宋体" w:cs="宋体"/>
          <w:vanish/>
          <w:color w:val="auto"/>
          <w:szCs w:val="21"/>
          <w:highlight w:val="none"/>
        </w:rPr>
      </w:pPr>
    </w:p>
    <w:p w14:paraId="14F435C1">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根据评标委员会的评审结果，采购人按照评审报告推荐的中标候选人中按顺序依法确定中标人。</w:t>
      </w:r>
    </w:p>
    <w:p w14:paraId="3E87AC4F">
      <w:pPr>
        <w:shd w:val="clear"/>
        <w:rPr>
          <w:rFonts w:hint="eastAsia" w:ascii="宋体" w:hAnsi="宋体" w:eastAsia="宋体" w:cs="宋体"/>
          <w:color w:val="auto"/>
          <w:highlight w:val="none"/>
        </w:rPr>
      </w:pPr>
    </w:p>
    <w:p w14:paraId="20D7764A">
      <w:pPr>
        <w:pStyle w:val="5"/>
        <w:widowControl w:val="0"/>
        <w:numPr>
          <w:ilvl w:val="0"/>
          <w:numId w:val="3"/>
        </w:numPr>
        <w:shd w:val="clear"/>
        <w:overflowPunct w:val="0"/>
        <w:rPr>
          <w:rFonts w:hint="eastAsia" w:ascii="宋体" w:hAnsi="宋体" w:eastAsia="宋体" w:cs="宋体"/>
          <w:color w:val="auto"/>
          <w:sz w:val="21"/>
          <w:szCs w:val="21"/>
          <w:highlight w:val="none"/>
        </w:rPr>
      </w:pPr>
      <w:bookmarkStart w:id="417" w:name="_Toc30388"/>
      <w:bookmarkStart w:id="418" w:name="_Toc10713"/>
      <w:bookmarkStart w:id="419" w:name="_Toc13878"/>
      <w:bookmarkStart w:id="420" w:name="_Toc4336"/>
      <w:bookmarkStart w:id="421" w:name="_Toc19226"/>
      <w:bookmarkStart w:id="422" w:name="_Toc19296"/>
      <w:bookmarkStart w:id="423" w:name="_Toc508284013"/>
      <w:bookmarkStart w:id="424" w:name="_Toc24261"/>
      <w:bookmarkStart w:id="425" w:name="_Toc10545"/>
      <w:bookmarkStart w:id="426" w:name="_Toc302"/>
      <w:r>
        <w:rPr>
          <w:rFonts w:hint="eastAsia" w:ascii="宋体" w:hAnsi="宋体" w:eastAsia="宋体" w:cs="宋体"/>
          <w:color w:val="auto"/>
          <w:sz w:val="21"/>
          <w:szCs w:val="21"/>
          <w:highlight w:val="none"/>
        </w:rPr>
        <w:t>发布中标结果</w:t>
      </w:r>
      <w:bookmarkEnd w:id="417"/>
      <w:bookmarkEnd w:id="418"/>
      <w:bookmarkEnd w:id="419"/>
      <w:bookmarkEnd w:id="420"/>
      <w:bookmarkEnd w:id="421"/>
      <w:bookmarkEnd w:id="422"/>
      <w:bookmarkEnd w:id="423"/>
      <w:bookmarkEnd w:id="424"/>
      <w:bookmarkEnd w:id="425"/>
      <w:bookmarkEnd w:id="426"/>
    </w:p>
    <w:p w14:paraId="502A5C42">
      <w:pPr>
        <w:pStyle w:val="47"/>
        <w:widowControl w:val="0"/>
        <w:numPr>
          <w:ilvl w:val="0"/>
          <w:numId w:val="0"/>
        </w:numPr>
        <w:shd w:val="clear"/>
        <w:tabs>
          <w:tab w:val="left" w:pos="907"/>
        </w:tabs>
        <w:adjustRightInd/>
        <w:snapToGrid/>
        <w:ind w:leftChars="0"/>
        <w:jc w:val="both"/>
        <w:rPr>
          <w:rFonts w:hint="eastAsia" w:ascii="宋体" w:hAnsi="宋体" w:eastAsia="宋体" w:cs="宋体"/>
          <w:vanish/>
          <w:color w:val="auto"/>
          <w:szCs w:val="21"/>
          <w:highlight w:val="none"/>
        </w:rPr>
      </w:pPr>
    </w:p>
    <w:p w14:paraId="03164CB5">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评标委员会提出评标书面报告和推荐中标意见报采购人确认后，采购代理机构将在指定的信息发布媒体上发布公告。</w:t>
      </w:r>
    </w:p>
    <w:p w14:paraId="1E4D8F0F">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中标公告期限为3个日历日。</w:t>
      </w:r>
    </w:p>
    <w:p w14:paraId="596B12FF">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《中标通知书》是合同的一个组成部分，《中标通知书》对采购人和中标人均具有同等法律效力。</w:t>
      </w:r>
    </w:p>
    <w:p w14:paraId="7331E146">
      <w:pPr>
        <w:widowControl w:val="0"/>
        <w:shd w:val="clear"/>
        <w:tabs>
          <w:tab w:val="left" w:pos="907"/>
        </w:tabs>
        <w:adjustRightInd/>
        <w:snapToGrid/>
        <w:jc w:val="both"/>
        <w:rPr>
          <w:rFonts w:hint="eastAsia" w:ascii="宋体" w:hAnsi="宋体" w:eastAsia="宋体" w:cs="宋体"/>
          <w:color w:val="auto"/>
          <w:szCs w:val="21"/>
          <w:highlight w:val="none"/>
        </w:rPr>
      </w:pPr>
    </w:p>
    <w:p w14:paraId="6FDD4107">
      <w:pPr>
        <w:pStyle w:val="5"/>
        <w:widowControl w:val="0"/>
        <w:numPr>
          <w:ilvl w:val="0"/>
          <w:numId w:val="3"/>
        </w:numPr>
        <w:shd w:val="clear"/>
        <w:overflowPunct w:val="0"/>
        <w:rPr>
          <w:rFonts w:hint="eastAsia" w:ascii="宋体" w:hAnsi="宋体" w:eastAsia="宋体" w:cs="宋体"/>
          <w:color w:val="auto"/>
          <w:sz w:val="21"/>
          <w:szCs w:val="21"/>
          <w:highlight w:val="none"/>
        </w:rPr>
      </w:pPr>
      <w:bookmarkStart w:id="427" w:name="_Toc18669"/>
      <w:bookmarkStart w:id="428" w:name="_Toc1069"/>
      <w:bookmarkStart w:id="429" w:name="_Toc32518"/>
      <w:bookmarkStart w:id="430" w:name="_Toc3252"/>
      <w:bookmarkStart w:id="431" w:name="_Toc11420"/>
      <w:bookmarkStart w:id="432" w:name="_Toc749"/>
      <w:bookmarkStart w:id="433" w:name="_Toc29105"/>
      <w:bookmarkStart w:id="434" w:name="_Toc29078"/>
      <w:bookmarkStart w:id="435" w:name="_Toc28388"/>
      <w:r>
        <w:rPr>
          <w:rFonts w:hint="eastAsia" w:ascii="宋体" w:hAnsi="宋体" w:eastAsia="宋体" w:cs="宋体"/>
          <w:color w:val="auto"/>
          <w:sz w:val="21"/>
          <w:szCs w:val="21"/>
          <w:highlight w:val="none"/>
        </w:rPr>
        <w:t>资格后审</w:t>
      </w:r>
      <w:bookmarkEnd w:id="427"/>
      <w:bookmarkEnd w:id="428"/>
      <w:bookmarkEnd w:id="429"/>
      <w:bookmarkEnd w:id="430"/>
      <w:bookmarkEnd w:id="431"/>
      <w:bookmarkEnd w:id="432"/>
      <w:bookmarkEnd w:id="433"/>
      <w:bookmarkEnd w:id="434"/>
      <w:bookmarkEnd w:id="435"/>
    </w:p>
    <w:p w14:paraId="134B7C19">
      <w:pPr>
        <w:pStyle w:val="47"/>
        <w:widowControl w:val="0"/>
        <w:numPr>
          <w:ilvl w:val="0"/>
          <w:numId w:val="0"/>
        </w:numPr>
        <w:shd w:val="clear"/>
        <w:tabs>
          <w:tab w:val="left" w:pos="567"/>
          <w:tab w:val="left" w:pos="907"/>
        </w:tabs>
        <w:adjustRightInd/>
        <w:snapToGrid/>
        <w:ind w:leftChars="0"/>
        <w:jc w:val="both"/>
        <w:rPr>
          <w:rFonts w:hint="eastAsia" w:ascii="宋体" w:hAnsi="宋体" w:eastAsia="宋体" w:cs="宋体"/>
          <w:vanish/>
          <w:color w:val="auto"/>
          <w:szCs w:val="21"/>
          <w:highlight w:val="none"/>
        </w:rPr>
      </w:pPr>
    </w:p>
    <w:p w14:paraId="04739AE4">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采购人将有权根据本文件中的要求，对评委会推荐的中标候选人进行资格后审。</w:t>
      </w:r>
    </w:p>
    <w:p w14:paraId="54DE3B72">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中标候选人须无条件配合资格后审，否则采购人有权取消其中标资格，且投标保证金可不予退还。</w:t>
      </w:r>
    </w:p>
    <w:p w14:paraId="7C012CAD">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资格后审须提供包括但不限于营业执照、税务登记证和在投标文件中提供的资质证明文件、业绩等重要证明文件的原件进行核对，综合考察中标人的履约能力。如采购人要求还须提供业绩证明的其他材料,中标候选人须配合提供。如授权其分支机构进行项目实施或提供售后服务的，亦应提供其与分支机构关系的法律证明材料。</w:t>
      </w:r>
    </w:p>
    <w:p w14:paraId="65ECA316">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如发现中标候选人以他人名义投标或者以其他方式弄虚作假，骗取中标的，采购人有权取消其中标资格，且投标保证金可不予退还；给采购人造成损失的，应依法承担赔偿责任。</w:t>
      </w:r>
    </w:p>
    <w:p w14:paraId="57A51781">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采购人有权审查中标候选人是否具备履行合同的能力，包括但不限于对其规模、人员、场地、生产能力、供货能力等方面的核实或现场考察。如果审查通过，采购人将把合同授予该中标人；如果审查没有通过，采购人有权取消其中标资格，且投标保证金可不予退还，并依次审查下一名中标候选人是否具备履行合同的能力或重新采购。</w:t>
      </w:r>
    </w:p>
    <w:p w14:paraId="44EB346C">
      <w:pPr>
        <w:shd w:val="clear"/>
        <w:rPr>
          <w:rFonts w:hint="eastAsia" w:ascii="宋体" w:hAnsi="宋体" w:eastAsia="宋体" w:cs="宋体"/>
          <w:color w:val="auto"/>
          <w:highlight w:val="none"/>
        </w:rPr>
      </w:pPr>
    </w:p>
    <w:p w14:paraId="39256911">
      <w:pPr>
        <w:pStyle w:val="5"/>
        <w:widowControl w:val="0"/>
        <w:numPr>
          <w:ilvl w:val="0"/>
          <w:numId w:val="3"/>
        </w:numPr>
        <w:shd w:val="clear"/>
        <w:overflowPunct w:val="0"/>
        <w:rPr>
          <w:rFonts w:hint="eastAsia" w:ascii="宋体" w:hAnsi="宋体" w:eastAsia="宋体" w:cs="宋体"/>
          <w:color w:val="auto"/>
          <w:sz w:val="21"/>
          <w:szCs w:val="21"/>
          <w:highlight w:val="none"/>
        </w:rPr>
      </w:pPr>
      <w:bookmarkStart w:id="436" w:name="_Toc27302"/>
      <w:bookmarkStart w:id="437" w:name="_Toc13255"/>
      <w:bookmarkStart w:id="438" w:name="_Toc27689"/>
      <w:bookmarkStart w:id="439" w:name="_Toc26546"/>
      <w:bookmarkStart w:id="440" w:name="_Toc28272"/>
      <w:bookmarkStart w:id="441" w:name="_Toc25033"/>
      <w:bookmarkStart w:id="442" w:name="_Toc6062"/>
      <w:bookmarkStart w:id="443" w:name="_Toc22946"/>
      <w:bookmarkStart w:id="444" w:name="_Toc19030"/>
      <w:r>
        <w:rPr>
          <w:rFonts w:hint="eastAsia" w:ascii="宋体" w:hAnsi="宋体" w:eastAsia="宋体" w:cs="宋体"/>
          <w:color w:val="auto"/>
          <w:sz w:val="21"/>
          <w:szCs w:val="21"/>
          <w:highlight w:val="none"/>
        </w:rPr>
        <w:t>合同的签订与履行</w:t>
      </w:r>
      <w:bookmarkEnd w:id="436"/>
      <w:bookmarkEnd w:id="437"/>
      <w:bookmarkEnd w:id="438"/>
      <w:bookmarkEnd w:id="439"/>
      <w:bookmarkEnd w:id="440"/>
      <w:bookmarkEnd w:id="441"/>
      <w:bookmarkEnd w:id="442"/>
      <w:bookmarkEnd w:id="443"/>
      <w:bookmarkEnd w:id="444"/>
    </w:p>
    <w:p w14:paraId="729979DD">
      <w:pPr>
        <w:pStyle w:val="47"/>
        <w:widowControl w:val="0"/>
        <w:numPr>
          <w:ilvl w:val="0"/>
          <w:numId w:val="0"/>
        </w:numPr>
        <w:shd w:val="clear"/>
        <w:tabs>
          <w:tab w:val="left" w:pos="907"/>
        </w:tabs>
        <w:adjustRightInd/>
        <w:snapToGrid/>
        <w:ind w:leftChars="0"/>
        <w:jc w:val="both"/>
        <w:rPr>
          <w:rFonts w:hint="eastAsia" w:ascii="宋体" w:hAnsi="宋体" w:eastAsia="宋体" w:cs="宋体"/>
          <w:vanish/>
          <w:color w:val="auto"/>
          <w:szCs w:val="21"/>
          <w:highlight w:val="none"/>
        </w:rPr>
      </w:pPr>
    </w:p>
    <w:p w14:paraId="33353525">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中标人应当自采购人发出中标通知书之日起30日内，按照采购文件和中标人投标文件的规定，与采购人签订书面合同，否则采购人有权取消其中标资格。所签订的合同不得对采购文件确定的事项和中标人投标文件作实质性修改。在合同签订时，应注意合同中约定的工期开始时间不得早于合同签订时间。</w:t>
      </w:r>
    </w:p>
    <w:p w14:paraId="2DB8E530">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采购人与中标人应当根据合同的约定依法履行合同义务。</w:t>
      </w:r>
    </w:p>
    <w:p w14:paraId="1B0874D2">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采购合同的履行、违约责任和解决争议的方法等适用《中华人民共和国民法典》。</w:t>
      </w:r>
    </w:p>
    <w:p w14:paraId="65C7828D">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中标人在评审结束当天至合同履行结束，若因不可抗力的因素（如国家出台新法律法规等）造成投标人资质的变动，投标人应以纸质版形式通知采购人。若资质变动导致中标人不再具备履行合同资质要求，采购人有权中止合同。</w:t>
      </w:r>
    </w:p>
    <w:p w14:paraId="1E5158A1">
      <w:pPr>
        <w:widowControl w:val="0"/>
        <w:shd w:val="clear"/>
        <w:tabs>
          <w:tab w:val="left" w:pos="907"/>
        </w:tabs>
        <w:adjustRightInd/>
        <w:snapToGrid/>
        <w:jc w:val="both"/>
        <w:rPr>
          <w:rFonts w:hint="eastAsia" w:ascii="宋体" w:hAnsi="宋体" w:eastAsia="宋体" w:cs="宋体"/>
          <w:color w:val="auto"/>
          <w:highlight w:val="none"/>
        </w:rPr>
      </w:pPr>
    </w:p>
    <w:p w14:paraId="2A5A573B">
      <w:pPr>
        <w:shd w:val="clear"/>
        <w:rPr>
          <w:rFonts w:hint="eastAsia" w:ascii="宋体" w:hAnsi="宋体" w:eastAsia="宋体" w:cs="宋体"/>
          <w:color w:val="auto"/>
          <w:highlight w:val="none"/>
        </w:rPr>
      </w:pPr>
    </w:p>
    <w:p w14:paraId="6095FB36">
      <w:pPr>
        <w:pStyle w:val="4"/>
        <w:numPr>
          <w:ilvl w:val="0"/>
          <w:numId w:val="2"/>
        </w:numPr>
        <w:shd w:val="clear"/>
        <w:spacing w:before="0" w:after="0" w:line="360" w:lineRule="auto"/>
        <w:jc w:val="center"/>
        <w:rPr>
          <w:rFonts w:hint="eastAsia" w:ascii="宋体" w:hAnsi="宋体" w:eastAsia="宋体" w:cs="宋体"/>
          <w:color w:val="auto"/>
          <w:highlight w:val="none"/>
        </w:rPr>
      </w:pPr>
      <w:bookmarkStart w:id="445" w:name="_Toc31041"/>
      <w:bookmarkStart w:id="446" w:name="_Toc27556"/>
      <w:bookmarkStart w:id="447" w:name="_Toc7566"/>
      <w:bookmarkStart w:id="448" w:name="_Toc17434"/>
      <w:bookmarkStart w:id="449" w:name="_Toc11474"/>
      <w:bookmarkStart w:id="450" w:name="_Toc21814"/>
      <w:bookmarkStart w:id="451" w:name="_Toc22298"/>
      <w:bookmarkStart w:id="452" w:name="_Toc21180"/>
      <w:bookmarkStart w:id="453" w:name="_Toc6326"/>
      <w:r>
        <w:rPr>
          <w:rFonts w:hint="eastAsia" w:ascii="宋体" w:hAnsi="宋体" w:eastAsia="宋体" w:cs="宋体"/>
          <w:color w:val="auto"/>
          <w:highlight w:val="none"/>
        </w:rPr>
        <w:t>异议</w:t>
      </w:r>
      <w:bookmarkEnd w:id="445"/>
      <w:bookmarkEnd w:id="446"/>
      <w:bookmarkEnd w:id="447"/>
      <w:bookmarkEnd w:id="448"/>
      <w:bookmarkEnd w:id="449"/>
      <w:bookmarkEnd w:id="450"/>
      <w:bookmarkEnd w:id="451"/>
      <w:bookmarkEnd w:id="452"/>
      <w:bookmarkEnd w:id="453"/>
    </w:p>
    <w:p w14:paraId="398CEF3B">
      <w:pPr>
        <w:pStyle w:val="5"/>
        <w:widowControl w:val="0"/>
        <w:numPr>
          <w:ilvl w:val="0"/>
          <w:numId w:val="3"/>
        </w:numPr>
        <w:shd w:val="clear"/>
        <w:overflowPunct w:val="0"/>
        <w:rPr>
          <w:rFonts w:hint="eastAsia" w:ascii="宋体" w:hAnsi="宋体" w:eastAsia="宋体" w:cs="宋体"/>
          <w:color w:val="auto"/>
          <w:sz w:val="21"/>
          <w:szCs w:val="21"/>
          <w:highlight w:val="none"/>
        </w:rPr>
      </w:pPr>
      <w:bookmarkStart w:id="454" w:name="_Toc26242"/>
      <w:bookmarkStart w:id="455" w:name="_Toc15540"/>
      <w:bookmarkStart w:id="456" w:name="_Toc12793"/>
      <w:bookmarkStart w:id="457" w:name="_Toc5169"/>
      <w:bookmarkStart w:id="458" w:name="_Toc31457"/>
      <w:bookmarkStart w:id="459" w:name="_Toc16875"/>
      <w:bookmarkStart w:id="460" w:name="_Toc3911"/>
      <w:bookmarkStart w:id="461" w:name="_Toc16997"/>
      <w:bookmarkStart w:id="462" w:name="_Toc9791"/>
      <w:r>
        <w:rPr>
          <w:rFonts w:hint="eastAsia" w:ascii="宋体" w:hAnsi="宋体" w:eastAsia="宋体" w:cs="宋体"/>
          <w:color w:val="auto"/>
          <w:sz w:val="21"/>
          <w:szCs w:val="21"/>
          <w:highlight w:val="none"/>
        </w:rPr>
        <w:t>异议</w:t>
      </w:r>
      <w:bookmarkEnd w:id="454"/>
      <w:bookmarkEnd w:id="455"/>
      <w:bookmarkEnd w:id="456"/>
      <w:bookmarkEnd w:id="457"/>
      <w:bookmarkEnd w:id="458"/>
      <w:bookmarkEnd w:id="459"/>
      <w:bookmarkEnd w:id="460"/>
      <w:bookmarkEnd w:id="461"/>
      <w:bookmarkEnd w:id="462"/>
    </w:p>
    <w:p w14:paraId="523287BF">
      <w:pPr>
        <w:pStyle w:val="47"/>
        <w:widowControl w:val="0"/>
        <w:numPr>
          <w:ilvl w:val="0"/>
          <w:numId w:val="0"/>
        </w:numPr>
        <w:shd w:val="clear"/>
        <w:tabs>
          <w:tab w:val="left" w:pos="907"/>
        </w:tabs>
        <w:adjustRightInd/>
        <w:snapToGrid/>
        <w:ind w:leftChars="0"/>
        <w:jc w:val="both"/>
        <w:rPr>
          <w:rFonts w:hint="eastAsia" w:ascii="宋体" w:hAnsi="宋体" w:eastAsia="宋体" w:cs="宋体"/>
          <w:vanish/>
          <w:color w:val="auto"/>
          <w:szCs w:val="21"/>
          <w:highlight w:val="none"/>
        </w:rPr>
      </w:pPr>
    </w:p>
    <w:p w14:paraId="2EE31A9F">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zh-CN"/>
        </w:rPr>
        <w:t>采购文件的异议</w:t>
      </w:r>
      <w:r>
        <w:rPr>
          <w:rFonts w:hint="eastAsia" w:ascii="宋体" w:hAnsi="宋体" w:eastAsia="宋体" w:cs="宋体"/>
          <w:color w:val="auto"/>
          <w:szCs w:val="21"/>
          <w:highlight w:val="none"/>
        </w:rPr>
        <w:t xml:space="preserve">  </w:t>
      </w:r>
    </w:p>
    <w:p w14:paraId="734FB6F7">
      <w:pPr>
        <w:widowControl w:val="0"/>
        <w:shd w:val="clear"/>
        <w:tabs>
          <w:tab w:val="left" w:pos="907"/>
        </w:tabs>
        <w:adjustRightInd/>
        <w:snapToGrid/>
        <w:ind w:firstLine="420" w:firstLineChars="200"/>
        <w:jc w:val="both"/>
        <w:rPr>
          <w:rFonts w:hint="eastAsia" w:ascii="宋体" w:hAnsi="宋体" w:eastAsia="宋体" w:cs="宋体"/>
          <w:color w:val="auto"/>
          <w:szCs w:val="21"/>
          <w:highlight w:val="none"/>
        </w:rPr>
      </w:pPr>
      <w:r>
        <w:rPr>
          <w:rFonts w:hint="eastAsia" w:ascii="宋体" w:hAnsi="宋体" w:eastAsia="宋体" w:cs="宋体"/>
          <w:bCs/>
          <w:color w:val="auto"/>
          <w:kern w:val="2"/>
          <w:szCs w:val="21"/>
          <w:highlight w:val="none"/>
          <w:lang w:val="zh-CN"/>
        </w:rPr>
        <w:t>投标人或者其他利害关系人对采购文件有异议的，应当在投标截止时间10日前</w:t>
      </w:r>
      <w:r>
        <w:rPr>
          <w:rFonts w:hint="eastAsia" w:ascii="宋体" w:hAnsi="宋体" w:eastAsia="宋体" w:cs="宋体"/>
          <w:color w:val="auto"/>
          <w:kern w:val="2"/>
          <w:szCs w:val="21"/>
          <w:highlight w:val="none"/>
          <w:lang w:val="zh-CN"/>
        </w:rPr>
        <w:t>以书面形式向采购代理机构提出，并将材料原件送达采购代理机构，逾期则视为对采购文件所有内容无异议。</w:t>
      </w:r>
      <w:r>
        <w:rPr>
          <w:rFonts w:hint="eastAsia" w:ascii="宋体" w:hAnsi="宋体" w:eastAsia="宋体" w:cs="宋体"/>
          <w:bCs/>
          <w:color w:val="auto"/>
          <w:kern w:val="2"/>
          <w:szCs w:val="21"/>
          <w:highlight w:val="none"/>
          <w:lang w:val="zh-CN"/>
        </w:rPr>
        <w:t>异议</w:t>
      </w:r>
      <w:r>
        <w:rPr>
          <w:rFonts w:hint="eastAsia" w:ascii="宋体" w:hAnsi="宋体" w:eastAsia="宋体" w:cs="宋体"/>
          <w:color w:val="auto"/>
          <w:kern w:val="2"/>
          <w:szCs w:val="21"/>
          <w:highlight w:val="none"/>
          <w:lang w:val="zh-CN"/>
        </w:rPr>
        <w:t>书面材料必须加盖投标人法人公章，并注明联系人、联系电话、联系地址。</w:t>
      </w:r>
      <w:r>
        <w:rPr>
          <w:rFonts w:hint="eastAsia" w:ascii="宋体" w:hAnsi="宋体" w:eastAsia="宋体" w:cs="宋体"/>
          <w:bCs/>
          <w:color w:val="auto"/>
          <w:kern w:val="2"/>
          <w:szCs w:val="21"/>
          <w:highlight w:val="none"/>
          <w:lang w:val="zh-CN"/>
        </w:rPr>
        <w:t>超出</w:t>
      </w:r>
      <w:r>
        <w:rPr>
          <w:rFonts w:hint="eastAsia" w:ascii="宋体" w:hAnsi="宋体" w:eastAsia="宋体" w:cs="宋体"/>
          <w:color w:val="auto"/>
          <w:kern w:val="2"/>
          <w:szCs w:val="21"/>
          <w:highlight w:val="none"/>
          <w:lang w:val="zh-CN"/>
        </w:rPr>
        <w:t>提交接收异议截止时间而</w:t>
      </w:r>
      <w:r>
        <w:rPr>
          <w:rFonts w:hint="eastAsia" w:ascii="宋体" w:hAnsi="宋体" w:eastAsia="宋体" w:cs="宋体"/>
          <w:bCs/>
          <w:color w:val="auto"/>
          <w:kern w:val="2"/>
          <w:szCs w:val="21"/>
          <w:highlight w:val="none"/>
          <w:lang w:val="zh-CN"/>
        </w:rPr>
        <w:t>提出的任何疑问，</w:t>
      </w:r>
      <w:r>
        <w:rPr>
          <w:rFonts w:hint="eastAsia" w:ascii="宋体" w:hAnsi="宋体" w:eastAsia="宋体" w:cs="宋体"/>
          <w:bCs/>
          <w:color w:val="auto"/>
          <w:kern w:val="2"/>
          <w:szCs w:val="21"/>
          <w:highlight w:val="none"/>
        </w:rPr>
        <w:t>采购人或</w:t>
      </w:r>
      <w:r>
        <w:rPr>
          <w:rFonts w:hint="eastAsia" w:ascii="宋体" w:hAnsi="宋体" w:eastAsia="宋体" w:cs="宋体"/>
          <w:bCs/>
          <w:color w:val="auto"/>
          <w:kern w:val="2"/>
          <w:szCs w:val="21"/>
          <w:highlight w:val="none"/>
          <w:lang w:val="zh-CN"/>
        </w:rPr>
        <w:t>采购代理机构可不予答复。</w:t>
      </w:r>
    </w:p>
    <w:p w14:paraId="3A88C33E">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zh-CN"/>
        </w:rPr>
        <w:t>评标结果异议</w:t>
      </w:r>
      <w:r>
        <w:rPr>
          <w:rFonts w:hint="eastAsia" w:ascii="宋体" w:hAnsi="宋体" w:eastAsia="宋体" w:cs="宋体"/>
          <w:color w:val="auto"/>
          <w:szCs w:val="21"/>
          <w:highlight w:val="none"/>
        </w:rPr>
        <w:t xml:space="preserve">   </w:t>
      </w:r>
    </w:p>
    <w:p w14:paraId="44E92322">
      <w:pPr>
        <w:widowControl w:val="0"/>
        <w:shd w:val="clear"/>
        <w:tabs>
          <w:tab w:val="left" w:pos="907"/>
        </w:tabs>
        <w:adjustRightInd/>
        <w:snapToGrid/>
        <w:ind w:firstLine="420" w:firstLineChars="200"/>
        <w:jc w:val="both"/>
        <w:rPr>
          <w:rFonts w:hint="eastAsia" w:ascii="宋体" w:hAnsi="宋体" w:eastAsia="宋体" w:cs="宋体"/>
          <w:color w:val="auto"/>
          <w:kern w:val="2"/>
          <w:szCs w:val="21"/>
          <w:highlight w:val="none"/>
          <w:lang w:val="zh-CN"/>
        </w:rPr>
      </w:pPr>
      <w:r>
        <w:rPr>
          <w:rFonts w:hint="eastAsia" w:ascii="宋体" w:hAnsi="宋体" w:eastAsia="宋体" w:cs="宋体"/>
          <w:color w:val="auto"/>
          <w:kern w:val="2"/>
          <w:szCs w:val="21"/>
          <w:highlight w:val="none"/>
          <w:lang w:val="zh-CN"/>
        </w:rPr>
        <w:t>投标人或者其他利害关系人对评标结果有异议的，应当在中标候选人公示期间向采购代理机构以书面的形式提出，并将完整的异议书面材料原件送达采购代理机构，逾期则视为对评标结果无异议。超出提交异议截止时间而提出的任何疑问，采购代理机构可不予答复。</w:t>
      </w:r>
    </w:p>
    <w:p w14:paraId="279C005E">
      <w:pPr>
        <w:widowControl w:val="0"/>
        <w:shd w:val="clear"/>
        <w:tabs>
          <w:tab w:val="left" w:pos="907"/>
        </w:tabs>
        <w:adjustRightInd/>
        <w:snapToGrid/>
        <w:ind w:firstLine="420" w:firstLineChars="200"/>
        <w:jc w:val="both"/>
        <w:rPr>
          <w:rFonts w:hint="eastAsia" w:ascii="宋体" w:hAnsi="宋体" w:eastAsia="宋体" w:cs="宋体"/>
          <w:color w:val="auto"/>
          <w:kern w:val="2"/>
          <w:szCs w:val="21"/>
          <w:highlight w:val="none"/>
          <w:lang w:val="zh-CN"/>
        </w:rPr>
      </w:pPr>
      <w:r>
        <w:rPr>
          <w:rFonts w:hint="eastAsia" w:ascii="宋体" w:hAnsi="宋体" w:eastAsia="宋体" w:cs="宋体"/>
          <w:color w:val="auto"/>
          <w:kern w:val="2"/>
          <w:szCs w:val="21"/>
          <w:highlight w:val="none"/>
          <w:lang w:val="zh-CN"/>
        </w:rPr>
        <w:t>采购代理机构将拒收未能提供完整异议书面材料的异议，完整的异议书面材料必须同时包含：异议书（加盖法人公章，并注明联系人、联系电话、联系地址）、授权提交异议的法定代表人授权书原件、反映异议人主体资格的营业执照复印件（加盖法人公章）、以及合法来源的证据证明材料。</w:t>
      </w:r>
    </w:p>
    <w:p w14:paraId="0EA47AFA">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以联合体形式参加采购活动的，其异议应当由组成联合体的所有投标人共同提出。</w:t>
      </w:r>
    </w:p>
    <w:p w14:paraId="72B1BC12">
      <w:pPr>
        <w:shd w:val="clear"/>
        <w:rPr>
          <w:rFonts w:hint="eastAsia" w:ascii="宋体" w:hAnsi="宋体" w:eastAsia="宋体" w:cs="宋体"/>
          <w:color w:val="auto"/>
          <w:highlight w:val="none"/>
        </w:rPr>
      </w:pPr>
    </w:p>
    <w:p w14:paraId="6BF9BAC3">
      <w:pPr>
        <w:pStyle w:val="4"/>
        <w:numPr>
          <w:ilvl w:val="0"/>
          <w:numId w:val="2"/>
        </w:numPr>
        <w:shd w:val="clear"/>
        <w:spacing w:before="0" w:after="0" w:line="360" w:lineRule="auto"/>
        <w:jc w:val="center"/>
        <w:rPr>
          <w:rFonts w:hint="eastAsia" w:ascii="宋体" w:hAnsi="宋体" w:eastAsia="宋体" w:cs="宋体"/>
          <w:color w:val="auto"/>
          <w:highlight w:val="none"/>
        </w:rPr>
      </w:pPr>
      <w:bookmarkStart w:id="463" w:name="_Toc18965"/>
      <w:bookmarkStart w:id="464" w:name="_Toc17202"/>
      <w:bookmarkStart w:id="465" w:name="_Toc27796"/>
      <w:bookmarkStart w:id="466" w:name="_Toc16776"/>
      <w:bookmarkStart w:id="467" w:name="_Toc28856"/>
      <w:bookmarkStart w:id="468" w:name="_Toc3398"/>
      <w:bookmarkStart w:id="469" w:name="_Toc23951"/>
      <w:bookmarkStart w:id="470" w:name="_Toc18558"/>
      <w:bookmarkStart w:id="471" w:name="_Toc26393"/>
      <w:r>
        <w:rPr>
          <w:rFonts w:hint="eastAsia" w:ascii="宋体" w:hAnsi="宋体" w:eastAsia="宋体" w:cs="宋体"/>
          <w:color w:val="auto"/>
          <w:highlight w:val="none"/>
        </w:rPr>
        <w:t>其他</w:t>
      </w:r>
      <w:bookmarkEnd w:id="463"/>
      <w:bookmarkEnd w:id="464"/>
      <w:bookmarkEnd w:id="465"/>
      <w:bookmarkEnd w:id="466"/>
      <w:bookmarkEnd w:id="467"/>
      <w:bookmarkEnd w:id="468"/>
      <w:bookmarkEnd w:id="469"/>
      <w:bookmarkEnd w:id="470"/>
      <w:bookmarkEnd w:id="471"/>
    </w:p>
    <w:p w14:paraId="597BB485">
      <w:pPr>
        <w:pStyle w:val="5"/>
        <w:widowControl w:val="0"/>
        <w:numPr>
          <w:ilvl w:val="0"/>
          <w:numId w:val="3"/>
        </w:numPr>
        <w:shd w:val="clear"/>
        <w:overflowPunct w:val="0"/>
        <w:rPr>
          <w:rFonts w:hint="eastAsia" w:ascii="宋体" w:hAnsi="宋体" w:eastAsia="宋体" w:cs="宋体"/>
          <w:color w:val="auto"/>
          <w:sz w:val="21"/>
          <w:szCs w:val="21"/>
          <w:highlight w:val="none"/>
        </w:rPr>
      </w:pPr>
      <w:bookmarkStart w:id="472" w:name="_Toc28315"/>
      <w:bookmarkStart w:id="473" w:name="_Toc1587"/>
      <w:bookmarkStart w:id="474" w:name="_Toc2155"/>
      <w:bookmarkStart w:id="475" w:name="_Toc17966"/>
      <w:bookmarkStart w:id="476" w:name="_Toc9646"/>
      <w:bookmarkStart w:id="477" w:name="_Toc31185"/>
      <w:bookmarkStart w:id="478" w:name="_Toc6437"/>
      <w:bookmarkStart w:id="479" w:name="_Toc26843"/>
      <w:bookmarkStart w:id="480" w:name="_Toc3926"/>
      <w:r>
        <w:rPr>
          <w:rFonts w:hint="eastAsia" w:ascii="宋体" w:hAnsi="宋体" w:eastAsia="宋体" w:cs="宋体"/>
          <w:color w:val="auto"/>
          <w:sz w:val="21"/>
          <w:szCs w:val="21"/>
          <w:highlight w:val="none"/>
        </w:rPr>
        <w:t>采购文件的解释权</w:t>
      </w:r>
      <w:bookmarkEnd w:id="472"/>
      <w:bookmarkEnd w:id="473"/>
      <w:bookmarkEnd w:id="474"/>
      <w:bookmarkEnd w:id="475"/>
      <w:bookmarkEnd w:id="476"/>
      <w:bookmarkEnd w:id="477"/>
      <w:bookmarkEnd w:id="478"/>
      <w:bookmarkEnd w:id="479"/>
      <w:bookmarkEnd w:id="480"/>
    </w:p>
    <w:p w14:paraId="7EC4289F">
      <w:pPr>
        <w:pStyle w:val="47"/>
        <w:widowControl w:val="0"/>
        <w:numPr>
          <w:ilvl w:val="0"/>
          <w:numId w:val="0"/>
        </w:numPr>
        <w:shd w:val="clear"/>
        <w:tabs>
          <w:tab w:val="left" w:pos="907"/>
        </w:tabs>
        <w:adjustRightInd/>
        <w:snapToGrid/>
        <w:ind w:leftChars="0"/>
        <w:jc w:val="both"/>
        <w:rPr>
          <w:rFonts w:hint="eastAsia" w:ascii="宋体" w:hAnsi="宋体" w:eastAsia="宋体" w:cs="宋体"/>
          <w:vanish/>
          <w:color w:val="auto"/>
          <w:szCs w:val="21"/>
          <w:highlight w:val="none"/>
        </w:rPr>
      </w:pPr>
    </w:p>
    <w:p w14:paraId="172AA2BB">
      <w:pPr>
        <w:widowControl w:val="0"/>
        <w:numPr>
          <w:ilvl w:val="1"/>
          <w:numId w:val="3"/>
        </w:numPr>
        <w:shd w:val="clear"/>
        <w:overflowPunct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本采购文件是根据国家有关法律、法规以及采购管理有关规定和参照国际惯例编制，解释权属本采购代理机构。</w:t>
      </w:r>
    </w:p>
    <w:p w14:paraId="2A8C0004">
      <w:pPr>
        <w:widowControl w:val="0"/>
        <w:numPr>
          <w:ilvl w:val="1"/>
          <w:numId w:val="8"/>
        </w:numPr>
        <w:shd w:val="clear"/>
        <w:tabs>
          <w:tab w:val="left" w:pos="907"/>
        </w:tabs>
        <w:adjustRightInd/>
        <w:snapToGrid/>
        <w:spacing w:line="360" w:lineRule="exact"/>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1ECC8F40">
      <w:pPr>
        <w:pStyle w:val="3"/>
        <w:shd w:val="clear"/>
        <w:spacing w:before="0" w:after="0" w:line="240" w:lineRule="auto"/>
        <w:rPr>
          <w:rFonts w:hint="eastAsia" w:ascii="宋体" w:hAnsi="宋体" w:eastAsia="宋体" w:cs="宋体"/>
          <w:color w:val="auto"/>
          <w:sz w:val="28"/>
          <w:szCs w:val="28"/>
          <w:highlight w:val="none"/>
        </w:rPr>
      </w:pPr>
      <w:bookmarkStart w:id="481" w:name="_Toc1868"/>
      <w:bookmarkStart w:id="482" w:name="_Toc12881"/>
      <w:bookmarkStart w:id="483" w:name="_Toc30288"/>
      <w:bookmarkStart w:id="484" w:name="_Toc3724"/>
      <w:bookmarkStart w:id="485" w:name="_Toc21779"/>
      <w:bookmarkStart w:id="486" w:name="_Toc17424"/>
      <w:bookmarkStart w:id="487" w:name="_Toc15211"/>
      <w:bookmarkStart w:id="488" w:name="_Toc3214"/>
      <w:r>
        <w:rPr>
          <w:rFonts w:hint="eastAsia" w:ascii="宋体" w:hAnsi="宋体" w:eastAsia="宋体" w:cs="宋体"/>
          <w:color w:val="auto"/>
          <w:sz w:val="28"/>
          <w:szCs w:val="28"/>
          <w:highlight w:val="none"/>
        </w:rPr>
        <w:t>第五部分  合同条款格式</w:t>
      </w:r>
      <w:bookmarkEnd w:id="481"/>
      <w:bookmarkEnd w:id="482"/>
      <w:bookmarkEnd w:id="483"/>
      <w:bookmarkEnd w:id="484"/>
      <w:bookmarkEnd w:id="485"/>
      <w:bookmarkEnd w:id="486"/>
      <w:bookmarkEnd w:id="487"/>
      <w:bookmarkEnd w:id="488"/>
      <w:bookmarkStart w:id="489" w:name="_Toc15636"/>
    </w:p>
    <w:bookmarkEnd w:id="489"/>
    <w:p w14:paraId="6E8E748C">
      <w:pPr>
        <w:shd w:val="clear"/>
        <w:spacing w:line="360" w:lineRule="auto"/>
        <w:ind w:right="480"/>
        <w:jc w:val="center"/>
        <w:rPr>
          <w:rFonts w:hAnsi="宋体"/>
          <w:color w:val="auto"/>
          <w:highlight w:val="none"/>
        </w:rPr>
      </w:pPr>
      <w:bookmarkStart w:id="490" w:name="_Hlt109815959"/>
      <w:bookmarkEnd w:id="490"/>
      <w:r>
        <w:rPr>
          <w:rFonts w:hint="eastAsia" w:hAnsi="宋体"/>
          <w:color w:val="auto"/>
          <w:highlight w:val="none"/>
          <w:lang w:val="en-US" w:eastAsia="zh-CN"/>
        </w:rPr>
        <w:t xml:space="preserve">                                                                              </w:t>
      </w:r>
      <w:r>
        <w:rPr>
          <w:rFonts w:hint="eastAsia" w:hAnsi="宋体"/>
          <w:color w:val="auto"/>
          <w:highlight w:val="none"/>
        </w:rPr>
        <w:t>合同编号：</w:t>
      </w:r>
    </w:p>
    <w:p w14:paraId="3F004A43">
      <w:pPr>
        <w:shd w:val="clear"/>
        <w:jc w:val="center"/>
        <w:rPr>
          <w:rFonts w:hAnsi="宋体"/>
          <w:b/>
          <w:color w:val="auto"/>
          <w:sz w:val="72"/>
          <w:szCs w:val="72"/>
          <w:highlight w:val="none"/>
        </w:rPr>
      </w:pPr>
    </w:p>
    <w:p w14:paraId="11ECE2CD">
      <w:pPr>
        <w:shd w:val="clear"/>
        <w:jc w:val="center"/>
        <w:rPr>
          <w:rFonts w:hAnsi="宋体"/>
          <w:b/>
          <w:color w:val="auto"/>
          <w:sz w:val="72"/>
          <w:szCs w:val="72"/>
          <w:highlight w:val="none"/>
        </w:rPr>
      </w:pPr>
    </w:p>
    <w:p w14:paraId="35F813AC">
      <w:pPr>
        <w:shd w:val="clear"/>
        <w:ind w:right="-313" w:rightChars="-149"/>
        <w:jc w:val="center"/>
        <w:rPr>
          <w:rFonts w:hint="eastAsia" w:hAnsi="宋体" w:eastAsia="宋体"/>
          <w:b/>
          <w:color w:val="auto"/>
          <w:sz w:val="52"/>
          <w:szCs w:val="52"/>
          <w:highlight w:val="none"/>
          <w:lang w:eastAsia="zh-CN"/>
        </w:rPr>
      </w:pPr>
      <w:r>
        <w:rPr>
          <w:rFonts w:hint="eastAsia" w:hAnsi="宋体"/>
          <w:b/>
          <w:color w:val="auto"/>
          <w:sz w:val="52"/>
          <w:szCs w:val="52"/>
          <w:highlight w:val="none"/>
          <w:lang w:eastAsia="zh-CN"/>
        </w:rPr>
        <w:t>新锋燃气低值日杂品采购项目（重新采购）</w:t>
      </w:r>
    </w:p>
    <w:p w14:paraId="4CE8A465">
      <w:pPr>
        <w:shd w:val="clear"/>
        <w:jc w:val="center"/>
        <w:rPr>
          <w:rFonts w:hint="eastAsia" w:hAnsi="宋体"/>
          <w:b/>
          <w:color w:val="auto"/>
          <w:sz w:val="72"/>
          <w:szCs w:val="72"/>
          <w:highlight w:val="none"/>
        </w:rPr>
      </w:pPr>
    </w:p>
    <w:p w14:paraId="3724628A">
      <w:pPr>
        <w:shd w:val="clear"/>
        <w:jc w:val="center"/>
        <w:rPr>
          <w:rFonts w:hAnsi="宋体"/>
          <w:b/>
          <w:color w:val="auto"/>
          <w:sz w:val="72"/>
          <w:szCs w:val="72"/>
          <w:highlight w:val="none"/>
        </w:rPr>
      </w:pPr>
      <w:r>
        <w:rPr>
          <w:rFonts w:hint="eastAsia" w:hAnsi="宋体"/>
          <w:b/>
          <w:color w:val="auto"/>
          <w:sz w:val="72"/>
          <w:szCs w:val="72"/>
          <w:highlight w:val="none"/>
          <w:lang w:val="en-US" w:eastAsia="zh-CN"/>
        </w:rPr>
        <w:t xml:space="preserve">采 购 </w:t>
      </w:r>
      <w:r>
        <w:rPr>
          <w:rFonts w:hint="eastAsia" w:hAnsi="宋体"/>
          <w:b/>
          <w:color w:val="auto"/>
          <w:sz w:val="72"/>
          <w:szCs w:val="72"/>
          <w:highlight w:val="none"/>
        </w:rPr>
        <w:t>合</w:t>
      </w:r>
      <w:r>
        <w:rPr>
          <w:rFonts w:hint="eastAsia" w:hAnsi="宋体"/>
          <w:b/>
          <w:color w:val="auto"/>
          <w:sz w:val="72"/>
          <w:szCs w:val="72"/>
          <w:highlight w:val="none"/>
          <w:lang w:val="en-US" w:eastAsia="zh-CN"/>
        </w:rPr>
        <w:t xml:space="preserve"> </w:t>
      </w:r>
      <w:r>
        <w:rPr>
          <w:rFonts w:hint="eastAsia" w:hAnsi="宋体"/>
          <w:b/>
          <w:color w:val="auto"/>
          <w:sz w:val="72"/>
          <w:szCs w:val="72"/>
          <w:highlight w:val="none"/>
        </w:rPr>
        <w:t>同</w:t>
      </w:r>
    </w:p>
    <w:p w14:paraId="77FF67FC">
      <w:pPr>
        <w:shd w:val="clear"/>
        <w:snapToGrid w:val="0"/>
        <w:spacing w:line="360" w:lineRule="auto"/>
        <w:ind w:firstLine="2233" w:firstLineChars="695"/>
        <w:jc w:val="center"/>
        <w:rPr>
          <w:rFonts w:hAnsi="宋体"/>
          <w:b/>
          <w:bCs/>
          <w:snapToGrid w:val="0"/>
          <w:color w:val="auto"/>
          <w:sz w:val="32"/>
          <w:szCs w:val="32"/>
          <w:highlight w:val="none"/>
        </w:rPr>
      </w:pPr>
    </w:p>
    <w:p w14:paraId="117058FF">
      <w:pPr>
        <w:shd w:val="clear"/>
        <w:snapToGrid w:val="0"/>
        <w:spacing w:line="360" w:lineRule="auto"/>
        <w:rPr>
          <w:rFonts w:hAnsi="宋体"/>
          <w:snapToGrid w:val="0"/>
          <w:color w:val="auto"/>
          <w:highlight w:val="none"/>
        </w:rPr>
      </w:pPr>
    </w:p>
    <w:p w14:paraId="7C6EBD9D">
      <w:pPr>
        <w:widowControl/>
        <w:shd w:val="clear"/>
        <w:wordWrap w:val="0"/>
        <w:spacing w:line="360" w:lineRule="auto"/>
        <w:ind w:left="1919" w:leftChars="152" w:hanging="1600" w:hangingChars="500"/>
        <w:rPr>
          <w:rFonts w:hint="default" w:hAnsi="宋体" w:cs="黑体"/>
          <w:color w:val="auto"/>
          <w:sz w:val="32"/>
          <w:szCs w:val="32"/>
          <w:highlight w:val="none"/>
          <w:lang w:val="en-US"/>
        </w:rPr>
      </w:pPr>
    </w:p>
    <w:p w14:paraId="07F1436F">
      <w:pPr>
        <w:widowControl/>
        <w:shd w:val="clear"/>
        <w:wordWrap w:val="0"/>
        <w:spacing w:line="360" w:lineRule="auto"/>
        <w:ind w:left="1919" w:leftChars="152" w:hanging="1600" w:hangingChars="500"/>
        <w:rPr>
          <w:rFonts w:hint="default" w:hAnsi="宋体" w:cs="黑体"/>
          <w:color w:val="auto"/>
          <w:sz w:val="32"/>
          <w:szCs w:val="32"/>
          <w:highlight w:val="none"/>
          <w:lang w:val="en-US"/>
        </w:rPr>
      </w:pPr>
    </w:p>
    <w:p w14:paraId="5A18EDA2">
      <w:pPr>
        <w:widowControl/>
        <w:shd w:val="clear"/>
        <w:wordWrap w:val="0"/>
        <w:spacing w:line="360" w:lineRule="auto"/>
        <w:ind w:left="1919" w:leftChars="152" w:hanging="1600" w:hangingChars="500"/>
        <w:rPr>
          <w:rFonts w:hint="default" w:hAnsi="宋体" w:cs="黑体"/>
          <w:color w:val="auto"/>
          <w:sz w:val="32"/>
          <w:szCs w:val="32"/>
          <w:highlight w:val="none"/>
          <w:lang w:val="en-US"/>
        </w:rPr>
      </w:pPr>
    </w:p>
    <w:p w14:paraId="2F7C412E">
      <w:pPr>
        <w:widowControl/>
        <w:shd w:val="clear"/>
        <w:wordWrap w:val="0"/>
        <w:spacing w:line="360" w:lineRule="auto"/>
        <w:ind w:left="1919" w:leftChars="152" w:hanging="1600" w:hangingChars="500"/>
        <w:rPr>
          <w:rFonts w:hint="eastAsia" w:hAnsi="宋体" w:eastAsia="宋体" w:cs="黑体"/>
          <w:color w:val="auto"/>
          <w:sz w:val="32"/>
          <w:szCs w:val="32"/>
          <w:highlight w:val="none"/>
          <w:u w:val="single"/>
          <w:lang w:eastAsia="zh-CN"/>
        </w:rPr>
      </w:pPr>
      <w:r>
        <w:rPr>
          <w:rFonts w:hint="eastAsia" w:hAnsi="宋体" w:cs="黑体"/>
          <w:color w:val="auto"/>
          <w:sz w:val="32"/>
          <w:szCs w:val="32"/>
          <w:highlight w:val="none"/>
          <w:lang w:val="en-US" w:eastAsia="zh-CN"/>
        </w:rPr>
        <w:t>项目</w:t>
      </w:r>
      <w:r>
        <w:rPr>
          <w:rFonts w:hint="eastAsia" w:hAnsi="宋体" w:cs="黑体"/>
          <w:color w:val="auto"/>
          <w:sz w:val="32"/>
          <w:szCs w:val="32"/>
          <w:highlight w:val="none"/>
        </w:rPr>
        <w:t>名称：</w:t>
      </w:r>
      <w:r>
        <w:rPr>
          <w:rFonts w:hint="eastAsia" w:hAnsi="宋体" w:cs="黑体"/>
          <w:color w:val="auto"/>
          <w:sz w:val="32"/>
          <w:szCs w:val="32"/>
          <w:highlight w:val="none"/>
          <w:u w:val="single"/>
          <w:lang w:eastAsia="zh-CN"/>
        </w:rPr>
        <w:t>新锋燃气低值日杂品采购项目（重新采购）</w:t>
      </w:r>
    </w:p>
    <w:p w14:paraId="5AAADB10">
      <w:pPr>
        <w:widowControl/>
        <w:shd w:val="clear"/>
        <w:wordWrap w:val="0"/>
        <w:spacing w:line="360" w:lineRule="auto"/>
        <w:ind w:firstLine="320" w:firstLineChars="100"/>
        <w:rPr>
          <w:rFonts w:hint="eastAsia" w:hAnsi="宋体" w:eastAsia="宋体" w:cs="黑体"/>
          <w:color w:val="auto"/>
          <w:sz w:val="32"/>
          <w:szCs w:val="32"/>
          <w:highlight w:val="none"/>
          <w:u w:val="single"/>
          <w:lang w:eastAsia="zh-CN"/>
        </w:rPr>
      </w:pPr>
      <w:r>
        <w:rPr>
          <w:rFonts w:hint="eastAsia" w:hAnsi="宋体" w:cs="黑体"/>
          <w:color w:val="auto"/>
          <w:sz w:val="32"/>
          <w:szCs w:val="32"/>
          <w:highlight w:val="none"/>
          <w:lang w:val="en-US" w:eastAsia="zh-CN"/>
        </w:rPr>
        <w:t>采购</w:t>
      </w:r>
      <w:r>
        <w:rPr>
          <w:rFonts w:hint="eastAsia" w:hAnsi="宋体" w:cs="黑体"/>
          <w:color w:val="auto"/>
          <w:sz w:val="32"/>
          <w:szCs w:val="32"/>
          <w:highlight w:val="none"/>
        </w:rPr>
        <w:t>单位：</w:t>
      </w:r>
      <w:r>
        <w:rPr>
          <w:rFonts w:hint="eastAsia" w:hAnsi="宋体" w:cs="黑体"/>
          <w:color w:val="auto"/>
          <w:sz w:val="32"/>
          <w:szCs w:val="32"/>
          <w:highlight w:val="none"/>
          <w:u w:val="single"/>
          <w:lang w:eastAsia="zh-CN"/>
        </w:rPr>
        <w:t>东莞新锋液化石油气有限公司</w:t>
      </w:r>
    </w:p>
    <w:p w14:paraId="3A206AC8">
      <w:pPr>
        <w:widowControl/>
        <w:shd w:val="clear"/>
        <w:wordWrap w:val="0"/>
        <w:spacing w:line="360" w:lineRule="auto"/>
        <w:ind w:firstLine="320" w:firstLineChars="100"/>
        <w:rPr>
          <w:rFonts w:hint="eastAsia" w:hAnsi="宋体" w:eastAsia="宋体" w:cs="黑体"/>
          <w:color w:val="auto"/>
          <w:sz w:val="32"/>
          <w:szCs w:val="32"/>
          <w:highlight w:val="none"/>
          <w:u w:val="single"/>
          <w:lang w:eastAsia="zh-CN"/>
        </w:rPr>
      </w:pPr>
      <w:r>
        <w:rPr>
          <w:rFonts w:hint="eastAsia" w:hAnsi="宋体" w:cs="黑体"/>
          <w:color w:val="auto"/>
          <w:sz w:val="32"/>
          <w:szCs w:val="32"/>
          <w:highlight w:val="none"/>
          <w:lang w:val="en-US" w:eastAsia="zh-CN"/>
        </w:rPr>
        <w:t>供货单位</w:t>
      </w:r>
      <w:r>
        <w:rPr>
          <w:rFonts w:hint="eastAsia" w:hAnsi="宋体" w:cs="黑体"/>
          <w:color w:val="auto"/>
          <w:sz w:val="32"/>
          <w:szCs w:val="32"/>
          <w:highlight w:val="none"/>
        </w:rPr>
        <w:t>：</w:t>
      </w:r>
      <w:r>
        <w:rPr>
          <w:rFonts w:hint="eastAsia" w:hAnsi="宋体" w:cs="黑体"/>
          <w:color w:val="auto"/>
          <w:sz w:val="32"/>
          <w:szCs w:val="32"/>
          <w:highlight w:val="none"/>
          <w:u w:val="single"/>
          <w:lang w:val="en-US" w:eastAsia="zh-CN"/>
        </w:rPr>
        <w:t xml:space="preserve">             </w:t>
      </w:r>
    </w:p>
    <w:p w14:paraId="228BCC1D">
      <w:pPr>
        <w:widowControl/>
        <w:shd w:val="clear"/>
        <w:wordWrap w:val="0"/>
        <w:spacing w:line="360" w:lineRule="auto"/>
        <w:ind w:firstLine="210" w:firstLineChars="100"/>
        <w:rPr>
          <w:rFonts w:hint="default" w:hAnsi="Tahoma" w:cstheme="minorBidi"/>
          <w:color w:val="auto"/>
          <w:sz w:val="21"/>
          <w:szCs w:val="22"/>
          <w:highlight w:val="none"/>
          <w:u w:val="single"/>
          <w:lang w:val="en-US" w:eastAsia="zh-CN"/>
        </w:rPr>
      </w:pPr>
      <w:r>
        <w:rPr>
          <w:rFonts w:hint="default" w:hAnsi="Tahoma" w:cstheme="minorBidi"/>
          <w:color w:val="auto"/>
          <w:sz w:val="21"/>
          <w:szCs w:val="22"/>
          <w:highlight w:val="none"/>
          <w:u w:val="single"/>
          <w:lang w:val="en-US" w:eastAsia="zh-CN"/>
        </w:rPr>
        <w:t xml:space="preserve">                    </w:t>
      </w:r>
    </w:p>
    <w:p w14:paraId="651F2E04">
      <w:pPr>
        <w:widowControl/>
        <w:shd w:val="clear"/>
        <w:wordWrap w:val="0"/>
        <w:spacing w:line="360" w:lineRule="auto"/>
        <w:ind w:firstLine="3200" w:firstLineChars="1000"/>
        <w:rPr>
          <w:rFonts w:hint="default" w:hAnsi="宋体" w:cs="黑体"/>
          <w:color w:val="auto"/>
          <w:sz w:val="32"/>
          <w:szCs w:val="32"/>
          <w:highlight w:val="none"/>
          <w:u w:val="none"/>
        </w:rPr>
      </w:pPr>
      <w:r>
        <w:rPr>
          <w:rFonts w:hint="default" w:hAnsi="宋体" w:cs="黑体"/>
          <w:color w:val="auto"/>
          <w:sz w:val="32"/>
          <w:szCs w:val="32"/>
          <w:highlight w:val="none"/>
        </w:rPr>
        <w:t>年    月    日</w:t>
      </w:r>
    </w:p>
    <w:p w14:paraId="2197DD2F">
      <w:pPr>
        <w:widowControl/>
        <w:shd w:val="clear"/>
        <w:wordWrap w:val="0"/>
        <w:spacing w:line="360" w:lineRule="auto"/>
        <w:ind w:firstLine="320" w:firstLineChars="100"/>
        <w:rPr>
          <w:rFonts w:hint="eastAsia" w:hAnsi="宋体" w:cs="黑体"/>
          <w:color w:val="auto"/>
          <w:sz w:val="32"/>
          <w:szCs w:val="32"/>
          <w:highlight w:val="none"/>
          <w:u w:val="single"/>
        </w:rPr>
      </w:pPr>
    </w:p>
    <w:p w14:paraId="19C81F19">
      <w:pPr>
        <w:widowControl/>
        <w:shd w:val="clear"/>
        <w:wordWrap w:val="0"/>
        <w:spacing w:line="360" w:lineRule="auto"/>
        <w:ind w:firstLine="320" w:firstLineChars="100"/>
        <w:rPr>
          <w:rFonts w:hint="eastAsia" w:hAnsi="宋体" w:cs="黑体"/>
          <w:color w:val="auto"/>
          <w:sz w:val="32"/>
          <w:szCs w:val="32"/>
          <w:highlight w:val="none"/>
          <w:u w:val="single"/>
        </w:rPr>
      </w:pPr>
    </w:p>
    <w:p w14:paraId="24E210FC">
      <w:pPr>
        <w:widowControl/>
        <w:shd w:val="clear"/>
        <w:wordWrap w:val="0"/>
        <w:spacing w:line="360" w:lineRule="auto"/>
        <w:ind w:firstLine="210" w:firstLineChars="100"/>
        <w:rPr>
          <w:rFonts w:hint="eastAsia" w:hAnsi="宋体" w:cs="宋体"/>
          <w:color w:val="auto"/>
          <w:sz w:val="21"/>
          <w:szCs w:val="21"/>
          <w:highlight w:val="none"/>
        </w:rPr>
      </w:pPr>
      <w:r>
        <w:rPr>
          <w:rFonts w:hint="eastAsia" w:hAnsi="宋体" w:cs="宋体"/>
          <w:color w:val="auto"/>
          <w:sz w:val="21"/>
          <w:szCs w:val="21"/>
          <w:highlight w:val="none"/>
        </w:rPr>
        <w:t>甲方（采购方）：</w:t>
      </w:r>
    </w:p>
    <w:p w14:paraId="3CF38444">
      <w:pPr>
        <w:widowControl/>
        <w:shd w:val="clear"/>
        <w:wordWrap w:val="0"/>
        <w:spacing w:line="360" w:lineRule="auto"/>
        <w:ind w:firstLine="210" w:firstLineChars="100"/>
        <w:rPr>
          <w:rFonts w:hint="eastAsia" w:hAnsi="宋体" w:cs="宋体"/>
          <w:color w:val="auto"/>
          <w:sz w:val="21"/>
          <w:szCs w:val="21"/>
          <w:highlight w:val="none"/>
        </w:rPr>
      </w:pPr>
      <w:r>
        <w:rPr>
          <w:rFonts w:hint="eastAsia" w:hAnsi="宋体" w:cs="宋体"/>
          <w:color w:val="auto"/>
          <w:sz w:val="21"/>
          <w:szCs w:val="21"/>
          <w:highlight w:val="none"/>
        </w:rPr>
        <w:t>名称：______________________</w:t>
      </w:r>
    </w:p>
    <w:p w14:paraId="62659DBD">
      <w:pPr>
        <w:widowControl/>
        <w:shd w:val="clear"/>
        <w:wordWrap w:val="0"/>
        <w:spacing w:line="360" w:lineRule="auto"/>
        <w:ind w:firstLine="210" w:firstLineChars="100"/>
        <w:rPr>
          <w:rFonts w:hint="eastAsia" w:hAnsi="宋体" w:cs="宋体"/>
          <w:color w:val="auto"/>
          <w:sz w:val="21"/>
          <w:szCs w:val="21"/>
          <w:highlight w:val="none"/>
        </w:rPr>
      </w:pPr>
      <w:r>
        <w:rPr>
          <w:rFonts w:hint="eastAsia" w:hAnsi="宋体" w:cs="宋体"/>
          <w:color w:val="auto"/>
          <w:sz w:val="21"/>
          <w:szCs w:val="21"/>
          <w:highlight w:val="none"/>
        </w:rPr>
        <w:t>法定代表人：________________</w:t>
      </w:r>
    </w:p>
    <w:p w14:paraId="066E2D25">
      <w:pPr>
        <w:widowControl/>
        <w:shd w:val="clear"/>
        <w:wordWrap w:val="0"/>
        <w:spacing w:line="360" w:lineRule="auto"/>
        <w:ind w:firstLine="210" w:firstLineChars="100"/>
        <w:rPr>
          <w:rFonts w:hint="eastAsia" w:hAnsi="宋体" w:cs="宋体"/>
          <w:color w:val="auto"/>
          <w:sz w:val="21"/>
          <w:szCs w:val="21"/>
          <w:highlight w:val="none"/>
        </w:rPr>
      </w:pPr>
      <w:r>
        <w:rPr>
          <w:rFonts w:hint="eastAsia" w:hAnsi="宋体" w:cs="宋体"/>
          <w:color w:val="auto"/>
          <w:sz w:val="21"/>
          <w:szCs w:val="21"/>
          <w:highlight w:val="none"/>
        </w:rPr>
        <w:t>地址：____________________</w:t>
      </w:r>
    </w:p>
    <w:p w14:paraId="65D33DE2">
      <w:pPr>
        <w:widowControl/>
        <w:shd w:val="clear"/>
        <w:wordWrap w:val="0"/>
        <w:spacing w:line="360" w:lineRule="auto"/>
        <w:ind w:firstLine="210" w:firstLineChars="100"/>
        <w:rPr>
          <w:rFonts w:hint="eastAsia" w:hAnsi="宋体" w:eastAsia="宋体" w:cs="宋体"/>
          <w:color w:val="auto"/>
          <w:sz w:val="21"/>
          <w:szCs w:val="21"/>
          <w:highlight w:val="none"/>
          <w:u w:val="single"/>
          <w:lang w:val="en-US" w:eastAsia="zh-CN"/>
        </w:rPr>
      </w:pPr>
      <w:r>
        <w:rPr>
          <w:rFonts w:hint="eastAsia" w:hAnsi="宋体" w:cs="宋体"/>
          <w:color w:val="auto"/>
          <w:sz w:val="21"/>
          <w:szCs w:val="21"/>
          <w:highlight w:val="none"/>
        </w:rPr>
        <w:t>联系方式：_______________</w:t>
      </w:r>
    </w:p>
    <w:p w14:paraId="3F776DCC">
      <w:pPr>
        <w:shd w:val="clear"/>
        <w:wordWrap w:val="0"/>
        <w:ind w:firstLine="210" w:firstLineChars="100"/>
        <w:rPr>
          <w:rFonts w:hint="eastAsia" w:hAnsi="宋体" w:cs="宋体"/>
          <w:color w:val="auto"/>
          <w:szCs w:val="21"/>
          <w:highlight w:val="none"/>
          <w:lang w:val="en-US"/>
        </w:rPr>
      </w:pPr>
    </w:p>
    <w:p w14:paraId="5294B33E">
      <w:pPr>
        <w:shd w:val="clear"/>
        <w:wordWrap w:val="0"/>
        <w:ind w:firstLine="210" w:firstLineChars="100"/>
        <w:rPr>
          <w:rFonts w:hint="eastAsia" w:hAnsi="宋体" w:cs="宋体"/>
          <w:color w:val="auto"/>
          <w:szCs w:val="21"/>
          <w:highlight w:val="none"/>
          <w:lang w:val="en-US"/>
        </w:rPr>
      </w:pPr>
      <w:r>
        <w:rPr>
          <w:rFonts w:hint="eastAsia" w:hAnsi="宋体" w:cs="宋体"/>
          <w:color w:val="auto"/>
          <w:szCs w:val="21"/>
          <w:highlight w:val="none"/>
          <w:lang w:val="en-US"/>
        </w:rPr>
        <w:t>乙方（供货方）：</w:t>
      </w:r>
    </w:p>
    <w:p w14:paraId="4F9E7029">
      <w:pPr>
        <w:shd w:val="clear"/>
        <w:wordWrap w:val="0"/>
        <w:ind w:firstLine="210" w:firstLineChars="100"/>
        <w:rPr>
          <w:rFonts w:hint="eastAsia" w:hAnsi="宋体" w:cs="宋体"/>
          <w:color w:val="auto"/>
          <w:szCs w:val="21"/>
          <w:highlight w:val="none"/>
          <w:lang w:val="en-US"/>
        </w:rPr>
      </w:pPr>
      <w:r>
        <w:rPr>
          <w:rFonts w:hint="eastAsia" w:hAnsi="宋体" w:cs="宋体"/>
          <w:color w:val="auto"/>
          <w:szCs w:val="21"/>
          <w:highlight w:val="none"/>
          <w:lang w:val="en-US"/>
        </w:rPr>
        <w:t>名称：______________________</w:t>
      </w:r>
    </w:p>
    <w:p w14:paraId="16E6CA77">
      <w:pPr>
        <w:shd w:val="clear"/>
        <w:wordWrap w:val="0"/>
        <w:ind w:firstLine="210" w:firstLineChars="100"/>
        <w:rPr>
          <w:rFonts w:hint="eastAsia" w:hAnsi="宋体" w:cs="宋体"/>
          <w:color w:val="auto"/>
          <w:szCs w:val="21"/>
          <w:highlight w:val="none"/>
          <w:lang w:val="en-US"/>
        </w:rPr>
      </w:pPr>
      <w:r>
        <w:rPr>
          <w:rFonts w:hint="eastAsia" w:hAnsi="宋体" w:cs="宋体"/>
          <w:color w:val="auto"/>
          <w:szCs w:val="21"/>
          <w:highlight w:val="none"/>
          <w:lang w:val="en-US"/>
        </w:rPr>
        <w:t>法定代表人：________________</w:t>
      </w:r>
    </w:p>
    <w:p w14:paraId="4524604F">
      <w:pPr>
        <w:shd w:val="clear"/>
        <w:wordWrap w:val="0"/>
        <w:ind w:firstLine="210" w:firstLineChars="100"/>
        <w:rPr>
          <w:rFonts w:hint="eastAsia" w:hAnsi="宋体" w:cs="宋体"/>
          <w:color w:val="auto"/>
          <w:szCs w:val="21"/>
          <w:highlight w:val="none"/>
          <w:lang w:val="en-US"/>
        </w:rPr>
      </w:pPr>
      <w:r>
        <w:rPr>
          <w:rFonts w:hint="eastAsia" w:hAnsi="宋体" w:cs="宋体"/>
          <w:color w:val="auto"/>
          <w:szCs w:val="21"/>
          <w:highlight w:val="none"/>
          <w:lang w:val="en-US"/>
        </w:rPr>
        <w:t>地址：____________________</w:t>
      </w:r>
    </w:p>
    <w:p w14:paraId="4305CE07">
      <w:pPr>
        <w:shd w:val="clear"/>
        <w:wordWrap w:val="0"/>
        <w:ind w:firstLine="210" w:firstLineChars="100"/>
        <w:rPr>
          <w:rFonts w:hint="eastAsia" w:hAnsi="宋体" w:cs="宋体"/>
          <w:color w:val="auto"/>
          <w:szCs w:val="21"/>
          <w:highlight w:val="none"/>
          <w:lang w:val="en-US"/>
        </w:rPr>
      </w:pPr>
      <w:r>
        <w:rPr>
          <w:rFonts w:hint="eastAsia" w:hAnsi="宋体" w:cs="宋体"/>
          <w:color w:val="auto"/>
          <w:szCs w:val="21"/>
          <w:highlight w:val="none"/>
          <w:lang w:val="en-US"/>
        </w:rPr>
        <w:t>联系方式：________________</w:t>
      </w:r>
    </w:p>
    <w:p w14:paraId="2AB04F93">
      <w:pPr>
        <w:shd w:val="clear"/>
        <w:spacing w:line="360" w:lineRule="auto"/>
        <w:ind w:firstLine="420" w:firstLineChars="200"/>
        <w:rPr>
          <w:rFonts w:hint="eastAsia" w:hAnsi="宋体" w:cs="宋体"/>
          <w:color w:val="auto"/>
          <w:sz w:val="21"/>
          <w:szCs w:val="21"/>
          <w:highlight w:val="none"/>
        </w:rPr>
      </w:pPr>
    </w:p>
    <w:p w14:paraId="05910989">
      <w:pPr>
        <w:shd w:val="clear"/>
        <w:spacing w:line="360" w:lineRule="auto"/>
        <w:ind w:firstLine="420" w:firstLineChars="200"/>
        <w:rPr>
          <w:rFonts w:hint="eastAsia" w:hAnsi="宋体" w:cs="宋体"/>
          <w:color w:val="auto"/>
          <w:sz w:val="21"/>
          <w:szCs w:val="21"/>
          <w:highlight w:val="none"/>
        </w:rPr>
      </w:pPr>
      <w:r>
        <w:rPr>
          <w:rFonts w:hint="eastAsia" w:hAnsi="宋体" w:cs="宋体"/>
          <w:color w:val="auto"/>
          <w:sz w:val="21"/>
          <w:szCs w:val="21"/>
          <w:highlight w:val="none"/>
        </w:rPr>
        <w:t>经甲乙双方协商一致，确定由乙方</w:t>
      </w:r>
      <w:r>
        <w:rPr>
          <w:rFonts w:hint="eastAsia" w:hAnsi="宋体" w:cs="宋体"/>
          <w:color w:val="auto"/>
          <w:sz w:val="21"/>
          <w:szCs w:val="21"/>
          <w:highlight w:val="none"/>
          <w:lang w:val="en-US" w:eastAsia="zh-CN"/>
        </w:rPr>
        <w:t>作为新锋燃气低值日杂品采购项目（重新采购）的中标供应商，</w:t>
      </w:r>
      <w:r>
        <w:rPr>
          <w:rFonts w:hint="eastAsia" w:hAnsi="宋体" w:cs="宋体"/>
          <w:color w:val="auto"/>
          <w:sz w:val="21"/>
          <w:szCs w:val="21"/>
          <w:highlight w:val="none"/>
        </w:rPr>
        <w:t>乙方具备生产、供应相关产品的能力与资质，依据《中华人民共和国民法典》等法律法规，达成如下协议：</w:t>
      </w:r>
    </w:p>
    <w:p w14:paraId="6DC30EF1">
      <w:pPr>
        <w:shd w:val="clear"/>
        <w:spacing w:line="360" w:lineRule="auto"/>
        <w:ind w:left="0" w:leftChars="0" w:firstLine="0" w:firstLineChars="0"/>
        <w:rPr>
          <w:rFonts w:hint="default" w:hAnsi="宋体" w:eastAsia="宋体" w:cs="宋体"/>
          <w:b/>
          <w:bCs/>
          <w:color w:val="auto"/>
          <w:sz w:val="21"/>
          <w:szCs w:val="21"/>
          <w:highlight w:val="none"/>
          <w:lang w:val="en-US" w:eastAsia="zh-CN"/>
        </w:rPr>
      </w:pPr>
      <w:r>
        <w:rPr>
          <w:rFonts w:hint="eastAsia" w:hAnsi="宋体" w:cs="宋体"/>
          <w:b/>
          <w:bCs/>
          <w:color w:val="auto"/>
          <w:sz w:val="21"/>
          <w:szCs w:val="21"/>
          <w:highlight w:val="none"/>
        </w:rPr>
        <w:t xml:space="preserve">第一条 </w:t>
      </w:r>
      <w:r>
        <w:rPr>
          <w:rFonts w:hint="eastAsia" w:hAnsi="宋体" w:cs="宋体"/>
          <w:b/>
          <w:bCs/>
          <w:color w:val="auto"/>
          <w:sz w:val="21"/>
          <w:szCs w:val="21"/>
          <w:highlight w:val="none"/>
          <w:lang w:val="en-US" w:eastAsia="zh-CN"/>
        </w:rPr>
        <w:t>项目概况</w:t>
      </w:r>
    </w:p>
    <w:p w14:paraId="00CA263C">
      <w:pPr>
        <w:numPr>
          <w:ilvl w:val="0"/>
          <w:numId w:val="9"/>
        </w:numPr>
        <w:shd w:val="clear"/>
        <w:wordWrap w:val="0"/>
        <w:spacing w:line="360" w:lineRule="auto"/>
        <w:ind w:left="0" w:firstLine="420" w:firstLineChars="200"/>
        <w:rPr>
          <w:rFonts w:hint="eastAsia" w:hAnsi="宋体" w:cs="宋体"/>
          <w:color w:val="auto"/>
          <w:sz w:val="21"/>
          <w:szCs w:val="21"/>
          <w:highlight w:val="none"/>
          <w:u w:val="single"/>
        </w:rPr>
      </w:pPr>
      <w:r>
        <w:rPr>
          <w:rFonts w:hint="eastAsia" w:hAnsi="宋体" w:cs="宋体"/>
          <w:color w:val="auto"/>
          <w:sz w:val="21"/>
          <w:szCs w:val="21"/>
          <w:highlight w:val="none"/>
          <w:lang w:val="en-US" w:eastAsia="zh-CN"/>
        </w:rPr>
        <w:t>项目</w:t>
      </w:r>
      <w:r>
        <w:rPr>
          <w:rFonts w:hint="eastAsia" w:hAnsi="宋体" w:cs="宋体"/>
          <w:color w:val="auto"/>
          <w:sz w:val="21"/>
          <w:szCs w:val="21"/>
          <w:highlight w:val="none"/>
        </w:rPr>
        <w:t>名称：</w:t>
      </w:r>
      <w:r>
        <w:rPr>
          <w:rFonts w:hint="eastAsia" w:hAnsi="宋体" w:cs="宋体"/>
          <w:color w:val="auto"/>
          <w:sz w:val="21"/>
          <w:szCs w:val="21"/>
          <w:highlight w:val="none"/>
          <w:u w:val="single"/>
          <w:lang w:val="en-US" w:eastAsia="zh-CN"/>
        </w:rPr>
        <w:t>新锋燃气低值日杂品采购项目（重新采购）</w:t>
      </w:r>
    </w:p>
    <w:p w14:paraId="7B46B1F7">
      <w:pPr>
        <w:numPr>
          <w:ilvl w:val="0"/>
          <w:numId w:val="9"/>
        </w:numPr>
        <w:shd w:val="clear"/>
        <w:wordWrap w:val="0"/>
        <w:spacing w:line="360" w:lineRule="auto"/>
        <w:ind w:left="0" w:firstLine="420" w:firstLineChars="200"/>
        <w:rPr>
          <w:rFonts w:hint="eastAsia" w:ascii="宋体" w:hAnsi="宋体" w:eastAsia="宋体" w:cs="宋体"/>
          <w:color w:val="auto"/>
          <w:sz w:val="21"/>
          <w:szCs w:val="21"/>
          <w:highlight w:val="none"/>
          <w:u w:val="single"/>
        </w:rPr>
      </w:pPr>
      <w:r>
        <w:rPr>
          <w:rFonts w:hint="eastAsia" w:hAnsi="宋体" w:cs="宋体"/>
          <w:color w:val="auto"/>
          <w:sz w:val="21"/>
          <w:szCs w:val="21"/>
          <w:highlight w:val="none"/>
          <w:lang w:val="en-US" w:eastAsia="zh-CN"/>
        </w:rPr>
        <w:t>项目编号</w:t>
      </w:r>
      <w:r>
        <w:rPr>
          <w:rFonts w:hint="eastAsia" w:hAnsi="宋体" w:cs="宋体"/>
          <w:color w:val="auto"/>
          <w:sz w:val="21"/>
          <w:szCs w:val="21"/>
          <w:highlight w:val="none"/>
        </w:rPr>
        <w:t>：</w:t>
      </w:r>
      <w:r>
        <w:rPr>
          <w:rFonts w:hint="eastAsia" w:ascii="宋体" w:hAnsi="宋体" w:cs="宋体"/>
          <w:color w:val="auto"/>
          <w:sz w:val="21"/>
          <w:szCs w:val="21"/>
          <w:highlight w:val="none"/>
          <w:u w:val="single"/>
          <w:lang w:eastAsia="zh-CN"/>
        </w:rPr>
        <w:t>WTZB2026DG0002-1</w:t>
      </w:r>
    </w:p>
    <w:p w14:paraId="21FC647B">
      <w:pPr>
        <w:numPr>
          <w:ilvl w:val="0"/>
          <w:numId w:val="9"/>
        </w:numPr>
        <w:shd w:val="clear"/>
        <w:wordWrap w:val="0"/>
        <w:spacing w:line="360" w:lineRule="auto"/>
        <w:ind w:left="0" w:firstLine="420" w:firstLineChars="200"/>
        <w:rPr>
          <w:rFonts w:hint="eastAsia" w:hAnsi="宋体" w:eastAsia="宋体" w:cs="宋体"/>
          <w:color w:val="auto"/>
          <w:sz w:val="21"/>
          <w:szCs w:val="21"/>
          <w:highlight w:val="none"/>
          <w:u w:val="single"/>
          <w:lang w:val="en-US" w:eastAsia="zh-CN"/>
        </w:rPr>
      </w:pPr>
      <w:r>
        <w:rPr>
          <w:rFonts w:hint="eastAsia" w:hAnsi="宋体" w:cs="宋体"/>
          <w:color w:val="auto"/>
          <w:sz w:val="21"/>
          <w:szCs w:val="21"/>
          <w:highlight w:val="none"/>
          <w:u w:val="none"/>
          <w:lang w:val="en-US" w:eastAsia="zh-CN"/>
        </w:rPr>
        <w:t>中标下浮率：</w:t>
      </w:r>
      <w:r>
        <w:rPr>
          <w:rFonts w:hint="eastAsia" w:hAnsi="宋体" w:cs="宋体"/>
          <w:b w:val="0"/>
          <w:bCs w:val="0"/>
          <w:color w:val="auto"/>
          <w:sz w:val="21"/>
          <w:szCs w:val="21"/>
          <w:highlight w:val="none"/>
          <w:u w:val="single"/>
          <w:lang w:val="en-US" w:eastAsia="zh-CN"/>
        </w:rPr>
        <w:t xml:space="preserve">            </w:t>
      </w:r>
      <w:r>
        <w:rPr>
          <w:rFonts w:hint="eastAsia" w:ascii="宋体" w:hAnsi="宋体" w:eastAsia="宋体" w:cs="宋体"/>
          <w:b w:val="0"/>
          <w:bCs w:val="0"/>
          <w:color w:val="auto"/>
          <w:sz w:val="21"/>
          <w:szCs w:val="21"/>
          <w:highlight w:val="none"/>
          <w:u w:val="single"/>
          <w:lang w:val="en-US" w:eastAsia="zh-CN"/>
        </w:rPr>
        <w:t xml:space="preserve"> %</w:t>
      </w:r>
      <w:r>
        <w:rPr>
          <w:rFonts w:hint="eastAsia" w:hAnsi="宋体" w:cs="宋体"/>
          <w:b w:val="0"/>
          <w:bCs w:val="0"/>
          <w:color w:val="auto"/>
          <w:sz w:val="21"/>
          <w:szCs w:val="21"/>
          <w:highlight w:val="none"/>
          <w:lang w:val="en-US" w:eastAsia="zh-CN"/>
        </w:rPr>
        <w:t>。</w:t>
      </w:r>
    </w:p>
    <w:p w14:paraId="7B3584F5">
      <w:pPr>
        <w:numPr>
          <w:ilvl w:val="0"/>
          <w:numId w:val="9"/>
        </w:numPr>
        <w:shd w:val="clear"/>
        <w:wordWrap w:val="0"/>
        <w:spacing w:line="360" w:lineRule="auto"/>
        <w:ind w:left="0" w:firstLine="420" w:firstLineChars="200"/>
        <w:rPr>
          <w:rFonts w:hint="eastAsia" w:hAnsi="宋体" w:eastAsia="宋体" w:cs="宋体"/>
          <w:color w:val="auto"/>
          <w:sz w:val="21"/>
          <w:szCs w:val="21"/>
          <w:highlight w:val="none"/>
          <w:u w:val="none"/>
          <w:lang w:val="en-US" w:eastAsia="zh-CN"/>
        </w:rPr>
      </w:pPr>
      <w:r>
        <w:rPr>
          <w:rFonts w:hint="eastAsia" w:hAnsi="宋体" w:eastAsia="宋体" w:cs="宋体"/>
          <w:color w:val="auto"/>
          <w:sz w:val="21"/>
          <w:szCs w:val="21"/>
          <w:highlight w:val="none"/>
          <w:u w:val="none"/>
          <w:lang w:val="en-US" w:eastAsia="zh-CN"/>
        </w:rPr>
        <w:t>服务期限：</w:t>
      </w:r>
    </w:p>
    <w:p w14:paraId="1D933629">
      <w:pPr>
        <w:numPr>
          <w:ilvl w:val="-1"/>
          <w:numId w:val="0"/>
        </w:numPr>
        <w:shd w:val="clear"/>
        <w:wordWrap w:val="0"/>
        <w:spacing w:line="360" w:lineRule="auto"/>
        <w:ind w:left="420" w:leftChars="200" w:firstLine="0" w:firstLineChars="0"/>
        <w:rPr>
          <w:rFonts w:hint="eastAsia" w:hAnsi="宋体" w:eastAsia="宋体" w:cs="宋体"/>
          <w:color w:val="auto"/>
          <w:sz w:val="21"/>
          <w:szCs w:val="21"/>
          <w:highlight w:val="none"/>
          <w:u w:val="single"/>
          <w:lang w:val="en-US" w:eastAsia="zh-CN"/>
        </w:rPr>
      </w:pPr>
      <w:r>
        <w:rPr>
          <w:rFonts w:hint="eastAsia" w:hAnsi="宋体" w:eastAsia="宋体" w:cs="宋体"/>
          <w:color w:val="auto"/>
          <w:sz w:val="21"/>
          <w:szCs w:val="21"/>
          <w:highlight w:val="none"/>
          <w:u w:val="none"/>
          <w:lang w:val="en-US" w:eastAsia="zh-CN"/>
        </w:rPr>
        <w:t>自合同签订之日起三年，</w:t>
      </w:r>
      <w:r>
        <w:rPr>
          <w:rFonts w:hint="eastAsia" w:hAnsi="宋体" w:eastAsia="宋体" w:cs="宋体"/>
          <w:color w:val="auto"/>
          <w:sz w:val="21"/>
          <w:szCs w:val="21"/>
          <w:highlight w:val="none"/>
          <w:u w:val="single"/>
          <w:lang w:val="en-US" w:eastAsia="zh-CN"/>
        </w:rPr>
        <w:t xml:space="preserve">       </w:t>
      </w:r>
      <w:r>
        <w:rPr>
          <w:rFonts w:hint="eastAsia" w:hAnsi="宋体" w:eastAsia="宋体" w:cs="宋体"/>
          <w:color w:val="auto"/>
          <w:sz w:val="21"/>
          <w:szCs w:val="21"/>
          <w:highlight w:val="none"/>
          <w:u w:val="none"/>
          <w:lang w:val="en-US" w:eastAsia="zh-CN"/>
        </w:rPr>
        <w:t>年</w:t>
      </w:r>
      <w:r>
        <w:rPr>
          <w:rFonts w:hint="eastAsia" w:hAnsi="宋体" w:eastAsia="宋体" w:cs="宋体"/>
          <w:color w:val="auto"/>
          <w:sz w:val="21"/>
          <w:szCs w:val="21"/>
          <w:highlight w:val="none"/>
          <w:u w:val="single"/>
          <w:lang w:val="en-US" w:eastAsia="zh-CN"/>
        </w:rPr>
        <w:t xml:space="preserve">     </w:t>
      </w:r>
      <w:r>
        <w:rPr>
          <w:rFonts w:hint="eastAsia" w:hAnsi="宋体" w:eastAsia="宋体" w:cs="宋体"/>
          <w:color w:val="auto"/>
          <w:sz w:val="21"/>
          <w:szCs w:val="21"/>
          <w:highlight w:val="none"/>
          <w:u w:val="none"/>
          <w:lang w:val="en-US" w:eastAsia="zh-CN"/>
        </w:rPr>
        <w:t>月</w:t>
      </w:r>
      <w:r>
        <w:rPr>
          <w:rFonts w:hint="eastAsia" w:hAnsi="宋体" w:eastAsia="宋体" w:cs="宋体"/>
          <w:color w:val="auto"/>
          <w:sz w:val="21"/>
          <w:szCs w:val="21"/>
          <w:highlight w:val="none"/>
          <w:u w:val="single"/>
          <w:lang w:val="en-US" w:eastAsia="zh-CN"/>
        </w:rPr>
        <w:t xml:space="preserve">     </w:t>
      </w:r>
      <w:r>
        <w:rPr>
          <w:rFonts w:hint="eastAsia" w:hAnsi="宋体" w:eastAsia="宋体" w:cs="宋体"/>
          <w:color w:val="auto"/>
          <w:sz w:val="21"/>
          <w:szCs w:val="21"/>
          <w:highlight w:val="none"/>
          <w:u w:val="none"/>
          <w:lang w:val="en-US" w:eastAsia="zh-CN"/>
        </w:rPr>
        <w:t>日至</w:t>
      </w:r>
      <w:r>
        <w:rPr>
          <w:rFonts w:hint="eastAsia" w:hAnsi="宋体" w:cs="宋体"/>
          <w:color w:val="auto"/>
          <w:sz w:val="21"/>
          <w:szCs w:val="21"/>
          <w:highlight w:val="none"/>
          <w:u w:val="single"/>
          <w:lang w:val="en-US" w:eastAsia="zh-CN"/>
        </w:rPr>
        <w:t xml:space="preserve">     </w:t>
      </w:r>
      <w:r>
        <w:rPr>
          <w:rFonts w:hint="eastAsia" w:hAnsi="宋体" w:eastAsia="宋体" w:cs="宋体"/>
          <w:color w:val="auto"/>
          <w:sz w:val="21"/>
          <w:szCs w:val="21"/>
          <w:highlight w:val="none"/>
          <w:u w:val="single"/>
          <w:lang w:val="en-US" w:eastAsia="zh-CN"/>
        </w:rPr>
        <w:t xml:space="preserve">  </w:t>
      </w:r>
      <w:r>
        <w:rPr>
          <w:rFonts w:hint="eastAsia" w:hAnsi="宋体" w:eastAsia="宋体" w:cs="宋体"/>
          <w:color w:val="auto"/>
          <w:sz w:val="21"/>
          <w:szCs w:val="21"/>
          <w:highlight w:val="none"/>
          <w:u w:val="none"/>
          <w:lang w:val="en-US" w:eastAsia="zh-CN"/>
        </w:rPr>
        <w:t>年</w:t>
      </w:r>
      <w:r>
        <w:rPr>
          <w:rFonts w:hint="eastAsia" w:hAnsi="宋体" w:eastAsia="宋体" w:cs="宋体"/>
          <w:color w:val="auto"/>
          <w:sz w:val="21"/>
          <w:szCs w:val="21"/>
          <w:highlight w:val="none"/>
          <w:u w:val="single"/>
          <w:lang w:val="en-US" w:eastAsia="zh-CN"/>
        </w:rPr>
        <w:t xml:space="preserve">     </w:t>
      </w:r>
      <w:r>
        <w:rPr>
          <w:rFonts w:hint="eastAsia" w:hAnsi="宋体" w:eastAsia="宋体" w:cs="宋体"/>
          <w:color w:val="auto"/>
          <w:sz w:val="21"/>
          <w:szCs w:val="21"/>
          <w:highlight w:val="none"/>
          <w:u w:val="none"/>
          <w:lang w:val="en-US" w:eastAsia="zh-CN"/>
        </w:rPr>
        <w:t>月</w:t>
      </w:r>
      <w:r>
        <w:rPr>
          <w:rFonts w:hint="eastAsia" w:hAnsi="宋体" w:eastAsia="宋体" w:cs="宋体"/>
          <w:color w:val="auto"/>
          <w:sz w:val="21"/>
          <w:szCs w:val="21"/>
          <w:highlight w:val="none"/>
          <w:u w:val="single"/>
          <w:lang w:val="en-US" w:eastAsia="zh-CN"/>
        </w:rPr>
        <w:t xml:space="preserve">      </w:t>
      </w:r>
      <w:r>
        <w:rPr>
          <w:rFonts w:hint="eastAsia" w:hAnsi="宋体" w:eastAsia="宋体" w:cs="宋体"/>
          <w:color w:val="auto"/>
          <w:sz w:val="21"/>
          <w:szCs w:val="21"/>
          <w:highlight w:val="none"/>
          <w:u w:val="none"/>
          <w:lang w:val="en-US" w:eastAsia="zh-CN"/>
        </w:rPr>
        <w:t>日止。</w:t>
      </w:r>
    </w:p>
    <w:p w14:paraId="0EF6B8CB">
      <w:pPr>
        <w:numPr>
          <w:ilvl w:val="0"/>
          <w:numId w:val="9"/>
        </w:numPr>
        <w:shd w:val="clear"/>
        <w:wordWrap w:val="0"/>
        <w:spacing w:line="360" w:lineRule="auto"/>
        <w:ind w:left="0" w:firstLine="420" w:firstLineChars="200"/>
        <w:rPr>
          <w:rFonts w:hint="eastAsia" w:hAnsi="宋体" w:eastAsia="宋体" w:cs="宋体"/>
          <w:color w:val="auto"/>
          <w:sz w:val="21"/>
          <w:szCs w:val="21"/>
          <w:highlight w:val="none"/>
          <w:u w:val="single"/>
          <w:lang w:val="en-US" w:eastAsia="zh-CN"/>
        </w:rPr>
      </w:pPr>
      <w:r>
        <w:rPr>
          <w:rFonts w:hint="eastAsia" w:hAnsi="宋体" w:eastAsia="宋体" w:cs="宋体"/>
          <w:color w:val="auto"/>
          <w:sz w:val="21"/>
          <w:szCs w:val="21"/>
          <w:highlight w:val="none"/>
          <w:u w:val="none"/>
          <w:lang w:val="en-US" w:eastAsia="zh-CN"/>
        </w:rPr>
        <w:t>服务地点：甲方指定地点。</w:t>
      </w:r>
    </w:p>
    <w:p w14:paraId="28B4836C">
      <w:pPr>
        <w:shd w:val="clear"/>
        <w:spacing w:line="360" w:lineRule="auto"/>
        <w:ind w:left="413" w:hanging="413" w:hangingChars="196"/>
        <w:rPr>
          <w:rFonts w:hint="eastAsia" w:hAnsi="宋体" w:cs="宋体"/>
          <w:b/>
          <w:bCs/>
          <w:color w:val="auto"/>
          <w:sz w:val="21"/>
          <w:szCs w:val="21"/>
          <w:highlight w:val="none"/>
        </w:rPr>
      </w:pPr>
      <w:r>
        <w:rPr>
          <w:rFonts w:hint="eastAsia" w:hAnsi="宋体" w:cs="宋体"/>
          <w:b/>
          <w:bCs/>
          <w:color w:val="auto"/>
          <w:sz w:val="21"/>
          <w:szCs w:val="21"/>
          <w:highlight w:val="none"/>
        </w:rPr>
        <w:t>第二条 合同组成</w:t>
      </w:r>
    </w:p>
    <w:p w14:paraId="4206488B">
      <w:pPr>
        <w:shd w:val="clear"/>
        <w:spacing w:line="360" w:lineRule="auto"/>
        <w:ind w:firstLine="420" w:firstLineChars="200"/>
        <w:rPr>
          <w:rFonts w:hint="default" w:hAnsi="宋体" w:cs="宋体"/>
          <w:b w:val="0"/>
          <w:bCs w:val="0"/>
          <w:color w:val="auto"/>
          <w:sz w:val="21"/>
          <w:szCs w:val="21"/>
          <w:highlight w:val="none"/>
          <w:lang w:val="en-US" w:eastAsia="zh-CN"/>
        </w:rPr>
      </w:pPr>
      <w:r>
        <w:rPr>
          <w:rFonts w:hint="eastAsia" w:hAnsi="宋体" w:cs="宋体"/>
          <w:color w:val="auto"/>
          <w:sz w:val="21"/>
          <w:szCs w:val="21"/>
          <w:highlight w:val="none"/>
          <w:lang w:val="en-US" w:eastAsia="zh-CN"/>
        </w:rPr>
        <w:t>1.合同文件组成内容包括：合同、中标（成交）通知书、投标文件（含澄清内容）、招标文件（含招标文件澄清通知）等。</w:t>
      </w:r>
    </w:p>
    <w:p w14:paraId="657076E8">
      <w:pPr>
        <w:shd w:val="clear"/>
        <w:spacing w:line="360" w:lineRule="auto"/>
        <w:ind w:left="413" w:hanging="413" w:hangingChars="196"/>
        <w:rPr>
          <w:rFonts w:hint="eastAsia" w:hAnsi="宋体" w:cs="宋体"/>
          <w:b/>
          <w:bCs/>
          <w:color w:val="auto"/>
          <w:sz w:val="21"/>
          <w:szCs w:val="21"/>
          <w:highlight w:val="none"/>
        </w:rPr>
      </w:pPr>
      <w:r>
        <w:rPr>
          <w:rFonts w:hint="eastAsia" w:hAnsi="宋体" w:cs="宋体"/>
          <w:b/>
          <w:bCs/>
          <w:color w:val="auto"/>
          <w:sz w:val="21"/>
          <w:szCs w:val="21"/>
          <w:highlight w:val="none"/>
        </w:rPr>
        <w:t>第</w:t>
      </w:r>
      <w:r>
        <w:rPr>
          <w:rFonts w:hint="eastAsia" w:hAnsi="宋体" w:cs="宋体"/>
          <w:b/>
          <w:bCs/>
          <w:color w:val="auto"/>
          <w:sz w:val="21"/>
          <w:szCs w:val="21"/>
          <w:highlight w:val="none"/>
          <w:lang w:val="en-US" w:eastAsia="zh-CN"/>
        </w:rPr>
        <w:t>三</w:t>
      </w:r>
      <w:r>
        <w:rPr>
          <w:rFonts w:hint="eastAsia" w:hAnsi="宋体" w:cs="宋体"/>
          <w:b/>
          <w:bCs/>
          <w:color w:val="auto"/>
          <w:sz w:val="21"/>
          <w:szCs w:val="21"/>
          <w:highlight w:val="none"/>
        </w:rPr>
        <w:t xml:space="preserve">条 </w:t>
      </w:r>
      <w:r>
        <w:rPr>
          <w:rFonts w:hint="eastAsia" w:hAnsi="宋体" w:cstheme="minorBidi"/>
          <w:b/>
          <w:bCs/>
          <w:color w:val="auto"/>
          <w:sz w:val="21"/>
          <w:szCs w:val="21"/>
          <w:highlight w:val="none"/>
          <w:lang w:val="en-US" w:eastAsia="zh-CN"/>
        </w:rPr>
        <w:t>总体</w:t>
      </w:r>
      <w:r>
        <w:rPr>
          <w:rFonts w:hint="eastAsia" w:hAnsi="宋体" w:eastAsia="宋体" w:cstheme="minorBidi"/>
          <w:b/>
          <w:bCs/>
          <w:color w:val="auto"/>
          <w:sz w:val="21"/>
          <w:szCs w:val="21"/>
          <w:highlight w:val="none"/>
          <w:lang w:val="en-US" w:eastAsia="zh-CN"/>
        </w:rPr>
        <w:t>要求</w:t>
      </w:r>
    </w:p>
    <w:p w14:paraId="083B205B">
      <w:pPr>
        <w:shd w:val="clea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（一）本项目采购1家供应商，项目按供货单价和实际采购量结算。自合同签订之日起，本项目供货期为3年。合同终止条件如下：合同期限届满，本合同自动终止。</w:t>
      </w:r>
      <w:r>
        <w:rPr>
          <w:rFonts w:hint="eastAsia" w:ascii="宋体" w:hAnsi="宋体" w:cs="宋体"/>
          <w:b w:val="0"/>
          <w:bCs w:val="0"/>
          <w:color w:val="auto"/>
          <w:sz w:val="21"/>
          <w:szCs w:val="21"/>
          <w:highlight w:val="none"/>
          <w:lang w:val="en-US" w:eastAsia="zh-CN"/>
        </w:rPr>
        <w:t>乙方</w:t>
      </w:r>
      <w:r>
        <w:rPr>
          <w:rFonts w:hint="eastAsia" w:ascii="宋体" w:hAnsi="宋体" w:eastAsia="宋体" w:cs="宋体"/>
          <w:b w:val="0"/>
          <w:bCs w:val="0"/>
          <w:color w:val="auto"/>
          <w:sz w:val="21"/>
          <w:szCs w:val="21"/>
          <w:highlight w:val="none"/>
          <w:lang w:val="en-US" w:eastAsia="zh-CN"/>
        </w:rPr>
        <w:t>应自行充分评估、承担备货及经营风险，即</w:t>
      </w:r>
      <w:r>
        <w:rPr>
          <w:rFonts w:hint="eastAsia" w:ascii="宋体" w:hAnsi="宋体" w:cs="宋体"/>
          <w:b w:val="0"/>
          <w:bCs w:val="0"/>
          <w:color w:val="auto"/>
          <w:sz w:val="21"/>
          <w:szCs w:val="21"/>
          <w:highlight w:val="none"/>
          <w:lang w:val="en-US" w:eastAsia="zh-CN"/>
        </w:rPr>
        <w:t>乙方</w:t>
      </w:r>
      <w:r>
        <w:rPr>
          <w:rFonts w:hint="eastAsia" w:ascii="宋体" w:hAnsi="宋体" w:eastAsia="宋体" w:cs="宋体"/>
          <w:b w:val="0"/>
          <w:bCs w:val="0"/>
          <w:color w:val="auto"/>
          <w:sz w:val="21"/>
          <w:szCs w:val="21"/>
          <w:highlight w:val="none"/>
          <w:lang w:val="en-US" w:eastAsia="zh-CN"/>
        </w:rPr>
        <w:t>应根据甲方订单备货，不得以此主张实际采购金额未达项目采购预算金额可期利益损失。</w:t>
      </w:r>
    </w:p>
    <w:p w14:paraId="3960388C">
      <w:pPr>
        <w:shd w:val="clea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（二）乙方负责招标文件对乙方要求的一切事宜及责任，包括货物供货、运输、仓储保管、验收及相关服务等。当甲方有紧急供货需求时，乙方应在服务响应承诺时间内到达现场。</w:t>
      </w:r>
    </w:p>
    <w:p w14:paraId="09D5370E">
      <w:pPr>
        <w:shd w:val="clea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三）乙方所提供的服务及货物质量须符合现行的行业及国家规定的相关标准。食品类由正规厂家供货，具有产地、品名、生产厂家、生产日期、保质期、批号或代号、规格或型号、成分或主要成分、防伪标识、SC或条形码等，并符合国家食品卫生标准，坚决杜绝出售变质、过期及存在侵犯注册商标专用权的产品。日用品类必须是全新、未使用过的，符合国家相关质量标准和环保要求。产品包装应完好，标签清晰，注明生产厂家、材质、使用说明等信息。</w:t>
      </w:r>
    </w:p>
    <w:p w14:paraId="7C7F7BB0">
      <w:pPr>
        <w:shd w:val="clea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（四）甲方无法预计也无法保证</w:t>
      </w:r>
      <w:r>
        <w:rPr>
          <w:rFonts w:hint="eastAsia" w:ascii="宋体" w:hAnsi="宋体" w:cs="宋体"/>
          <w:b w:val="0"/>
          <w:bCs w:val="0"/>
          <w:color w:val="auto"/>
          <w:sz w:val="21"/>
          <w:szCs w:val="21"/>
          <w:highlight w:val="none"/>
          <w:lang w:val="en-US" w:eastAsia="zh-CN"/>
        </w:rPr>
        <w:t>乙方</w:t>
      </w:r>
      <w:r>
        <w:rPr>
          <w:rFonts w:hint="eastAsia" w:ascii="宋体" w:hAnsi="宋体" w:eastAsia="宋体" w:cs="宋体"/>
          <w:b w:val="0"/>
          <w:bCs w:val="0"/>
          <w:color w:val="auto"/>
          <w:sz w:val="21"/>
          <w:szCs w:val="21"/>
          <w:highlight w:val="none"/>
          <w:lang w:val="en-US" w:eastAsia="zh-CN"/>
        </w:rPr>
        <w:t>的业务量情况。项目执行过程中，甲方有权根据实际需要调整采购物品，采购具体商品供货清单及实际数量以甲方需求及通知为准，最终以实际采购量进行结算。乙方每次随货携带一式四联的送货清单，产品经双方验收后须签字确认；甲方持三联，乙方持存根联，凭结算联作为货款结算的凭证。</w:t>
      </w:r>
    </w:p>
    <w:p w14:paraId="3AF76A41">
      <w:pPr>
        <w:shd w:val="clea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五）为保证项目顺利开展，投标人须针对本项目拟定详尽、科学、合理、可行性高的服务方案，方案内容包括但不限于实施组织计划、总体工作流程、配送方案、服务保障措施、项目管理组织架构、服务人员分工、食品安全保障方案、应急处理机制、售后服务及承诺等。</w:t>
      </w:r>
    </w:p>
    <w:p w14:paraId="113A784B">
      <w:pPr>
        <w:shd w:val="clea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（六）为保证项目供应质量与合规性，</w:t>
      </w:r>
      <w:r>
        <w:rPr>
          <w:rFonts w:hint="eastAsia" w:ascii="宋体" w:hAnsi="宋体" w:cs="宋体"/>
          <w:b w:val="0"/>
          <w:bCs w:val="0"/>
          <w:color w:val="auto"/>
          <w:sz w:val="21"/>
          <w:szCs w:val="21"/>
          <w:highlight w:val="none"/>
          <w:lang w:val="en-US" w:eastAsia="zh-CN"/>
        </w:rPr>
        <w:t>乙方或投标产品的制造商</w:t>
      </w:r>
      <w:r>
        <w:rPr>
          <w:rFonts w:hint="eastAsia" w:ascii="宋体" w:hAnsi="宋体" w:eastAsia="宋体" w:cs="宋体"/>
          <w:b w:val="0"/>
          <w:bCs w:val="0"/>
          <w:color w:val="auto"/>
          <w:sz w:val="21"/>
          <w:szCs w:val="21"/>
          <w:highlight w:val="none"/>
          <w:lang w:val="en-US" w:eastAsia="zh-CN"/>
        </w:rPr>
        <w:t>须具备由国家认证认可监督管理部门批准设立的认证机构颁发、且处于有效期内的相关认证证书</w:t>
      </w:r>
      <w:r>
        <w:rPr>
          <w:rFonts w:hint="eastAsia" w:hAnsi="宋体" w:cs="宋体"/>
          <w:b w:val="0"/>
          <w:bCs w:val="0"/>
          <w:color w:val="auto"/>
          <w:sz w:val="21"/>
          <w:szCs w:val="21"/>
          <w:highlight w:val="none"/>
          <w:lang w:val="en-US" w:eastAsia="zh-CN"/>
        </w:rPr>
        <w:t>，如强制性产品认</w:t>
      </w:r>
      <w:r>
        <w:rPr>
          <w:rFonts w:hint="eastAsia" w:ascii="宋体" w:hAnsi="宋体" w:eastAsia="宋体" w:cs="宋体"/>
          <w:b w:val="0"/>
          <w:bCs w:val="0"/>
          <w:color w:val="auto"/>
          <w:sz w:val="21"/>
          <w:szCs w:val="21"/>
          <w:highlight w:val="none"/>
          <w:lang w:val="en-US" w:eastAsia="zh-CN"/>
        </w:rPr>
        <w:t>证（CCC认证）</w:t>
      </w:r>
      <w:r>
        <w:rPr>
          <w:rFonts w:hint="eastAsia" w:hAnsi="宋体" w:cs="宋体"/>
          <w:b w:val="0"/>
          <w:bCs w:val="0"/>
          <w:color w:val="auto"/>
          <w:sz w:val="21"/>
          <w:szCs w:val="21"/>
          <w:highlight w:val="none"/>
          <w:lang w:val="en-US" w:eastAsia="zh-CN"/>
        </w:rPr>
        <w:t>等</w:t>
      </w:r>
      <w:r>
        <w:rPr>
          <w:rFonts w:hint="eastAsia" w:ascii="宋体" w:hAnsi="宋体" w:eastAsia="宋体" w:cs="宋体"/>
          <w:b w:val="0"/>
          <w:bCs w:val="0"/>
          <w:color w:val="auto"/>
          <w:sz w:val="21"/>
          <w:szCs w:val="21"/>
          <w:highlight w:val="none"/>
          <w:lang w:val="en-US" w:eastAsia="zh-CN"/>
        </w:rPr>
        <w:t>。</w:t>
      </w:r>
    </w:p>
    <w:p w14:paraId="5E49F3E1">
      <w:pPr>
        <w:keepNext w:val="0"/>
        <w:keepLines w:val="0"/>
        <w:shd w:val="clear"/>
        <w:spacing w:line="360" w:lineRule="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第四条 定价原则</w:t>
      </w:r>
    </w:p>
    <w:p w14:paraId="0C911170">
      <w:pPr>
        <w:pStyle w:val="99"/>
        <w:shd w:val="clear"/>
        <w:spacing w:line="240" w:lineRule="auto"/>
        <w:ind w:firstLine="422"/>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一）本项目以批量单价整体下浮的方式进行报价，乙方按下浮率方式进行报价（投标报价保留小数点后两位数），下浮率须为固定报价，不接受区间报价（如10%-20%），报价范围：3.00%≤投标下浮率≤100%，精确到小数点后两位，凡超过该报价范围的报价均为无效投标。采购时按实际供货数量乘以供货单价进行结算，供货单价=基准价×（1－中标下浮率），供货单价保留小数点后两位数，第三位不予四舍五入。最终供货货物单价=基准价×（1-下浮率），签订合同后根据实际的采购货物数量结算。如某供货货物基准价为100元，中标报价下浮率为5%，则对应的某供货货物单价为：100元×（1-5%）=95元。</w:t>
      </w:r>
    </w:p>
    <w:p w14:paraId="628E537D">
      <w:pPr>
        <w:pStyle w:val="99"/>
        <w:shd w:val="clear"/>
        <w:spacing w:line="240" w:lineRule="auto"/>
        <w:ind w:firstLine="422"/>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（二）乙方须承诺以下内容（须单独提供承诺函并加盖投标人公章，格式自拟）：</w:t>
      </w:r>
    </w:p>
    <w:p w14:paraId="46B2735A">
      <w:pPr>
        <w:pStyle w:val="99"/>
        <w:shd w:val="clear"/>
        <w:spacing w:line="240" w:lineRule="auto"/>
        <w:ind w:firstLine="422"/>
        <w:jc w:val="both"/>
        <w:rPr>
          <w:rFonts w:hint="eastAsia" w:ascii="宋体" w:hAnsi="宋体" w:eastAsia="宋体" w:cs="宋体"/>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甲方与乙方双方签订合同后一周内，协商确定商品供货清单。合同期间，</w:t>
      </w:r>
      <w:r>
        <w:rPr>
          <w:rFonts w:hint="eastAsia" w:ascii="宋体" w:hAnsi="宋体" w:eastAsia="宋体" w:cs="宋体"/>
          <w:color w:val="auto"/>
          <w:sz w:val="21"/>
          <w:szCs w:val="21"/>
          <w:highlight w:val="none"/>
          <w:lang w:val="en-US" w:eastAsia="zh-CN"/>
        </w:rPr>
        <w:t>因</w:t>
      </w:r>
      <w:r>
        <w:rPr>
          <w:rFonts w:hint="eastAsia" w:ascii="宋体" w:hAnsi="宋体" w:eastAsia="宋体" w:cs="宋体"/>
          <w:color w:val="auto"/>
          <w:sz w:val="21"/>
          <w:szCs w:val="21"/>
          <w:highlight w:val="none"/>
        </w:rPr>
        <w:t>日用品</w:t>
      </w:r>
      <w:r>
        <w:rPr>
          <w:rFonts w:hint="eastAsia" w:ascii="宋体" w:hAnsi="宋体" w:eastAsia="宋体" w:cs="宋体"/>
          <w:color w:val="auto"/>
          <w:sz w:val="21"/>
          <w:szCs w:val="21"/>
          <w:highlight w:val="none"/>
          <w:lang w:val="en-US" w:eastAsia="zh-CN"/>
        </w:rPr>
        <w:t>及五金</w:t>
      </w:r>
      <w:r>
        <w:rPr>
          <w:rFonts w:hint="eastAsia" w:ascii="宋体" w:hAnsi="宋体" w:eastAsia="宋体" w:cs="宋体"/>
          <w:color w:val="auto"/>
          <w:sz w:val="21"/>
          <w:szCs w:val="21"/>
          <w:highlight w:val="none"/>
        </w:rPr>
        <w:t>采购品类繁多，采购清单中不可能全部包含，在合同有</w:t>
      </w:r>
      <w:r>
        <w:rPr>
          <w:rFonts w:hint="eastAsia" w:ascii="宋体" w:hAnsi="宋体" w:eastAsia="宋体" w:cs="宋体"/>
          <w:color w:val="auto"/>
          <w:sz w:val="21"/>
          <w:szCs w:val="21"/>
          <w:highlight w:val="none"/>
          <w:lang w:eastAsia="zh-CN" w:bidi="ar-SA"/>
        </w:rPr>
        <w:t>效期内，当</w:t>
      </w:r>
      <w:r>
        <w:rPr>
          <w:rFonts w:hint="eastAsia" w:ascii="宋体" w:hAnsi="宋体" w:eastAsia="宋体" w:cs="宋体"/>
          <w:color w:val="auto"/>
          <w:sz w:val="21"/>
          <w:szCs w:val="21"/>
          <w:highlight w:val="none"/>
          <w:lang w:val="en-US" w:eastAsia="zh-CN" w:bidi="ar-SA"/>
        </w:rPr>
        <w:t>甲方</w:t>
      </w:r>
      <w:r>
        <w:rPr>
          <w:rFonts w:hint="eastAsia" w:ascii="宋体" w:hAnsi="宋体" w:eastAsia="宋体" w:cs="宋体"/>
          <w:color w:val="auto"/>
          <w:sz w:val="21"/>
          <w:szCs w:val="21"/>
          <w:highlight w:val="none"/>
          <w:lang w:eastAsia="zh-CN" w:bidi="ar-SA"/>
        </w:rPr>
        <w:t>需要采购清单以外的同类货物时，由</w:t>
      </w:r>
      <w:r>
        <w:rPr>
          <w:rFonts w:hint="eastAsia" w:ascii="宋体" w:hAnsi="宋体" w:eastAsia="宋体" w:cs="宋体"/>
          <w:color w:val="auto"/>
          <w:sz w:val="21"/>
          <w:szCs w:val="21"/>
          <w:highlight w:val="none"/>
          <w:lang w:val="en-US" w:eastAsia="zh-CN" w:bidi="ar-SA"/>
        </w:rPr>
        <w:t>甲方</w:t>
      </w:r>
      <w:r>
        <w:rPr>
          <w:rFonts w:hint="eastAsia" w:ascii="宋体" w:hAnsi="宋体" w:eastAsia="宋体" w:cs="宋体"/>
          <w:color w:val="auto"/>
          <w:sz w:val="21"/>
          <w:szCs w:val="21"/>
          <w:highlight w:val="none"/>
          <w:lang w:eastAsia="zh-CN" w:bidi="ar-SA"/>
        </w:rPr>
        <w:t>在属地进行市场调查（不少于三家商品），以市场调查平均价×（1-中标</w:t>
      </w:r>
      <w:r>
        <w:rPr>
          <w:rFonts w:hint="eastAsia" w:ascii="宋体" w:hAnsi="宋体" w:eastAsia="宋体" w:cs="宋体"/>
          <w:color w:val="auto"/>
          <w:sz w:val="21"/>
          <w:szCs w:val="21"/>
          <w:highlight w:val="none"/>
          <w:lang w:val="en-US" w:eastAsia="zh-CN" w:bidi="ar-SA"/>
        </w:rPr>
        <w:t>下浮</w:t>
      </w:r>
      <w:r>
        <w:rPr>
          <w:rFonts w:hint="eastAsia" w:ascii="宋体" w:hAnsi="宋体" w:eastAsia="宋体" w:cs="宋体"/>
          <w:color w:val="auto"/>
          <w:sz w:val="21"/>
          <w:szCs w:val="21"/>
          <w:highlight w:val="none"/>
          <w:lang w:eastAsia="zh-CN" w:bidi="ar-SA"/>
        </w:rPr>
        <w:t>率）作为采购价，或参照</w:t>
      </w:r>
      <w:r>
        <w:rPr>
          <w:rFonts w:hint="eastAsia" w:ascii="宋体" w:hAnsi="宋体" w:eastAsia="宋体" w:cs="宋体"/>
          <w:color w:val="auto"/>
          <w:sz w:val="21"/>
          <w:szCs w:val="21"/>
          <w:highlight w:val="none"/>
          <w:lang w:val="en-US" w:eastAsia="zh-CN" w:bidi="ar-SA"/>
        </w:rPr>
        <w:t>天猫超市、</w:t>
      </w:r>
      <w:r>
        <w:rPr>
          <w:rFonts w:hint="eastAsia" w:ascii="宋体" w:hAnsi="宋体" w:eastAsia="宋体" w:cs="宋体"/>
          <w:color w:val="auto"/>
          <w:sz w:val="21"/>
          <w:szCs w:val="21"/>
          <w:highlight w:val="none"/>
          <w:lang w:eastAsia="zh-CN" w:bidi="ar-SA"/>
        </w:rPr>
        <w:t>京东商城自营店价格×（1-中标</w:t>
      </w:r>
      <w:r>
        <w:rPr>
          <w:rFonts w:hint="eastAsia" w:ascii="宋体" w:hAnsi="宋体" w:eastAsia="宋体" w:cs="宋体"/>
          <w:color w:val="auto"/>
          <w:sz w:val="21"/>
          <w:szCs w:val="21"/>
          <w:highlight w:val="none"/>
          <w:lang w:val="en-US" w:eastAsia="zh-CN" w:bidi="ar-SA"/>
        </w:rPr>
        <w:t>下浮</w:t>
      </w:r>
      <w:r>
        <w:rPr>
          <w:rFonts w:hint="eastAsia" w:ascii="宋体" w:hAnsi="宋体" w:eastAsia="宋体" w:cs="宋体"/>
          <w:color w:val="auto"/>
          <w:sz w:val="21"/>
          <w:szCs w:val="21"/>
          <w:highlight w:val="none"/>
          <w:lang w:eastAsia="zh-CN" w:bidi="ar-SA"/>
        </w:rPr>
        <w:t>率）作为采购价。后续结算时，按照实际供货数量乘以供货单价计算执行。</w:t>
      </w:r>
      <w:r>
        <w:rPr>
          <w:rFonts w:hint="eastAsia" w:ascii="宋体" w:hAnsi="宋体" w:eastAsia="宋体" w:cs="宋体"/>
          <w:color w:val="auto"/>
          <w:sz w:val="21"/>
          <w:szCs w:val="21"/>
          <w:highlight w:val="none"/>
          <w:lang w:val="en-US" w:eastAsia="zh-CN" w:bidi="ar-SA"/>
        </w:rPr>
        <w:t>供货清单可根据实际新增供货需求每月的第一周内更新一次。</w:t>
      </w:r>
    </w:p>
    <w:p w14:paraId="416334C8">
      <w:pPr>
        <w:pStyle w:val="99"/>
        <w:shd w:val="clear"/>
        <w:spacing w:line="240" w:lineRule="auto"/>
        <w:ind w:firstLine="422"/>
        <w:jc w:val="both"/>
        <w:rPr>
          <w:rFonts w:hint="eastAsia" w:ascii="宋体" w:hAnsi="宋体" w:eastAsia="宋体" w:cs="宋体"/>
          <w:color w:val="auto"/>
          <w:sz w:val="21"/>
          <w:szCs w:val="21"/>
          <w:highlight w:val="none"/>
          <w:lang w:eastAsia="zh-CN" w:bidi="ar-SA"/>
        </w:rPr>
      </w:pPr>
      <w:r>
        <w:rPr>
          <w:rFonts w:hint="eastAsia" w:ascii="宋体" w:hAnsi="宋体" w:eastAsia="宋体" w:cs="宋体"/>
          <w:color w:val="auto"/>
          <w:sz w:val="21"/>
          <w:szCs w:val="21"/>
          <w:highlight w:val="none"/>
          <w:lang w:eastAsia="zh-CN" w:bidi="ar-SA"/>
        </w:rPr>
        <w:t>考虑到货物价格受到市场价格波动影响，甲方或供应商原则上每季度可以书面方式提出对《低值日杂品清单》货物中价格波动超过10%的货物单价进行调整，并由双方协商同意后盖章确认，否则服务期内《低值日杂品清单》货物的结算单价不作调整。</w:t>
      </w:r>
    </w:p>
    <w:p w14:paraId="39C6432F">
      <w:pPr>
        <w:pStyle w:val="99"/>
        <w:shd w:val="clear"/>
        <w:jc w:val="both"/>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lang w:val="en-US" w:eastAsia="zh-CN"/>
        </w:rPr>
        <w:t xml:space="preserve">第五条 </w:t>
      </w:r>
      <w:r>
        <w:rPr>
          <w:rFonts w:hint="eastAsia" w:ascii="宋体" w:hAnsi="宋体" w:eastAsia="宋体" w:cs="宋体"/>
          <w:b/>
          <w:color w:val="auto"/>
          <w:sz w:val="21"/>
          <w:szCs w:val="21"/>
          <w:highlight w:val="none"/>
        </w:rPr>
        <w:t>付款方式</w:t>
      </w:r>
    </w:p>
    <w:p w14:paraId="4A26C1CA">
      <w:pPr>
        <w:pStyle w:val="99"/>
        <w:shd w:val="clear"/>
        <w:spacing w:line="240" w:lineRule="auto"/>
        <w:ind w:firstLine="422"/>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1.以实际送货量进行结算，原则上每月至少结算一次费用，具体每月结算时间由甲方与乙方双方商定确认，结算前乙方须提供结算清单经甲方确认，并向甲方提供等额合格发票及甲方所需的相关材料，双方核对无误后，10个工作日内以银行转账方式支付该月货款。</w:t>
      </w:r>
    </w:p>
    <w:p w14:paraId="10CBE78E">
      <w:pPr>
        <w:pStyle w:val="99"/>
        <w:shd w:val="clear"/>
        <w:spacing w:line="240" w:lineRule="auto"/>
        <w:ind w:firstLine="422"/>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2.付款前乙方应向甲方提供等额合法发票及甲方要求提供的支付所需材料等资料，且发票名称必须与乙方完全一致，否则甲方有权拒绝付款。</w:t>
      </w:r>
    </w:p>
    <w:p w14:paraId="132E857E">
      <w:pPr>
        <w:shd w:val="clear"/>
        <w:spacing w:line="360" w:lineRule="auto"/>
        <w:ind w:firstLine="420" w:firstLineChars="200"/>
        <w:rPr>
          <w:rFonts w:hint="eastAsia" w:hAnsi="宋体"/>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bidi="ar-SA"/>
        </w:rPr>
        <w:t>3.甲方支付的款项以到达乙方以下收款账户之日视为收讫，如乙方需变更以下收款账号的，须于变更前十日以书面形式通知甲方，否则造成的一切后果由乙方自行承担。</w:t>
      </w:r>
      <w:r>
        <w:rPr>
          <w:rFonts w:hint="eastAsia" w:hAnsi="宋体"/>
          <w:color w:val="auto"/>
          <w:sz w:val="21"/>
          <w:szCs w:val="21"/>
          <w:highlight w:val="none"/>
          <w:lang w:eastAsia="zh-CN"/>
        </w:rPr>
        <w:t>乙方收款账户信息如下：</w:t>
      </w:r>
    </w:p>
    <w:p w14:paraId="649C03AC">
      <w:pPr>
        <w:shd w:val="clear"/>
        <w:spacing w:line="360" w:lineRule="auto"/>
        <w:ind w:firstLine="420" w:firstLineChars="200"/>
        <w:rPr>
          <w:rFonts w:hint="eastAsia" w:hAnsi="宋体"/>
          <w:color w:val="auto"/>
          <w:sz w:val="21"/>
          <w:szCs w:val="21"/>
          <w:highlight w:val="none"/>
          <w:lang w:eastAsia="zh-CN"/>
        </w:rPr>
      </w:pPr>
      <w:r>
        <w:rPr>
          <w:rFonts w:hint="eastAsia" w:hAnsi="宋体"/>
          <w:color w:val="auto"/>
          <w:sz w:val="21"/>
          <w:szCs w:val="21"/>
          <w:highlight w:val="none"/>
          <w:lang w:eastAsia="zh-CN"/>
        </w:rPr>
        <w:t>户    名：                                                           ；</w:t>
      </w:r>
    </w:p>
    <w:p w14:paraId="0A1A7DCA">
      <w:pPr>
        <w:shd w:val="clear"/>
        <w:spacing w:line="360" w:lineRule="auto"/>
        <w:ind w:firstLine="420" w:firstLineChars="200"/>
        <w:rPr>
          <w:rFonts w:hint="eastAsia" w:hAnsi="宋体"/>
          <w:color w:val="auto"/>
          <w:sz w:val="21"/>
          <w:szCs w:val="21"/>
          <w:highlight w:val="none"/>
          <w:lang w:eastAsia="zh-CN"/>
        </w:rPr>
      </w:pPr>
      <w:r>
        <w:rPr>
          <w:rFonts w:hint="eastAsia" w:hAnsi="宋体"/>
          <w:color w:val="auto"/>
          <w:sz w:val="21"/>
          <w:szCs w:val="21"/>
          <w:highlight w:val="none"/>
          <w:lang w:eastAsia="zh-CN"/>
        </w:rPr>
        <w:t>开户银行：                                                            ；</w:t>
      </w:r>
    </w:p>
    <w:p w14:paraId="5F6AB7A7">
      <w:pPr>
        <w:shd w:val="clear"/>
        <w:spacing w:line="240" w:lineRule="auto"/>
        <w:ind w:firstLine="420" w:firstLineChars="200"/>
        <w:rPr>
          <w:rFonts w:hint="eastAsia" w:ascii="宋体" w:hAnsi="宋体" w:eastAsia="宋体" w:cs="宋体"/>
          <w:b w:val="0"/>
          <w:bCs w:val="0"/>
          <w:color w:val="auto"/>
          <w:sz w:val="21"/>
          <w:szCs w:val="21"/>
          <w:highlight w:val="none"/>
          <w:lang w:val="en-US" w:eastAsia="zh-CN" w:bidi="ar-SA"/>
        </w:rPr>
      </w:pPr>
      <w:r>
        <w:rPr>
          <w:rFonts w:hint="eastAsia" w:hAnsi="宋体"/>
          <w:color w:val="auto"/>
          <w:sz w:val="21"/>
          <w:szCs w:val="21"/>
          <w:highlight w:val="none"/>
          <w:lang w:eastAsia="zh-CN"/>
        </w:rPr>
        <w:t>开户账号：                                                           。</w:t>
      </w:r>
    </w:p>
    <w:p w14:paraId="7AFC75AB">
      <w:pPr>
        <w:shd w:val="clear"/>
        <w:spacing w:line="240" w:lineRule="auto"/>
        <w:ind w:firstLine="420" w:firstLineChars="200"/>
        <w:rPr>
          <w:rFonts w:hint="eastAsia" w:ascii="宋体" w:hAnsi="宋体" w:eastAsia="宋体" w:cs="宋体"/>
          <w:b w:val="0"/>
          <w:bCs w:val="0"/>
          <w:color w:val="auto"/>
          <w:sz w:val="21"/>
          <w:szCs w:val="21"/>
          <w:highlight w:val="none"/>
          <w:lang w:val="en-US" w:eastAsia="zh-CN" w:bidi="ar-SA"/>
        </w:rPr>
      </w:pPr>
    </w:p>
    <w:p w14:paraId="1FB1F3CF">
      <w:pPr>
        <w:pStyle w:val="99"/>
        <w:shd w:val="clear"/>
        <w:jc w:val="both"/>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lang w:val="en-US" w:eastAsia="zh-CN"/>
        </w:rPr>
        <w:t xml:space="preserve">第六条 </w:t>
      </w:r>
      <w:r>
        <w:rPr>
          <w:rFonts w:hint="eastAsia" w:ascii="宋体" w:hAnsi="宋体" w:eastAsia="宋体" w:cs="宋体"/>
          <w:b/>
          <w:color w:val="auto"/>
          <w:sz w:val="21"/>
          <w:szCs w:val="21"/>
          <w:highlight w:val="none"/>
        </w:rPr>
        <w:t>安全保障措施</w:t>
      </w:r>
    </w:p>
    <w:p w14:paraId="24EA2E68">
      <w:pPr>
        <w:pStyle w:val="99"/>
        <w:shd w:val="clear"/>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（一）食品类安全保障措施</w:t>
      </w:r>
    </w:p>
    <w:p w14:paraId="3C92F22B">
      <w:pPr>
        <w:pStyle w:val="99"/>
        <w:shd w:val="clear"/>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1.乙方必须遵守《中华人民共和国食品安全法》等法律法规的规定，严禁配送变质、过期及存在侵犯注册商标专用权的产品。</w:t>
      </w:r>
    </w:p>
    <w:p w14:paraId="5214E104">
      <w:pPr>
        <w:pStyle w:val="99"/>
        <w:shd w:val="clear"/>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2.乙方须对甲方购买的食品合理分类、分装，不得混装，运输过程应采取相应的保鲜防护措施。</w:t>
      </w:r>
    </w:p>
    <w:p w14:paraId="5A892BE5">
      <w:pPr>
        <w:pStyle w:val="99"/>
        <w:shd w:val="clear"/>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3.乙方应充分理解并认真遵循本招标文件的要求，所提供的货品须满足招标文件要求，保证供应的货品均为正规生产、检验合格、无毒、无腐烂、无辐射、无侵权、无变质，符合国家有关卫生、质量、包装和保质标准，保质期的剩余期限不得少于标注期限的75%。</w:t>
      </w:r>
    </w:p>
    <w:p w14:paraId="1F5CDCD3">
      <w:pPr>
        <w:pStyle w:val="99"/>
        <w:shd w:val="clear"/>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4.货品有包装的，必须保证包装完整清洁（无损、无污、无皱），对于包装不整齐、已拆封的货品，甲方有权拒收。</w:t>
      </w:r>
    </w:p>
    <w:p w14:paraId="5EED1DFF">
      <w:pPr>
        <w:pStyle w:val="99"/>
        <w:shd w:val="clear"/>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5.甲方发现所供货品出现损坏（包括表面损坏），或出现水渍、串味、受潮等导致货物性质改变的，乙方必须给予无条件退货或更换货品。</w:t>
      </w:r>
    </w:p>
    <w:p w14:paraId="23EC91E3">
      <w:pPr>
        <w:pStyle w:val="99"/>
        <w:shd w:val="clear"/>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（二）日用品类安全保障措施</w:t>
      </w:r>
    </w:p>
    <w:p w14:paraId="270CADA7">
      <w:pPr>
        <w:pStyle w:val="99"/>
        <w:shd w:val="clear"/>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1.乙方应遵守国家和地方的相关法律法规和标准，包括《中华人民共和国产品质量法》、《中华人民共和国消费者权益保护法》等，确保提供的用品符合法定要求。</w:t>
      </w:r>
    </w:p>
    <w:p w14:paraId="050599B9">
      <w:pPr>
        <w:pStyle w:val="99"/>
        <w:shd w:val="clear"/>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2.乙方应建立完善的质量控制体系，从原材料采购、生产加工、成品检验等环节进行严格把关，确保用品的质量稳定可靠。</w:t>
      </w:r>
    </w:p>
    <w:p w14:paraId="2DB9C8B1">
      <w:pPr>
        <w:pStyle w:val="99"/>
        <w:shd w:val="clear"/>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3.乙方应提供符合国家环保标准的用品，如可降解的用品、无污染的清洁用品等，避免对环境造成负面影响。</w:t>
      </w:r>
    </w:p>
    <w:p w14:paraId="6490B597">
      <w:pPr>
        <w:pStyle w:val="99"/>
        <w:shd w:val="clear"/>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4.如提供的货品涉及危险品（如水果刀类等），乙方应遵守危险品管理相关法规，提供必要的安全警示标识和使用说明，确保使用过程中的安全。</w:t>
      </w:r>
    </w:p>
    <w:p w14:paraId="2D4F6534">
      <w:pPr>
        <w:pStyle w:val="99"/>
        <w:shd w:val="clear"/>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5.乙方应定期对其提供的货品进行质量检测，确保货品的质量和安全性能得到验证。</w:t>
      </w:r>
    </w:p>
    <w:p w14:paraId="752BDB4D">
      <w:pPr>
        <w:pStyle w:val="99"/>
        <w:shd w:val="clear"/>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6.甲方发现所供货品出现损坏（包括表面损坏），或出现水渍、串味、受潮等导致货物性质改变的，乙方必须给予无条件退货或更换货品。</w:t>
      </w:r>
    </w:p>
    <w:p w14:paraId="4BE64A44">
      <w:pPr>
        <w:pStyle w:val="99"/>
        <w:shd w:val="clear"/>
        <w:jc w:val="both"/>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lang w:val="en-US" w:eastAsia="zh-CN"/>
        </w:rPr>
        <w:t xml:space="preserve">第七条 </w:t>
      </w:r>
      <w:r>
        <w:rPr>
          <w:rFonts w:hint="eastAsia" w:ascii="宋体" w:hAnsi="宋体" w:eastAsia="宋体" w:cs="宋体"/>
          <w:b/>
          <w:color w:val="auto"/>
          <w:sz w:val="21"/>
          <w:szCs w:val="21"/>
          <w:highlight w:val="none"/>
        </w:rPr>
        <w:t>包装、装卸、运输及保管</w:t>
      </w:r>
    </w:p>
    <w:p w14:paraId="72F1153D">
      <w:pPr>
        <w:pStyle w:val="99"/>
        <w:shd w:val="clear"/>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（一）货物的包装必须与运输方式相适应，包装方式的确定及包装费用均由乙方负责；若由于不适当的包装而导致货物在运输过程中有任何损坏、丢失的，因此产生的相关责任由乙方承担。</w:t>
      </w:r>
    </w:p>
    <w:p w14:paraId="667B3F68">
      <w:pPr>
        <w:pStyle w:val="99"/>
        <w:shd w:val="clear"/>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二）乙方应保证将甲方所订购的货物按照甲方约定时间送至甲方指定地方，运输须采用符合卫生标准的外包装和运载工具，并且要保持清洁和定期消毒，运输车辆内外必须确保清洁干净，配送低温、冷冻食品须采用冷链或冷藏运输车辆配送。</w:t>
      </w:r>
    </w:p>
    <w:p w14:paraId="3F813078">
      <w:pPr>
        <w:pStyle w:val="99"/>
        <w:shd w:val="clear"/>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（三）乙方须安排专门的配送人员负责送货及验收，按照约定及时响应需求，安排配送。</w:t>
      </w:r>
    </w:p>
    <w:p w14:paraId="794029D7">
      <w:pPr>
        <w:pStyle w:val="99"/>
        <w:shd w:val="clear"/>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（四）乙方须保证所提供的货品合法合规，符合国家相关规定，每种货品的信息应与订购清单一致，保证不配送长期积压污损的货品。</w:t>
      </w:r>
    </w:p>
    <w:p w14:paraId="079B001D">
      <w:pPr>
        <w:pStyle w:val="99"/>
        <w:shd w:val="clear"/>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五）乙方须提供保管场所（仓储场地），且保管场所满足干净、卫生、通风、防潮、防火防盗等良好仓储条件。在甲方验收前（包括乙方对甲方订购的货物现场保管期间），货物所有权和风险归乙方所有。若遗失或损坏，由乙方承担责任。</w:t>
      </w:r>
    </w:p>
    <w:p w14:paraId="362032DA">
      <w:pPr>
        <w:pStyle w:val="99"/>
        <w:shd w:val="clear"/>
        <w:jc w:val="both"/>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lang w:val="en-US" w:eastAsia="zh-CN"/>
        </w:rPr>
        <w:t xml:space="preserve">第八条 </w:t>
      </w:r>
      <w:r>
        <w:rPr>
          <w:rFonts w:hint="eastAsia" w:ascii="宋体" w:hAnsi="宋体" w:eastAsia="宋体" w:cs="宋体"/>
          <w:b/>
          <w:color w:val="auto"/>
          <w:sz w:val="21"/>
          <w:szCs w:val="21"/>
          <w:highlight w:val="none"/>
        </w:rPr>
        <w:t>质量要求</w:t>
      </w:r>
    </w:p>
    <w:p w14:paraId="54F93EF7">
      <w:pPr>
        <w:pStyle w:val="99"/>
        <w:shd w:val="clear"/>
        <w:spacing w:line="240" w:lineRule="auto"/>
        <w:ind w:firstLine="422"/>
        <w:jc w:val="both"/>
        <w:rPr>
          <w:rFonts w:hint="eastAsia" w:ascii="宋体" w:hAnsi="宋体" w:eastAsia="宋体" w:cs="宋体"/>
          <w:color w:val="auto"/>
          <w:sz w:val="21"/>
          <w:szCs w:val="21"/>
          <w:highlight w:val="none"/>
        </w:rPr>
      </w:pPr>
      <w:r>
        <w:rPr>
          <w:rFonts w:hint="eastAsia" w:ascii="宋体" w:hAnsi="宋体" w:eastAsia="宋体" w:cs="宋体"/>
          <w:b w:val="0"/>
          <w:bCs w:val="0"/>
          <w:color w:val="auto"/>
          <w:sz w:val="21"/>
          <w:szCs w:val="21"/>
          <w:highlight w:val="none"/>
          <w:lang w:val="en-US" w:eastAsia="zh-CN" w:bidi="ar-SA"/>
        </w:rPr>
        <w:t>（一）预包装食品</w:t>
      </w:r>
    </w:p>
    <w:p w14:paraId="028E7523">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乙方所提供的预包装食品必须符合国家食品安全标准，来源明确且可追溯，供货时提供质量检测报告或合格证明，确保生产、加工、储存及运输等各环节符合国家法律法规要求；同时要保证食品在保质期内，无变质、无异味，包装完好无损，并采取适当保鲜措施，根据产品特性选择合适的储存和运输方式，避免挤压、破损或污染；此外，食品标签需清晰准确，包含产品名称、生产日期、保质期、生产厂家、配料表等必要信息，对有特殊储存或食用要求的产品还应明确标注相关提示或警示语。</w:t>
      </w:r>
    </w:p>
    <w:p w14:paraId="0492CB65">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（二）电子配件</w:t>
      </w:r>
    </w:p>
    <w:p w14:paraId="15024923">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乙方所提供的电子配件要性能达标、合规认证、适配场景、稳定耐用。</w:t>
      </w:r>
    </w:p>
    <w:p w14:paraId="2D07BBA6">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1.合规性：涉及电气设备（路由器、交换机、打印机等）需提供国家 3C 认证证书；所有产品符合 RoHS 环保标准，无有毒有害物质超标。</w:t>
      </w:r>
    </w:p>
    <w:p w14:paraId="549590F3">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2.适配性：耗材类（硒鼓、标签纸、打印头）必须与指定设备型号完全适配，安装后无兼容问题。</w:t>
      </w:r>
    </w:p>
    <w:p w14:paraId="4FE5C8F8">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3.标识与包装：产品本体及包装需标注清晰的品牌、型号、规格、生产日期、制造商信息，包装完好无破损。</w:t>
      </w:r>
    </w:p>
    <w:p w14:paraId="62D5F229">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4.质保与售后：投标人需承诺质保期（设备类≥1 年，耗材类≥3 个月），质保期内免费维修或更换；24 小时内响应售后问题，48 小时内到场处理。（须单独提供承诺函并加盖投标人公章，格式自拟）</w:t>
      </w:r>
    </w:p>
    <w:p w14:paraId="44EC1ABC">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5.验收要求：到货后核对型号、规格、数量；抽样测试性能指标，不合格则整批退货。</w:t>
      </w:r>
    </w:p>
    <w:p w14:paraId="1F3AA9F8">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（三）五金配件</w:t>
      </w:r>
    </w:p>
    <w:p w14:paraId="0BF4BD7D">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1.执行标准合规性</w:t>
      </w:r>
    </w:p>
    <w:p w14:paraId="739D2047">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所有五金配件需符合国家、行业或国际通用标准，禁止使用无标准、不合格的非标产品。</w:t>
      </w:r>
    </w:p>
    <w:p w14:paraId="110494A9">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2.材质与成分要求</w:t>
      </w:r>
    </w:p>
    <w:p w14:paraId="6E9EDB2F">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(1)明确材质规格：需标注材质类型（如不锈钢 304/316、碳钢 Q235、黄铜 H62 等）、牌号、厚度、直径等关键参数。</w:t>
      </w:r>
    </w:p>
    <w:p w14:paraId="47917F40">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(2)材质纯度：金属材质需无砂眼、气孔、裂纹、夹渣等缺陷；表面无锈蚀、氧化、变形等问题。</w:t>
      </w:r>
    </w:p>
    <w:p w14:paraId="72EC3B9C">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(3)环保要求：符合 RoHS、REACH 等环保标准（如涉及出口或高端项目），禁止含铅、镉等重金属超标。</w:t>
      </w:r>
    </w:p>
    <w:p w14:paraId="63319093">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3.表面处理质量</w:t>
      </w:r>
    </w:p>
    <w:p w14:paraId="4C23E5AA">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(1)表面处理工艺需明确（如镀锌、镀铬、喷涂、电泳、钝化等），且需满足以下要求：</w:t>
      </w:r>
    </w:p>
    <w:p w14:paraId="3650AB73">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(2)镀层均匀、无漏镀、起皮、脱落现象；</w:t>
      </w:r>
    </w:p>
    <w:p w14:paraId="1B7AE9F9">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(3)喷涂层附着力强，无流挂、气泡、划痕；</w:t>
      </w:r>
    </w:p>
    <w:p w14:paraId="64A3C14D">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(4)表面粗糙度、光泽度需符合招标文件规定的数值范围。</w:t>
      </w:r>
    </w:p>
    <w:p w14:paraId="1E7A047D">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(5)防腐防锈能力：根据使用环境（如潮湿、户外、酸碱环境）明确防腐等级，例如户外五金需达到盐雾测试 72 小时以上无锈蚀。</w:t>
      </w:r>
    </w:p>
    <w:p w14:paraId="0C3C0F76">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4.尺寸与精度要求</w:t>
      </w:r>
    </w:p>
    <w:p w14:paraId="6BDBD2FD">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(1)尺寸偏差需符合图纸或标准要求，公差范围需明确标注（如 ±0.1mm）；</w:t>
      </w:r>
    </w:p>
    <w:p w14:paraId="341BC181">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(2)配件的孔位、间距、接口尺寸需与招标项目的适配产品完全匹配，安装无缝隙；</w:t>
      </w:r>
    </w:p>
    <w:p w14:paraId="6EA9801E">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(3)形状规整，无弯曲、扭曲、变形等问题，保证装配精度。</w:t>
      </w:r>
    </w:p>
    <w:p w14:paraId="3C2AFA57">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5.性能与耐用性要求</w:t>
      </w:r>
    </w:p>
    <w:p w14:paraId="78B73B7E">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(1)强度指标：根据用途明确抗拉强度、抗压强度、抗弯强度等，例如承重五金需满足额定载荷下无断裂、变形；</w:t>
      </w:r>
    </w:p>
    <w:p w14:paraId="0072CA52">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(2)耐用性：运动部件（如铰链、导轨）需明确使用寿命（如开合 10 万次无故障）、耐磨性能；</w:t>
      </w:r>
    </w:p>
    <w:p w14:paraId="4A95FAE0">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(3)密封性：如防水五金需达到 IP 防护等级（如 IP65），防止水、灰尘进入。</w:t>
      </w:r>
    </w:p>
    <w:p w14:paraId="077ADFC9">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（四）劳保物品和生活用品</w:t>
      </w:r>
    </w:p>
    <w:p w14:paraId="3CB75FB0">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1.劳保用品质量要求</w:t>
      </w:r>
    </w:p>
    <w:p w14:paraId="618A3055">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必须符合对应国家或行业强制标准，特种劳保用品（如防静电服、防化口罩）需提供CMA/CNAS 资质第三方检测报告。</w:t>
      </w:r>
    </w:p>
    <w:p w14:paraId="5C4C0974">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直接接触皮肤的品类（如防护手套、防护服）需符合GB18401《国家纺织产品基本安全技术规范》，甲醛、pH值、重金属等指标达标。</w:t>
      </w:r>
    </w:p>
    <w:p w14:paraId="1DC81C5E">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2.生活用品质量要求</w:t>
      </w:r>
    </w:p>
    <w:p w14:paraId="2376F61C">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（1）安全环保：</w:t>
      </w:r>
    </w:p>
    <w:p w14:paraId="0964EE9F">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1)接触食品的品类（如餐具、水杯）需符合 GB 4806《食品安全国家标准》，禁用再生塑料、劣质涂料，无异味、无重金属析出。</w:t>
      </w:r>
    </w:p>
    <w:p w14:paraId="3B0D37DA">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2)纺织品类（如毛巾、床单）需符合 GB 18401，甲醛含量≤75mg/kg，pH 值 4.0~8.5，无荧光增白剂。</w:t>
      </w:r>
    </w:p>
    <w:p w14:paraId="74EA9B38">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3)电气类（如电水壶、台灯）需通过 3C 认证，绝缘性能良好，无漏电风险。</w:t>
      </w:r>
    </w:p>
    <w:p w14:paraId="65873F23">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（2）材质与工艺：</w:t>
      </w:r>
    </w:p>
    <w:p w14:paraId="6C1886F1">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1)明确材质规格（如塑料件为 PP / 食品级 PC、毛巾为纯棉≥80%、垃圾桶为加厚聚乙烯）。</w:t>
      </w:r>
    </w:p>
    <w:p w14:paraId="54E2A796">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2)工艺无缺陷：纺织物无跳线、起球；塑料制品无毛刺、裂纹；金属制品无锈蚀、变形。</w:t>
      </w:r>
    </w:p>
    <w:p w14:paraId="257CF63B">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（3）耐用性：</w:t>
      </w:r>
    </w:p>
    <w:p w14:paraId="549956B9">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1)反复使用类（如拖把、垃圾桶）需耐磨损、抗摔打，正常使用≥6 个月无损坏。</w:t>
      </w:r>
    </w:p>
    <w:p w14:paraId="363C7EE2">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2)消耗类（如纸巾、洗手液）需标注克重、有效成分含量（如洗手液抑菌率≥99%）。</w:t>
      </w:r>
    </w:p>
    <w:p w14:paraId="04507EF3">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（4）标识与追溯：</w:t>
      </w:r>
    </w:p>
    <w:p w14:paraId="6CA5500D">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1)产品需标注制造商、生产日期、保质期、执行标准号；食品接触类需标注 “食品用”字样。</w:t>
      </w:r>
    </w:p>
    <w:p w14:paraId="17BF03B6">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2)提供批次生产记录，支持质量溯源。</w:t>
      </w:r>
    </w:p>
    <w:p w14:paraId="5A8605F8">
      <w:pPr>
        <w:pStyle w:val="99"/>
        <w:shd w:val="clear"/>
        <w:jc w:val="both"/>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lang w:val="en-US" w:eastAsia="zh-CN"/>
        </w:rPr>
        <w:t xml:space="preserve">第九条 </w:t>
      </w:r>
      <w:r>
        <w:rPr>
          <w:rFonts w:hint="eastAsia" w:ascii="宋体" w:hAnsi="宋体" w:eastAsia="宋体" w:cs="宋体"/>
          <w:b/>
          <w:color w:val="auto"/>
          <w:sz w:val="21"/>
          <w:szCs w:val="21"/>
          <w:highlight w:val="none"/>
          <w:lang w:eastAsia="zh-CN"/>
        </w:rPr>
        <w:t>乙方</w:t>
      </w:r>
      <w:r>
        <w:rPr>
          <w:rFonts w:hint="eastAsia" w:ascii="宋体" w:hAnsi="宋体" w:eastAsia="宋体" w:cs="宋体"/>
          <w:b/>
          <w:color w:val="auto"/>
          <w:sz w:val="21"/>
          <w:szCs w:val="21"/>
          <w:highlight w:val="none"/>
        </w:rPr>
        <w:t>义务</w:t>
      </w:r>
    </w:p>
    <w:p w14:paraId="3F16C61F">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（一）如甲方需临时增补货物，乙方须全力配合。</w:t>
      </w:r>
    </w:p>
    <w:p w14:paraId="5B2E6025">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二）乙方应当根据甲方的实际情况，按照与甲方的约定，在甲方指定的时间内将预定的货物如数送到指定地点。除不可抗力外，乙方不得推迟送货。如需延迟送货，乙方应在知晓情况后立即通知甲方并取得甲方同意，若因乙方拖延导致甲方利益受损，甲方有权要求乙方承担由此产生的一切损失及费用。</w:t>
      </w:r>
    </w:p>
    <w:p w14:paraId="7CF637AF">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三）乙方不得擅自更改送货内容，如因市场流通问题需变更供货内容，乙方应在知晓后立即通知甲方并获得甲方同意后方可变更。否则，一经发现私自更改甲方采购订单中的货物，将视为违约，由此产生的一切损失和费用由乙方承担。</w:t>
      </w:r>
    </w:p>
    <w:p w14:paraId="22B79780">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四）甲方发现所供货物与采购要求的数量和规格不相符或质量不合格，乙方应48小时内无条件退换，并保证在甲方指定的时间内送达。因质量问题退货的，甲方将记录在案，并对乙方予以书面警告，由此产生的一切损失和费用由乙方承担。</w:t>
      </w:r>
    </w:p>
    <w:p w14:paraId="70B46B0F">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（五）退货或换货处理：对于货不对版或质量不达标的品种，甲方可要求乙方无条件退货或更换，乙方须保证在甲方指定的时间内送达，由此产生的一切责任概由乙方承担。</w:t>
      </w:r>
    </w:p>
    <w:p w14:paraId="0E90BF09">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（六）乙方须对甲方的内部信息（含服务对象信息）、资料、数据档案等严格保密，此项保密义务不因本合同终止而终止。若因泄密导致甲方受损，乙方将承担由此产生的一切损失及法律责任。</w:t>
      </w:r>
    </w:p>
    <w:p w14:paraId="2FBDFC49">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七）乙方发生下列重大变更的，应在变更发生之日起3个工作日内以书面形式通知甲方，并提供相关证明材料：（1）乙方的法定代表人、主要负责人变更；（2）乙方的经营地址、联系方式变更；（3）乙方的股权结构发生重大变化（如控股股东变更、股权质押等）；（4）乙方的经营状况发生重大恶化（如资金链断裂、破产申请、主要财产被查封等）；（5）乙方的供货渠道发生重大变化（如与主要供应商终止合作）。乙方未履行上述告知义务的，甲方有权要求乙方承担未告知期间的损失（如因乙方变更导致的供货延误损失）；若该变更影响乙方履约能力的，甲方有权依据合同第十三条第4款解除合同。</w:t>
      </w:r>
    </w:p>
    <w:p w14:paraId="1ECF29B4">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（八）项目未尽事宜将在采购合同中另行约定，乙方须无条件同意甲方基于为顺利完成本项目所提出的各项合理要求。</w:t>
      </w:r>
    </w:p>
    <w:p w14:paraId="263EACB3">
      <w:pPr>
        <w:pStyle w:val="99"/>
        <w:shd w:val="clear"/>
        <w:jc w:val="both"/>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lang w:val="en-US" w:eastAsia="zh-CN"/>
        </w:rPr>
        <w:t xml:space="preserve">第十条 </w:t>
      </w:r>
      <w:r>
        <w:rPr>
          <w:rFonts w:hint="eastAsia" w:ascii="宋体" w:hAnsi="宋体" w:eastAsia="宋体" w:cs="宋体"/>
          <w:b/>
          <w:color w:val="auto"/>
          <w:sz w:val="21"/>
          <w:szCs w:val="21"/>
          <w:highlight w:val="none"/>
        </w:rPr>
        <w:t>违约责任</w:t>
      </w:r>
    </w:p>
    <w:p w14:paraId="562697AE">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一）出现以下情况之一的，除赔偿甲方因此产生的相关费用外，乙方按每次1000元向甲方支付违约金，当此类情况累计达到3次后，自第4次起，乙方按每次3000元向甲方支付违约金，违约金可从供货结算款内扣除（供货结算款不足以扣除违约金的，甲方有权要求乙方在5个工作日内补足）。</w:t>
      </w:r>
    </w:p>
    <w:p w14:paraId="1F7643BE">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1.未按采购单要求的到货时间内完成供货，或未按甲方订货单进行供应，造成甲方订购的货物无法按时供应的，甲方有权自行采购所需货物，由此产生的该批货物实际采购金额及一切相关损失、费用，均由乙方承担；</w:t>
      </w:r>
    </w:p>
    <w:p w14:paraId="4B1166EA">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2.经验收，供应货物的品种、规格或质量等级与合同不符的；</w:t>
      </w:r>
    </w:p>
    <w:p w14:paraId="5EF6F3A5">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3.若因包装不当致使货物在运输过程中出现损坏或丢失的情况，乙方应在收到甲方提出的替换需求起三个工作日内完成替换。若乙方未能在规定时间内完成替换的，甲方有权自行采购所需货物，由此产生的该批货物实际采购金额及一切相关损失、费用，均由乙方承担；</w:t>
      </w:r>
    </w:p>
    <w:p w14:paraId="61026F26">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4.在包装、运输、装卸等环节不符合货物安全要求的；</w:t>
      </w:r>
    </w:p>
    <w:p w14:paraId="6B03ABD8">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5.乙方组织机构发生调整，或经营场所、联系人、联系方式变更，未及时通知甲方业务部门，造成无法及时联系；</w:t>
      </w:r>
    </w:p>
    <w:p w14:paraId="171F23B2">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（二）乙方提供过期、变质、混有异物等质量不合格产品或存在侵犯注册商标专用权的行为，一经发现，除按甲方要求无条件退货或换货外，还需承担以下违约责任：</w:t>
      </w:r>
    </w:p>
    <w:p w14:paraId="5C25F2FF">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1.首次发现，乙方将被处以当批次供应货物货款2倍的违约金，违约金可由供货结算款内扣除（供货结算款不足以扣除违约金的，甲方有权要求乙方在5个工作日内补足，下同）。</w:t>
      </w:r>
    </w:p>
    <w:p w14:paraId="3C5632B1">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2.第二次发现，乙方将被处以当批次供应货物货款4倍的违约金，违约金可由供货结算款内扣除。</w:t>
      </w:r>
    </w:p>
    <w:p w14:paraId="1DF70F27">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3.第三次发现，甲方有权取消乙方供应商资格。</w:t>
      </w:r>
    </w:p>
    <w:p w14:paraId="1B16A782">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三）若出现以下情形，将立即取消乙方的供应资格并单方解除合同（包括但不限于以下各项），并由乙方承担由此造成的所有经济损失及法律责任，包括但不限于诉讼费/仲裁、保全费、担保费、律师费、差旅费、公证费等一切费用：</w:t>
      </w:r>
    </w:p>
    <w:p w14:paraId="517A91D9">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1.乙方提供的食品导致食用者身体不适、发生食物中毒，或因乙方提供的日用品导致身体不适，且经市级及以上质量检验部门认定为乙方货物所致的，乙方需承担全部医疗及其他相关费用。同时，甲方将取消乙方的供货资格并单方解除合同，有权不予退还履约保证金。由此产生的经济赔偿及法律责任均由乙方承担；</w:t>
      </w:r>
    </w:p>
    <w:p w14:paraId="32960F02">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2.乙方泄露甲方的内部信息（含服务对象信息）、资料、数据、档案等，导致甲方受损的，由此产生的一切损失和法律责任由乙方承担。</w:t>
      </w:r>
    </w:p>
    <w:p w14:paraId="239ACDA1">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3.提供虚假检验报告、发票等相关资料的。</w:t>
      </w:r>
    </w:p>
    <w:p w14:paraId="5655319F">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4.单方解除权及违约责任（须单独提供承诺函并加盖投标人公章，格式自拟）</w:t>
      </w:r>
    </w:p>
    <w:p w14:paraId="3CC3DDA6">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甲方发现乙方出现下列情形之一的，有权立即发出书面解除通知单方面解除本合同，并要求乙方承担全部违约责任：</w:t>
      </w:r>
    </w:p>
    <w:p w14:paraId="1E3376B6">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1）乙方因经营状况严重恶化（包括但不限于资金链断裂、主要财产被人民法院查封/扣押/冻结、丧失核心供货渠道等）、丧失履约能力，或明确以书面形式拒绝履行本合同项下供货义务，直接影响甲方服务对象的基本生活保障或公共服务正常运行的；</w:t>
      </w:r>
    </w:p>
    <w:p w14:paraId="455E02B0">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（2）甲方就乙方履约能力提出质疑并发出《履约能力核查通知》后，乙方未能在5个工作日内提供甲方认可的有效履约担保（如银行履约保函、第三方连带责任担保，担保金额不低于人民币壹万元整。</w:t>
      </w:r>
    </w:p>
    <w:p w14:paraId="5CBD02E7">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（3）考核要求：</w:t>
      </w:r>
      <w:r>
        <w:rPr>
          <w:rFonts w:hint="eastAsia" w:ascii="宋体" w:hAnsi="宋体" w:eastAsia="宋体" w:cs="宋体"/>
          <w:b/>
          <w:bCs/>
          <w:color w:val="auto"/>
          <w:sz w:val="21"/>
          <w:szCs w:val="21"/>
          <w:highlight w:val="none"/>
          <w:lang w:val="en-US" w:eastAsia="zh-CN" w:bidi="ar-SA"/>
        </w:rPr>
        <w:t>（具体详见《附件二：考核评分表》）</w:t>
      </w:r>
    </w:p>
    <w:p w14:paraId="3D4BD953">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①甲方每季度对乙方服务质量进行一次考核，考核评分项目内容及扣分标准由甲方制定，乙方需无条件遵照执行。甲方在服务期内有权结合实际需求更新、调整考核项目内容及扣分标准。</w:t>
      </w:r>
    </w:p>
    <w:p w14:paraId="69DBDEA8">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②月考核要求（详见附件）：满分100分，按下列原则评定：</w:t>
      </w:r>
    </w:p>
    <w:p w14:paraId="78341EA3">
      <w:pPr>
        <w:pStyle w:val="99"/>
        <w:numPr>
          <w:ilvl w:val="0"/>
          <w:numId w:val="1"/>
        </w:numPr>
        <w:shd w:val="clear"/>
        <w:spacing w:line="240" w:lineRule="auto"/>
        <w:ind w:left="425" w:hanging="425"/>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根据主管人员对服务质量进行综合考评（具体考核内容甲方有权根据实际情况作出调整），综合考评分≥95分为优秀，85-94分（含85分）为合格，＜85分的为不合格；</w:t>
      </w:r>
    </w:p>
    <w:p w14:paraId="1980D333">
      <w:pPr>
        <w:pStyle w:val="99"/>
        <w:numPr>
          <w:ilvl w:val="0"/>
          <w:numId w:val="1"/>
        </w:numPr>
        <w:shd w:val="clear"/>
        <w:spacing w:line="240" w:lineRule="auto"/>
        <w:ind w:left="425" w:hanging="425"/>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综合考评分＜85分：第一次给予口头警告，协商处理；第二次将书面登记，并对该物品退货处理，并扣罚该该物品货款总价的30%；第三次甲方有权终止合同。</w:t>
      </w:r>
    </w:p>
    <w:p w14:paraId="7D778E1E">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4.1 解除后的过渡期义务</w:t>
      </w:r>
    </w:p>
    <w:p w14:paraId="77302AAD">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甲方依据本款解除合同的，乙方应在解除通知发出后30 日内配合甲方完成以下事项：</w:t>
      </w:r>
    </w:p>
    <w:p w14:paraId="3EE2227B">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（1）签订《过渡期供货及交接协议》，明确过渡期供货期限（具体时长由双方协商后，再在协议中以书面形式明确约定）、交接清单（含库存物资、供应商信息、质量文件等）；</w:t>
      </w:r>
    </w:p>
    <w:p w14:paraId="60AC5777">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（2）过渡期内按原合同标准继续供应紧急必需物资（如食品、日用品等），不得中断；</w:t>
      </w:r>
    </w:p>
    <w:p w14:paraId="06C2D75F">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（3）完成剩余货款结算、物资交接及资料移交（如供货台账、质检报告等）。</w:t>
      </w:r>
    </w:p>
    <w:p w14:paraId="33728277">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4.2 损失计算与赔偿</w:t>
      </w:r>
    </w:p>
    <w:p w14:paraId="72E4B7EA">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乙方应赔偿甲方因合同解除产生的全部实际损失，损失范围及计算方式如下：</w:t>
      </w:r>
    </w:p>
    <w:p w14:paraId="262CF453">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（1）重新采购差价：=（重新采购单价 - 原合同约定基准价）× 实际采购数量；</w:t>
      </w:r>
    </w:p>
    <w:p w14:paraId="219F78E1">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（2）紧急物资采购成本：指甲方因乙方突然停止供货产生的加急运输费、临时采购溢价等额外支出，以实际发生的合法票据为准；</w:t>
      </w:r>
    </w:p>
    <w:p w14:paraId="4624938C">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（3）服务对象生活保障临时支出：指甲方因乙方违约而解除合同导致物资短缺采取临时措施（如临时租赁、委托第三方应急供应）产生的合理支出，需提供支出凭证和合法票据；</w:t>
      </w:r>
    </w:p>
    <w:p w14:paraId="0DF8B449">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（4）举证责任：甲方应就损失金额提供合法有效的证据（如采购合同、发票、支付凭证等）；乙方对损失金额有异议的，应在收到损失清单后30日内提出书面异议并附证据，逾期未提出视为认可。</w:t>
      </w:r>
    </w:p>
    <w:p w14:paraId="2F9D6365">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4.3 赔偿支付方式</w:t>
      </w:r>
    </w:p>
    <w:p w14:paraId="7C7EEF98">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赔偿金额按以下顺序支付：</w:t>
      </w:r>
    </w:p>
    <w:p w14:paraId="1E564F43">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（1）优先从应付未付货款中扣除；</w:t>
      </w:r>
    </w:p>
    <w:p w14:paraId="12D87E13">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（2）应付货款不足的，从履约保证金中扣除；</w:t>
      </w:r>
    </w:p>
    <w:p w14:paraId="60F6F95E">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（3）仍不足的，乙方应在甲方发出《赔偿款支付通知》后5个工作日内补足。</w:t>
      </w:r>
    </w:p>
    <w:p w14:paraId="2A4199FF">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5.乙方如需在合同执行过程中终止合同，应提前一个月书面通知甲方，并获得甲方书面同意回复后方可终止。否则，视为乙方单方面终止执行合同，由此导致甲方受损的，乙方需承担全部责任，且履约保证金不予退还。</w:t>
      </w:r>
    </w:p>
    <w:p w14:paraId="6FB44A9B">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6.取消乙方供货资格，但合同其他条款（如保密、知识产权、争议解决等）仍然有效，直至合同约定期限届满或双方协商终止。</w:t>
      </w:r>
    </w:p>
    <w:p w14:paraId="7B7F41F6">
      <w:pPr>
        <w:pStyle w:val="99"/>
        <w:shd w:val="clear"/>
        <w:jc w:val="both"/>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 xml:space="preserve">第十一条 </w:t>
      </w:r>
      <w:r>
        <w:rPr>
          <w:rFonts w:hint="eastAsia" w:ascii="宋体" w:hAnsi="宋体" w:eastAsia="宋体" w:cs="宋体"/>
          <w:b/>
          <w:color w:val="auto"/>
          <w:sz w:val="21"/>
          <w:szCs w:val="21"/>
          <w:highlight w:val="none"/>
        </w:rPr>
        <w:t>商品供货清单（仅供参考）</w:t>
      </w:r>
    </w:p>
    <w:p w14:paraId="7758975B">
      <w:pPr>
        <w:pStyle w:val="99"/>
        <w:shd w:val="clear"/>
        <w:spacing w:line="240" w:lineRule="auto"/>
        <w:ind w:firstLine="420"/>
        <w:jc w:val="both"/>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甲方与乙方双方签订合同后一周内，协商确定商品供货清单。合同期间，因日用品及五金采购品类繁多，采购清单中不可能全部包含，在合同有效期内，供货清单可根据实际新增供货需求每月的第一周内更新一次。</w:t>
      </w:r>
    </w:p>
    <w:p w14:paraId="6464267C">
      <w:pPr>
        <w:pStyle w:val="99"/>
        <w:numPr>
          <w:ilvl w:val="0"/>
          <w:numId w:val="0"/>
        </w:numPr>
        <w:shd w:val="clear"/>
        <w:ind w:firstLine="422" w:firstLineChars="0"/>
        <w:jc w:val="both"/>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lang w:val="en-US" w:eastAsia="zh-CN"/>
        </w:rPr>
        <w:t>详见附件一《低值日杂品清单》</w:t>
      </w:r>
    </w:p>
    <w:p w14:paraId="5B811C00">
      <w:pPr>
        <w:pStyle w:val="99"/>
        <w:shd w:val="clea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注：</w:t>
      </w:r>
    </w:p>
    <w:p w14:paraId="411527AD">
      <w:pPr>
        <w:pStyle w:val="99"/>
        <w:shd w:val="clear"/>
        <w:ind w:firstLine="482"/>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以上供货清单仅反映</w:t>
      </w:r>
      <w:r>
        <w:rPr>
          <w:rFonts w:hint="eastAsia" w:ascii="宋体" w:hAnsi="宋体" w:eastAsia="宋体" w:cs="宋体"/>
          <w:b/>
          <w:color w:val="auto"/>
          <w:sz w:val="21"/>
          <w:szCs w:val="21"/>
          <w:highlight w:val="none"/>
          <w:lang w:eastAsia="zh-CN"/>
        </w:rPr>
        <w:t>甲方</w:t>
      </w:r>
      <w:r>
        <w:rPr>
          <w:rFonts w:hint="eastAsia" w:ascii="宋体" w:hAnsi="宋体" w:eastAsia="宋体" w:cs="宋体"/>
          <w:b/>
          <w:color w:val="auto"/>
          <w:sz w:val="21"/>
          <w:szCs w:val="21"/>
          <w:highlight w:val="none"/>
        </w:rPr>
        <w:t>的主要需求，并不代表</w:t>
      </w:r>
      <w:r>
        <w:rPr>
          <w:rFonts w:hint="eastAsia" w:ascii="宋体" w:hAnsi="宋体" w:eastAsia="宋体" w:cs="宋体"/>
          <w:b/>
          <w:color w:val="auto"/>
          <w:sz w:val="21"/>
          <w:szCs w:val="21"/>
          <w:highlight w:val="none"/>
          <w:lang w:eastAsia="zh-CN"/>
        </w:rPr>
        <w:t>乙方</w:t>
      </w:r>
      <w:r>
        <w:rPr>
          <w:rFonts w:hint="eastAsia" w:ascii="宋体" w:hAnsi="宋体" w:eastAsia="宋体" w:cs="宋体"/>
          <w:b/>
          <w:color w:val="auto"/>
          <w:sz w:val="21"/>
          <w:szCs w:val="21"/>
          <w:highlight w:val="none"/>
        </w:rPr>
        <w:t>的全部售出产品，</w:t>
      </w:r>
      <w:r>
        <w:rPr>
          <w:rFonts w:hint="eastAsia" w:ascii="宋体" w:hAnsi="宋体" w:eastAsia="宋体" w:cs="宋体"/>
          <w:b/>
          <w:color w:val="auto"/>
          <w:sz w:val="21"/>
          <w:szCs w:val="21"/>
          <w:highlight w:val="none"/>
          <w:lang w:eastAsia="zh-CN"/>
        </w:rPr>
        <w:t>乙方</w:t>
      </w:r>
      <w:r>
        <w:rPr>
          <w:rFonts w:hint="eastAsia" w:ascii="宋体" w:hAnsi="宋体" w:eastAsia="宋体" w:cs="宋体"/>
          <w:b/>
          <w:color w:val="auto"/>
          <w:sz w:val="21"/>
          <w:szCs w:val="21"/>
          <w:highlight w:val="none"/>
        </w:rPr>
        <w:t>承担的产品类别和总量以</w:t>
      </w:r>
      <w:r>
        <w:rPr>
          <w:rFonts w:hint="eastAsia" w:ascii="宋体" w:hAnsi="宋体" w:eastAsia="宋体" w:cs="宋体"/>
          <w:b/>
          <w:color w:val="auto"/>
          <w:sz w:val="21"/>
          <w:szCs w:val="21"/>
          <w:highlight w:val="none"/>
          <w:lang w:eastAsia="zh-CN"/>
        </w:rPr>
        <w:t>甲方</w:t>
      </w:r>
      <w:r>
        <w:rPr>
          <w:rFonts w:hint="eastAsia" w:ascii="宋体" w:hAnsi="宋体" w:eastAsia="宋体" w:cs="宋体"/>
          <w:b/>
          <w:color w:val="auto"/>
          <w:sz w:val="21"/>
          <w:szCs w:val="21"/>
          <w:highlight w:val="none"/>
        </w:rPr>
        <w:t>的实际供货通知为准。所有产品分批次供货，送货数量及时间由</w:t>
      </w:r>
      <w:r>
        <w:rPr>
          <w:rFonts w:hint="eastAsia" w:ascii="宋体" w:hAnsi="宋体" w:eastAsia="宋体" w:cs="宋体"/>
          <w:b/>
          <w:color w:val="auto"/>
          <w:sz w:val="21"/>
          <w:szCs w:val="21"/>
          <w:highlight w:val="none"/>
          <w:lang w:eastAsia="zh-CN"/>
        </w:rPr>
        <w:t>甲方</w:t>
      </w:r>
      <w:r>
        <w:rPr>
          <w:rFonts w:hint="eastAsia" w:ascii="宋体" w:hAnsi="宋体" w:eastAsia="宋体" w:cs="宋体"/>
          <w:b/>
          <w:color w:val="auto"/>
          <w:sz w:val="21"/>
          <w:szCs w:val="21"/>
          <w:highlight w:val="none"/>
        </w:rPr>
        <w:t>按需通知，</w:t>
      </w:r>
      <w:r>
        <w:rPr>
          <w:rFonts w:hint="eastAsia" w:ascii="宋体" w:hAnsi="宋体" w:eastAsia="宋体" w:cs="宋体"/>
          <w:b/>
          <w:color w:val="auto"/>
          <w:sz w:val="21"/>
          <w:szCs w:val="21"/>
          <w:highlight w:val="none"/>
          <w:lang w:eastAsia="zh-CN"/>
        </w:rPr>
        <w:t>乙方</w:t>
      </w:r>
      <w:r>
        <w:rPr>
          <w:rFonts w:hint="eastAsia" w:ascii="宋体" w:hAnsi="宋体" w:eastAsia="宋体" w:cs="宋体"/>
          <w:b/>
          <w:color w:val="auto"/>
          <w:sz w:val="21"/>
          <w:szCs w:val="21"/>
          <w:highlight w:val="none"/>
        </w:rPr>
        <w:t>则须按</w:t>
      </w:r>
      <w:r>
        <w:rPr>
          <w:rFonts w:hint="eastAsia" w:ascii="宋体" w:hAnsi="宋体" w:eastAsia="宋体" w:cs="宋体"/>
          <w:b/>
          <w:color w:val="auto"/>
          <w:sz w:val="21"/>
          <w:szCs w:val="21"/>
          <w:highlight w:val="none"/>
          <w:lang w:eastAsia="zh-CN"/>
        </w:rPr>
        <w:t>甲方</w:t>
      </w:r>
      <w:r>
        <w:rPr>
          <w:rFonts w:hint="eastAsia" w:ascii="宋体" w:hAnsi="宋体" w:eastAsia="宋体" w:cs="宋体"/>
          <w:b/>
          <w:color w:val="auto"/>
          <w:sz w:val="21"/>
          <w:szCs w:val="21"/>
          <w:highlight w:val="none"/>
        </w:rPr>
        <w:t>指定时间和地点送货。</w:t>
      </w:r>
    </w:p>
    <w:p w14:paraId="58AFA82F">
      <w:pPr>
        <w:pStyle w:val="99"/>
        <w:numPr>
          <w:ilvl w:val="0"/>
          <w:numId w:val="0"/>
        </w:numPr>
        <w:shd w:val="clear"/>
        <w:jc w:val="both"/>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 xml:space="preserve">第十二条 </w:t>
      </w:r>
      <w:r>
        <w:rPr>
          <w:rFonts w:hint="eastAsia" w:ascii="宋体" w:hAnsi="宋体" w:eastAsia="宋体" w:cs="宋体"/>
          <w:b/>
          <w:color w:val="auto"/>
          <w:sz w:val="21"/>
          <w:szCs w:val="21"/>
          <w:highlight w:val="none"/>
        </w:rPr>
        <w:t>项目验收标准</w:t>
      </w:r>
    </w:p>
    <w:p w14:paraId="00884518">
      <w:pPr>
        <w:pStyle w:val="99"/>
        <w:numPr>
          <w:ilvl w:val="0"/>
          <w:numId w:val="10"/>
        </w:numPr>
        <w:shd w:val="clear"/>
        <w:ind w:left="0" w:firstLine="420" w:firstLineChars="200"/>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由</w:t>
      </w:r>
      <w:r>
        <w:rPr>
          <w:rFonts w:hint="eastAsia" w:ascii="宋体" w:hAnsi="宋体" w:eastAsia="宋体" w:cs="宋体"/>
          <w:b w:val="0"/>
          <w:bCs/>
          <w:color w:val="auto"/>
          <w:sz w:val="21"/>
          <w:szCs w:val="21"/>
          <w:highlight w:val="none"/>
          <w:lang w:eastAsia="zh-CN"/>
        </w:rPr>
        <w:t>甲方</w:t>
      </w:r>
      <w:r>
        <w:rPr>
          <w:rFonts w:hint="eastAsia" w:ascii="宋体" w:hAnsi="宋体" w:eastAsia="宋体" w:cs="宋体"/>
          <w:b w:val="0"/>
          <w:bCs/>
          <w:color w:val="auto"/>
          <w:sz w:val="21"/>
          <w:szCs w:val="21"/>
          <w:highlight w:val="none"/>
        </w:rPr>
        <w:t>和</w:t>
      </w:r>
      <w:r>
        <w:rPr>
          <w:rFonts w:hint="eastAsia" w:ascii="宋体" w:hAnsi="宋体" w:eastAsia="宋体" w:cs="宋体"/>
          <w:b w:val="0"/>
          <w:bCs/>
          <w:color w:val="auto"/>
          <w:sz w:val="21"/>
          <w:szCs w:val="21"/>
          <w:highlight w:val="none"/>
          <w:lang w:eastAsia="zh-CN"/>
        </w:rPr>
        <w:t>乙方</w:t>
      </w:r>
      <w:r>
        <w:rPr>
          <w:rFonts w:hint="eastAsia" w:ascii="宋体" w:hAnsi="宋体" w:eastAsia="宋体" w:cs="宋体"/>
          <w:b w:val="0"/>
          <w:bCs/>
          <w:color w:val="auto"/>
          <w:sz w:val="21"/>
          <w:szCs w:val="21"/>
          <w:highlight w:val="none"/>
        </w:rPr>
        <w:t>共同对</w:t>
      </w:r>
      <w:r>
        <w:rPr>
          <w:rFonts w:hint="eastAsia" w:ascii="宋体" w:hAnsi="宋体" w:eastAsia="宋体" w:cs="宋体"/>
          <w:b w:val="0"/>
          <w:bCs/>
          <w:color w:val="auto"/>
          <w:sz w:val="21"/>
          <w:szCs w:val="21"/>
          <w:highlight w:val="none"/>
          <w:lang w:val="en-US" w:eastAsia="zh-CN"/>
        </w:rPr>
        <w:t>货</w:t>
      </w:r>
      <w:r>
        <w:rPr>
          <w:rFonts w:hint="eastAsia" w:ascii="宋体" w:hAnsi="宋体" w:eastAsia="宋体" w:cs="宋体"/>
          <w:b w:val="0"/>
          <w:bCs/>
          <w:color w:val="auto"/>
          <w:sz w:val="21"/>
          <w:szCs w:val="21"/>
          <w:highlight w:val="none"/>
        </w:rPr>
        <w:t>品进行验收，经双方在送货单上签名确认后方可通过。</w:t>
      </w:r>
    </w:p>
    <w:p w14:paraId="6BF4C1E8">
      <w:pPr>
        <w:pStyle w:val="99"/>
        <w:numPr>
          <w:ilvl w:val="0"/>
          <w:numId w:val="10"/>
        </w:numPr>
        <w:shd w:val="clear"/>
        <w:ind w:left="0" w:firstLine="420" w:firstLineChars="200"/>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履约验收时间：在每批次</w:t>
      </w:r>
      <w:r>
        <w:rPr>
          <w:rFonts w:hint="eastAsia" w:ascii="宋体" w:hAnsi="宋体" w:eastAsia="宋体" w:cs="宋体"/>
          <w:b w:val="0"/>
          <w:bCs/>
          <w:color w:val="auto"/>
          <w:sz w:val="21"/>
          <w:szCs w:val="21"/>
          <w:highlight w:val="none"/>
          <w:lang w:val="en-US" w:eastAsia="zh-CN"/>
        </w:rPr>
        <w:t>货</w:t>
      </w:r>
      <w:r>
        <w:rPr>
          <w:rFonts w:hint="eastAsia" w:ascii="宋体" w:hAnsi="宋体" w:eastAsia="宋体" w:cs="宋体"/>
          <w:b w:val="0"/>
          <w:bCs/>
          <w:color w:val="auto"/>
          <w:sz w:val="21"/>
          <w:szCs w:val="21"/>
          <w:highlight w:val="none"/>
        </w:rPr>
        <w:t>品配送至</w:t>
      </w:r>
      <w:r>
        <w:rPr>
          <w:rFonts w:hint="eastAsia" w:ascii="宋体" w:hAnsi="宋体" w:eastAsia="宋体" w:cs="宋体"/>
          <w:b w:val="0"/>
          <w:bCs/>
          <w:color w:val="auto"/>
          <w:sz w:val="21"/>
          <w:szCs w:val="21"/>
          <w:highlight w:val="none"/>
          <w:lang w:eastAsia="zh-CN"/>
        </w:rPr>
        <w:t>甲方</w:t>
      </w:r>
      <w:r>
        <w:rPr>
          <w:rFonts w:hint="eastAsia" w:ascii="宋体" w:hAnsi="宋体" w:eastAsia="宋体" w:cs="宋体"/>
          <w:b w:val="0"/>
          <w:bCs/>
          <w:color w:val="auto"/>
          <w:sz w:val="21"/>
          <w:szCs w:val="21"/>
          <w:highlight w:val="none"/>
        </w:rPr>
        <w:t>指定地点后，由</w:t>
      </w:r>
      <w:r>
        <w:rPr>
          <w:rFonts w:hint="eastAsia" w:ascii="宋体" w:hAnsi="宋体" w:eastAsia="宋体" w:cs="宋体"/>
          <w:b w:val="0"/>
          <w:bCs/>
          <w:color w:val="auto"/>
          <w:sz w:val="21"/>
          <w:szCs w:val="21"/>
          <w:highlight w:val="none"/>
          <w:lang w:eastAsia="zh-CN"/>
        </w:rPr>
        <w:t>甲方</w:t>
      </w:r>
      <w:r>
        <w:rPr>
          <w:rFonts w:hint="eastAsia" w:ascii="宋体" w:hAnsi="宋体" w:eastAsia="宋体" w:cs="宋体"/>
          <w:b w:val="0"/>
          <w:bCs/>
          <w:color w:val="auto"/>
          <w:sz w:val="21"/>
          <w:szCs w:val="21"/>
          <w:highlight w:val="none"/>
        </w:rPr>
        <w:t>对</w:t>
      </w:r>
      <w:r>
        <w:rPr>
          <w:rFonts w:hint="eastAsia" w:ascii="宋体" w:hAnsi="宋体" w:eastAsia="宋体" w:cs="宋体"/>
          <w:b w:val="0"/>
          <w:bCs/>
          <w:color w:val="auto"/>
          <w:sz w:val="21"/>
          <w:szCs w:val="21"/>
          <w:highlight w:val="none"/>
          <w:lang w:val="en-US" w:eastAsia="zh-CN"/>
        </w:rPr>
        <w:t>货品</w:t>
      </w:r>
      <w:r>
        <w:rPr>
          <w:rFonts w:hint="eastAsia" w:ascii="宋体" w:hAnsi="宋体" w:eastAsia="宋体" w:cs="宋体"/>
          <w:b w:val="0"/>
          <w:bCs/>
          <w:color w:val="auto"/>
          <w:sz w:val="21"/>
          <w:szCs w:val="21"/>
          <w:highlight w:val="none"/>
        </w:rPr>
        <w:t>进行验收。</w:t>
      </w:r>
    </w:p>
    <w:p w14:paraId="000D3208">
      <w:pPr>
        <w:pStyle w:val="99"/>
        <w:numPr>
          <w:ilvl w:val="0"/>
          <w:numId w:val="10"/>
        </w:numPr>
        <w:shd w:val="clear"/>
        <w:ind w:left="0" w:firstLine="420" w:firstLineChars="200"/>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履约验收标准：以招标文件要求的</w:t>
      </w:r>
      <w:r>
        <w:rPr>
          <w:rFonts w:hint="eastAsia" w:ascii="宋体" w:hAnsi="宋体" w:eastAsia="宋体" w:cs="宋体"/>
          <w:b w:val="0"/>
          <w:bCs/>
          <w:color w:val="auto"/>
          <w:sz w:val="21"/>
          <w:szCs w:val="21"/>
          <w:highlight w:val="none"/>
          <w:lang w:val="en-US" w:eastAsia="zh-CN"/>
        </w:rPr>
        <w:t>货品</w:t>
      </w:r>
      <w:r>
        <w:rPr>
          <w:rFonts w:hint="eastAsia" w:ascii="宋体" w:hAnsi="宋体" w:eastAsia="宋体" w:cs="宋体"/>
          <w:b w:val="0"/>
          <w:bCs/>
          <w:color w:val="auto"/>
          <w:sz w:val="21"/>
          <w:szCs w:val="21"/>
          <w:highlight w:val="none"/>
        </w:rPr>
        <w:t>质量标准、数量标准以及安全标准为标准。</w:t>
      </w:r>
    </w:p>
    <w:p w14:paraId="19A2130C">
      <w:pPr>
        <w:pStyle w:val="99"/>
        <w:numPr>
          <w:ilvl w:val="0"/>
          <w:numId w:val="10"/>
        </w:numPr>
        <w:shd w:val="clear"/>
        <w:ind w:left="0" w:firstLine="420" w:firstLineChars="200"/>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对验收不合格的部分，</w:t>
      </w:r>
      <w:r>
        <w:rPr>
          <w:rFonts w:hint="eastAsia" w:ascii="宋体" w:hAnsi="宋体" w:eastAsia="宋体" w:cs="宋体"/>
          <w:b w:val="0"/>
          <w:bCs/>
          <w:color w:val="auto"/>
          <w:sz w:val="21"/>
          <w:szCs w:val="21"/>
          <w:highlight w:val="none"/>
          <w:lang w:eastAsia="zh-CN"/>
        </w:rPr>
        <w:t>乙方</w:t>
      </w:r>
      <w:r>
        <w:rPr>
          <w:rFonts w:hint="eastAsia" w:ascii="宋体" w:hAnsi="宋体" w:eastAsia="宋体" w:cs="宋体"/>
          <w:b w:val="0"/>
          <w:bCs/>
          <w:color w:val="auto"/>
          <w:sz w:val="21"/>
          <w:szCs w:val="21"/>
          <w:highlight w:val="none"/>
        </w:rPr>
        <w:t>接到</w:t>
      </w:r>
      <w:r>
        <w:rPr>
          <w:rFonts w:hint="eastAsia" w:ascii="宋体" w:hAnsi="宋体" w:eastAsia="宋体" w:cs="宋体"/>
          <w:b w:val="0"/>
          <w:bCs/>
          <w:color w:val="auto"/>
          <w:sz w:val="21"/>
          <w:szCs w:val="21"/>
          <w:highlight w:val="none"/>
          <w:lang w:eastAsia="zh-CN"/>
        </w:rPr>
        <w:t>甲方</w:t>
      </w:r>
      <w:r>
        <w:rPr>
          <w:rFonts w:hint="eastAsia" w:ascii="宋体" w:hAnsi="宋体" w:eastAsia="宋体" w:cs="宋体"/>
          <w:b w:val="0"/>
          <w:bCs/>
          <w:color w:val="auto"/>
          <w:sz w:val="21"/>
          <w:szCs w:val="21"/>
          <w:highlight w:val="none"/>
        </w:rPr>
        <w:t>通知后，在</w:t>
      </w:r>
      <w:r>
        <w:rPr>
          <w:rFonts w:hint="eastAsia" w:ascii="宋体" w:hAnsi="宋体" w:eastAsia="宋体" w:cs="宋体"/>
          <w:b w:val="0"/>
          <w:bCs/>
          <w:color w:val="auto"/>
          <w:sz w:val="21"/>
          <w:szCs w:val="21"/>
          <w:highlight w:val="none"/>
          <w:lang w:eastAsia="zh-CN"/>
        </w:rPr>
        <w:t>甲方</w:t>
      </w:r>
      <w:r>
        <w:rPr>
          <w:rFonts w:hint="eastAsia" w:ascii="宋体" w:hAnsi="宋体" w:eastAsia="宋体" w:cs="宋体"/>
          <w:b w:val="0"/>
          <w:bCs/>
          <w:color w:val="auto"/>
          <w:sz w:val="21"/>
          <w:szCs w:val="21"/>
          <w:highlight w:val="none"/>
        </w:rPr>
        <w:t>指定的时间内到达现场，服务方式均为</w:t>
      </w:r>
      <w:r>
        <w:rPr>
          <w:rFonts w:hint="eastAsia" w:ascii="宋体" w:hAnsi="宋体" w:eastAsia="宋体" w:cs="宋体"/>
          <w:b w:val="0"/>
          <w:bCs/>
          <w:color w:val="auto"/>
          <w:sz w:val="21"/>
          <w:szCs w:val="21"/>
          <w:highlight w:val="none"/>
          <w:lang w:eastAsia="zh-CN"/>
        </w:rPr>
        <w:t>乙方</w:t>
      </w:r>
      <w:r>
        <w:rPr>
          <w:rFonts w:hint="eastAsia" w:ascii="宋体" w:hAnsi="宋体" w:eastAsia="宋体" w:cs="宋体"/>
          <w:b w:val="0"/>
          <w:bCs/>
          <w:color w:val="auto"/>
          <w:sz w:val="21"/>
          <w:szCs w:val="21"/>
          <w:highlight w:val="none"/>
        </w:rPr>
        <w:t>上门服务。非</w:t>
      </w:r>
      <w:r>
        <w:rPr>
          <w:rFonts w:hint="eastAsia" w:ascii="宋体" w:hAnsi="宋体" w:eastAsia="宋体" w:cs="宋体"/>
          <w:b w:val="0"/>
          <w:bCs/>
          <w:color w:val="auto"/>
          <w:sz w:val="21"/>
          <w:szCs w:val="21"/>
          <w:highlight w:val="none"/>
          <w:lang w:eastAsia="zh-CN"/>
        </w:rPr>
        <w:t>甲方</w:t>
      </w:r>
      <w:r>
        <w:rPr>
          <w:rFonts w:hint="eastAsia" w:ascii="宋体" w:hAnsi="宋体" w:eastAsia="宋体" w:cs="宋体"/>
          <w:b w:val="0"/>
          <w:bCs/>
          <w:color w:val="auto"/>
          <w:sz w:val="21"/>
          <w:szCs w:val="21"/>
          <w:highlight w:val="none"/>
        </w:rPr>
        <w:t>的人为原因而出现产品质量问题，由</w:t>
      </w:r>
      <w:r>
        <w:rPr>
          <w:rFonts w:hint="eastAsia" w:ascii="宋体" w:hAnsi="宋体" w:eastAsia="宋体" w:cs="宋体"/>
          <w:b w:val="0"/>
          <w:bCs/>
          <w:color w:val="auto"/>
          <w:sz w:val="21"/>
          <w:szCs w:val="21"/>
          <w:highlight w:val="none"/>
          <w:lang w:eastAsia="zh-CN"/>
        </w:rPr>
        <w:t>乙方</w:t>
      </w:r>
      <w:r>
        <w:rPr>
          <w:rFonts w:hint="eastAsia" w:ascii="宋体" w:hAnsi="宋体" w:eastAsia="宋体" w:cs="宋体"/>
          <w:b w:val="0"/>
          <w:bCs/>
          <w:color w:val="auto"/>
          <w:sz w:val="21"/>
          <w:szCs w:val="21"/>
          <w:highlight w:val="none"/>
        </w:rPr>
        <w:t>负责包换或包退，并承担上述情况产生的一切费用。</w:t>
      </w:r>
      <w:r>
        <w:rPr>
          <w:rFonts w:hint="eastAsia" w:ascii="宋体" w:hAnsi="宋体" w:eastAsia="宋体" w:cs="宋体"/>
          <w:b w:val="0"/>
          <w:bCs/>
          <w:color w:val="auto"/>
          <w:sz w:val="21"/>
          <w:szCs w:val="21"/>
          <w:highlight w:val="none"/>
          <w:lang w:eastAsia="zh-CN"/>
        </w:rPr>
        <w:t>甲方</w:t>
      </w:r>
      <w:r>
        <w:rPr>
          <w:rFonts w:hint="eastAsia" w:ascii="宋体" w:hAnsi="宋体" w:eastAsia="宋体" w:cs="宋体"/>
          <w:b w:val="0"/>
          <w:bCs/>
          <w:color w:val="auto"/>
          <w:sz w:val="21"/>
          <w:szCs w:val="21"/>
          <w:highlight w:val="none"/>
        </w:rPr>
        <w:t>验收仅限于对商品的外观或明显质量瑕疵（如：包装破损等）进行检验，验收合格并不免除</w:t>
      </w:r>
      <w:r>
        <w:rPr>
          <w:rFonts w:hint="eastAsia" w:ascii="宋体" w:hAnsi="宋体" w:eastAsia="宋体" w:cs="宋体"/>
          <w:b w:val="0"/>
          <w:bCs/>
          <w:color w:val="auto"/>
          <w:sz w:val="21"/>
          <w:szCs w:val="21"/>
          <w:highlight w:val="none"/>
          <w:lang w:eastAsia="zh-CN"/>
        </w:rPr>
        <w:t>乙方</w:t>
      </w:r>
      <w:r>
        <w:rPr>
          <w:rFonts w:hint="eastAsia" w:ascii="宋体" w:hAnsi="宋体" w:eastAsia="宋体" w:cs="宋体"/>
          <w:b w:val="0"/>
          <w:bCs/>
          <w:color w:val="auto"/>
          <w:sz w:val="21"/>
          <w:szCs w:val="21"/>
          <w:highlight w:val="none"/>
        </w:rPr>
        <w:t>对于合同标的所出现内在的、不容易发现的质量问题的免费承担退货、更换等相应责任。</w:t>
      </w:r>
    </w:p>
    <w:p w14:paraId="5EB568CA">
      <w:pPr>
        <w:pStyle w:val="99"/>
        <w:numPr>
          <w:ilvl w:val="0"/>
          <w:numId w:val="10"/>
        </w:numPr>
        <w:shd w:val="clear"/>
        <w:ind w:left="0" w:firstLine="420" w:firstLineChars="200"/>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如验收过程对</w:t>
      </w:r>
      <w:r>
        <w:rPr>
          <w:rFonts w:hint="eastAsia" w:ascii="宋体" w:hAnsi="宋体" w:eastAsia="宋体" w:cs="宋体"/>
          <w:b w:val="0"/>
          <w:bCs/>
          <w:color w:val="auto"/>
          <w:sz w:val="21"/>
          <w:szCs w:val="21"/>
          <w:highlight w:val="none"/>
          <w:lang w:val="en-US" w:eastAsia="zh-CN"/>
        </w:rPr>
        <w:t>货品</w:t>
      </w:r>
      <w:r>
        <w:rPr>
          <w:rFonts w:hint="eastAsia" w:ascii="宋体" w:hAnsi="宋体" w:eastAsia="宋体" w:cs="宋体"/>
          <w:b w:val="0"/>
          <w:bCs/>
          <w:color w:val="auto"/>
          <w:sz w:val="21"/>
          <w:szCs w:val="21"/>
          <w:highlight w:val="none"/>
        </w:rPr>
        <w:t>质量存在争议的，</w:t>
      </w:r>
      <w:r>
        <w:rPr>
          <w:rFonts w:hint="eastAsia" w:ascii="宋体" w:hAnsi="宋体" w:eastAsia="宋体" w:cs="宋体"/>
          <w:b w:val="0"/>
          <w:bCs/>
          <w:color w:val="auto"/>
          <w:sz w:val="21"/>
          <w:szCs w:val="21"/>
          <w:highlight w:val="none"/>
          <w:lang w:eastAsia="zh-CN"/>
        </w:rPr>
        <w:t>甲方</w:t>
      </w:r>
      <w:r>
        <w:rPr>
          <w:rFonts w:hint="eastAsia" w:ascii="宋体" w:hAnsi="宋体" w:eastAsia="宋体" w:cs="宋体"/>
          <w:b w:val="0"/>
          <w:bCs/>
          <w:color w:val="auto"/>
          <w:sz w:val="21"/>
          <w:szCs w:val="21"/>
          <w:highlight w:val="none"/>
        </w:rPr>
        <w:t>及</w:t>
      </w:r>
      <w:r>
        <w:rPr>
          <w:rFonts w:hint="eastAsia" w:ascii="宋体" w:hAnsi="宋体" w:eastAsia="宋体" w:cs="宋体"/>
          <w:b w:val="0"/>
          <w:bCs/>
          <w:color w:val="auto"/>
          <w:sz w:val="21"/>
          <w:szCs w:val="21"/>
          <w:highlight w:val="none"/>
          <w:lang w:eastAsia="zh-CN"/>
        </w:rPr>
        <w:t>乙方</w:t>
      </w:r>
      <w:r>
        <w:rPr>
          <w:rFonts w:hint="eastAsia" w:ascii="宋体" w:hAnsi="宋体" w:eastAsia="宋体" w:cs="宋体"/>
          <w:b w:val="0"/>
          <w:bCs/>
          <w:color w:val="auto"/>
          <w:sz w:val="21"/>
          <w:szCs w:val="21"/>
          <w:highlight w:val="none"/>
        </w:rPr>
        <w:t>双方可委托有资质的第三方检测机构对</w:t>
      </w:r>
      <w:r>
        <w:rPr>
          <w:rFonts w:hint="eastAsia" w:ascii="宋体" w:hAnsi="宋体" w:eastAsia="宋体" w:cs="宋体"/>
          <w:b w:val="0"/>
          <w:bCs/>
          <w:color w:val="auto"/>
          <w:sz w:val="21"/>
          <w:szCs w:val="21"/>
          <w:highlight w:val="none"/>
          <w:lang w:val="en-US" w:eastAsia="zh-CN"/>
        </w:rPr>
        <w:t>货品</w:t>
      </w:r>
      <w:r>
        <w:rPr>
          <w:rFonts w:hint="eastAsia" w:ascii="宋体" w:hAnsi="宋体" w:eastAsia="宋体" w:cs="宋体"/>
          <w:b w:val="0"/>
          <w:bCs/>
          <w:color w:val="auto"/>
          <w:sz w:val="21"/>
          <w:szCs w:val="21"/>
          <w:highlight w:val="none"/>
        </w:rPr>
        <w:t>进行检测，相关检测费用由</w:t>
      </w:r>
      <w:r>
        <w:rPr>
          <w:rFonts w:hint="eastAsia" w:ascii="宋体" w:hAnsi="宋体" w:eastAsia="宋体" w:cs="宋体"/>
          <w:b w:val="0"/>
          <w:bCs/>
          <w:color w:val="auto"/>
          <w:sz w:val="21"/>
          <w:szCs w:val="21"/>
          <w:highlight w:val="none"/>
          <w:lang w:eastAsia="zh-CN"/>
        </w:rPr>
        <w:t>乙方</w:t>
      </w:r>
      <w:r>
        <w:rPr>
          <w:rFonts w:hint="eastAsia" w:ascii="宋体" w:hAnsi="宋体" w:eastAsia="宋体" w:cs="宋体"/>
          <w:b w:val="0"/>
          <w:bCs/>
          <w:color w:val="auto"/>
          <w:sz w:val="21"/>
          <w:szCs w:val="21"/>
          <w:highlight w:val="none"/>
        </w:rPr>
        <w:t>承担。</w:t>
      </w:r>
    </w:p>
    <w:p w14:paraId="27FD5B78">
      <w:pPr>
        <w:pStyle w:val="99"/>
        <w:numPr>
          <w:ilvl w:val="0"/>
          <w:numId w:val="10"/>
        </w:numPr>
        <w:shd w:val="clear"/>
        <w:ind w:left="0" w:firstLine="420" w:firstLineChars="200"/>
        <w:jc w:val="both"/>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若任何一批合同标的数量、质量不符合以上验收要求的，</w:t>
      </w:r>
      <w:r>
        <w:rPr>
          <w:rFonts w:hint="eastAsia" w:ascii="宋体" w:hAnsi="宋体" w:eastAsia="宋体" w:cs="宋体"/>
          <w:b w:val="0"/>
          <w:bCs/>
          <w:color w:val="auto"/>
          <w:sz w:val="21"/>
          <w:szCs w:val="21"/>
          <w:highlight w:val="none"/>
          <w:lang w:eastAsia="zh-CN"/>
        </w:rPr>
        <w:t>甲方</w:t>
      </w:r>
      <w:r>
        <w:rPr>
          <w:rFonts w:hint="eastAsia" w:ascii="宋体" w:hAnsi="宋体" w:eastAsia="宋体" w:cs="宋体"/>
          <w:b w:val="0"/>
          <w:bCs/>
          <w:color w:val="auto"/>
          <w:sz w:val="21"/>
          <w:szCs w:val="21"/>
          <w:highlight w:val="none"/>
        </w:rPr>
        <w:t>有权随时退货，并拒绝验收。个别数量、质量、规格不符的合同标的，</w:t>
      </w:r>
      <w:r>
        <w:rPr>
          <w:rFonts w:hint="eastAsia" w:ascii="宋体" w:hAnsi="宋体" w:eastAsia="宋体" w:cs="宋体"/>
          <w:b w:val="0"/>
          <w:bCs/>
          <w:color w:val="auto"/>
          <w:sz w:val="21"/>
          <w:szCs w:val="21"/>
          <w:highlight w:val="none"/>
          <w:lang w:eastAsia="zh-CN"/>
        </w:rPr>
        <w:t>乙方</w:t>
      </w:r>
      <w:r>
        <w:rPr>
          <w:rFonts w:hint="eastAsia" w:ascii="宋体" w:hAnsi="宋体" w:eastAsia="宋体" w:cs="宋体"/>
          <w:b w:val="0"/>
          <w:bCs/>
          <w:color w:val="auto"/>
          <w:sz w:val="21"/>
          <w:szCs w:val="21"/>
          <w:highlight w:val="none"/>
        </w:rPr>
        <w:t>必须在</w:t>
      </w:r>
      <w:r>
        <w:rPr>
          <w:rFonts w:hint="eastAsia" w:ascii="宋体" w:hAnsi="宋体" w:eastAsia="宋体" w:cs="宋体"/>
          <w:b w:val="0"/>
          <w:bCs/>
          <w:color w:val="auto"/>
          <w:sz w:val="21"/>
          <w:szCs w:val="21"/>
          <w:highlight w:val="none"/>
          <w:lang w:eastAsia="zh-CN"/>
        </w:rPr>
        <w:t>甲方</w:t>
      </w:r>
      <w:r>
        <w:rPr>
          <w:rFonts w:hint="eastAsia" w:ascii="宋体" w:hAnsi="宋体" w:eastAsia="宋体" w:cs="宋体"/>
          <w:b w:val="0"/>
          <w:bCs/>
          <w:color w:val="auto"/>
          <w:sz w:val="21"/>
          <w:szCs w:val="21"/>
          <w:highlight w:val="none"/>
        </w:rPr>
        <w:t>要求退、换之日起 3 个工作日内退、换。</w:t>
      </w:r>
      <w:r>
        <w:rPr>
          <w:rFonts w:hint="eastAsia" w:ascii="宋体" w:hAnsi="宋体" w:eastAsia="宋体" w:cs="宋体"/>
          <w:b w:val="0"/>
          <w:bCs/>
          <w:color w:val="auto"/>
          <w:sz w:val="21"/>
          <w:szCs w:val="21"/>
          <w:highlight w:val="none"/>
          <w:lang w:eastAsia="zh-CN"/>
        </w:rPr>
        <w:t>甲方</w:t>
      </w:r>
      <w:r>
        <w:rPr>
          <w:rFonts w:hint="eastAsia" w:ascii="宋体" w:hAnsi="宋体" w:eastAsia="宋体" w:cs="宋体"/>
          <w:b w:val="0"/>
          <w:bCs/>
          <w:color w:val="auto"/>
          <w:sz w:val="21"/>
          <w:szCs w:val="21"/>
          <w:highlight w:val="none"/>
        </w:rPr>
        <w:t>要求退、换之日起，</w:t>
      </w:r>
      <w:r>
        <w:rPr>
          <w:rFonts w:hint="eastAsia" w:ascii="宋体" w:hAnsi="宋体" w:eastAsia="宋体" w:cs="宋体"/>
          <w:b w:val="0"/>
          <w:bCs/>
          <w:color w:val="auto"/>
          <w:sz w:val="21"/>
          <w:szCs w:val="21"/>
          <w:highlight w:val="none"/>
          <w:lang w:eastAsia="zh-CN"/>
        </w:rPr>
        <w:t>乙方</w:t>
      </w:r>
      <w:r>
        <w:rPr>
          <w:rFonts w:hint="eastAsia" w:ascii="宋体" w:hAnsi="宋体" w:eastAsia="宋体" w:cs="宋体"/>
          <w:b w:val="0"/>
          <w:bCs/>
          <w:color w:val="auto"/>
          <w:sz w:val="21"/>
          <w:szCs w:val="21"/>
          <w:highlight w:val="none"/>
        </w:rPr>
        <w:t>需承担合同标的的退、换运输费用，并且在</w:t>
      </w:r>
      <w:r>
        <w:rPr>
          <w:rFonts w:hint="eastAsia" w:ascii="宋体" w:hAnsi="宋体" w:eastAsia="宋体" w:cs="宋体"/>
          <w:b w:val="0"/>
          <w:bCs/>
          <w:color w:val="auto"/>
          <w:sz w:val="21"/>
          <w:szCs w:val="21"/>
          <w:highlight w:val="none"/>
          <w:lang w:eastAsia="zh-CN"/>
        </w:rPr>
        <w:t>甲方</w:t>
      </w:r>
      <w:r>
        <w:rPr>
          <w:rFonts w:hint="eastAsia" w:ascii="宋体" w:hAnsi="宋体" w:eastAsia="宋体" w:cs="宋体"/>
          <w:b w:val="0"/>
          <w:bCs/>
          <w:color w:val="auto"/>
          <w:sz w:val="21"/>
          <w:szCs w:val="21"/>
          <w:highlight w:val="none"/>
        </w:rPr>
        <w:t>指定时间内将合同标的从配送地点运离，否则</w:t>
      </w:r>
      <w:r>
        <w:rPr>
          <w:rFonts w:hint="eastAsia" w:ascii="宋体" w:hAnsi="宋体" w:eastAsia="宋体" w:cs="宋体"/>
          <w:b w:val="0"/>
          <w:bCs/>
          <w:color w:val="auto"/>
          <w:sz w:val="21"/>
          <w:szCs w:val="21"/>
          <w:highlight w:val="none"/>
          <w:lang w:eastAsia="zh-CN"/>
        </w:rPr>
        <w:t>乙方</w:t>
      </w:r>
      <w:r>
        <w:rPr>
          <w:rFonts w:hint="eastAsia" w:ascii="宋体" w:hAnsi="宋体" w:eastAsia="宋体" w:cs="宋体"/>
          <w:b w:val="0"/>
          <w:bCs/>
          <w:color w:val="auto"/>
          <w:sz w:val="21"/>
          <w:szCs w:val="21"/>
          <w:highlight w:val="none"/>
        </w:rPr>
        <w:t>将自行承担合同标的的损毁、灭失风险。</w:t>
      </w:r>
    </w:p>
    <w:p w14:paraId="2C899127">
      <w:pPr>
        <w:numPr>
          <w:ilvl w:val="0"/>
          <w:numId w:val="0"/>
        </w:numPr>
        <w:shd w:val="clear"/>
        <w:spacing w:line="360" w:lineRule="auto"/>
        <w:ind w:left="-2" w:leftChars="-1"/>
        <w:rPr>
          <w:rFonts w:hint="eastAsia" w:hAnsi="宋体" w:cs="宋体"/>
          <w:b/>
          <w:bCs/>
          <w:color w:val="auto"/>
          <w:sz w:val="21"/>
          <w:szCs w:val="21"/>
          <w:highlight w:val="none"/>
        </w:rPr>
      </w:pPr>
      <w:r>
        <w:rPr>
          <w:rFonts w:hint="eastAsia" w:ascii="Tahoma" w:hAnsi="宋体" w:eastAsia="宋体" w:cs="宋体"/>
          <w:b/>
          <w:bCs/>
          <w:color w:val="auto"/>
          <w:sz w:val="21"/>
          <w:szCs w:val="21"/>
          <w:highlight w:val="none"/>
          <w:lang w:val="en-US" w:eastAsia="zh-CN" w:bidi="ar-SA"/>
        </w:rPr>
        <w:t>第</w:t>
      </w:r>
      <w:r>
        <w:rPr>
          <w:rFonts w:hint="eastAsia" w:hAnsi="宋体" w:cs="宋体"/>
          <w:b/>
          <w:bCs/>
          <w:color w:val="auto"/>
          <w:sz w:val="21"/>
          <w:szCs w:val="21"/>
          <w:highlight w:val="none"/>
          <w:lang w:val="en-US" w:eastAsia="zh-CN" w:bidi="ar-SA"/>
        </w:rPr>
        <w:t>十三</w:t>
      </w:r>
      <w:r>
        <w:rPr>
          <w:rFonts w:hint="eastAsia" w:ascii="Tahoma" w:hAnsi="宋体" w:eastAsia="宋体" w:cs="宋体"/>
          <w:b/>
          <w:bCs/>
          <w:color w:val="auto"/>
          <w:sz w:val="21"/>
          <w:szCs w:val="21"/>
          <w:highlight w:val="none"/>
          <w:lang w:val="en-US" w:eastAsia="zh-CN" w:bidi="ar-SA"/>
        </w:rPr>
        <w:t>条</w:t>
      </w:r>
      <w:r>
        <w:rPr>
          <w:rFonts w:hint="eastAsia" w:hAnsi="宋体" w:cs="宋体"/>
          <w:b/>
          <w:bCs/>
          <w:color w:val="auto"/>
          <w:sz w:val="21"/>
          <w:szCs w:val="21"/>
          <w:highlight w:val="none"/>
          <w:lang w:val="en-US" w:eastAsia="zh-CN" w:bidi="ar-SA"/>
        </w:rPr>
        <w:t xml:space="preserve"> </w:t>
      </w:r>
      <w:r>
        <w:rPr>
          <w:rFonts w:hint="eastAsia" w:hAnsi="宋体" w:cs="宋体"/>
          <w:b/>
          <w:bCs/>
          <w:color w:val="auto"/>
          <w:sz w:val="21"/>
          <w:szCs w:val="21"/>
          <w:highlight w:val="none"/>
        </w:rPr>
        <w:t>售后服务</w:t>
      </w:r>
    </w:p>
    <w:p w14:paraId="1B41D0AE">
      <w:pPr>
        <w:shd w:val="clear"/>
        <w:spacing w:line="360" w:lineRule="auto"/>
        <w:ind w:firstLine="420" w:firstLineChars="200"/>
        <w:rPr>
          <w:rFonts w:hint="eastAsia" w:hAnsi="宋体" w:cs="宋体"/>
          <w:color w:val="auto"/>
          <w:sz w:val="21"/>
          <w:szCs w:val="21"/>
          <w:highlight w:val="none"/>
        </w:rPr>
      </w:pPr>
      <w:r>
        <w:rPr>
          <w:rFonts w:hint="eastAsia" w:hAnsi="宋体" w:cs="宋体"/>
          <w:color w:val="auto"/>
          <w:sz w:val="21"/>
          <w:szCs w:val="21"/>
          <w:highlight w:val="none"/>
        </w:rPr>
        <w:t>1.乙方为所供产品提供______年质保期，自产品验收合格之日起算。质保期内，如产品出现质量问题，乙方应免费更换全新合格产品，并承担由此产生的运输、安装等相关费用。</w:t>
      </w:r>
    </w:p>
    <w:p w14:paraId="5C722D35">
      <w:pPr>
        <w:numPr>
          <w:ilvl w:val="-1"/>
          <w:numId w:val="0"/>
        </w:numPr>
        <w:shd w:val="clear"/>
        <w:spacing w:line="360" w:lineRule="auto"/>
        <w:ind w:firstLine="420" w:firstLineChars="200"/>
        <w:rPr>
          <w:rFonts w:hint="eastAsia" w:hAnsi="宋体" w:cs="宋体"/>
          <w:color w:val="auto"/>
          <w:sz w:val="21"/>
          <w:szCs w:val="21"/>
          <w:highlight w:val="none"/>
        </w:rPr>
      </w:pPr>
      <w:r>
        <w:rPr>
          <w:rFonts w:hint="eastAsia" w:hAnsi="宋体" w:cs="宋体"/>
          <w:color w:val="auto"/>
          <w:sz w:val="21"/>
          <w:szCs w:val="21"/>
          <w:highlight w:val="none"/>
        </w:rPr>
        <w:t>2.乙方设立售后热线[</w:t>
      </w:r>
      <w:r>
        <w:rPr>
          <w:rFonts w:hint="eastAsia" w:hAnsi="宋体" w:cs="宋体"/>
          <w:color w:val="auto"/>
          <w:sz w:val="21"/>
          <w:szCs w:val="21"/>
          <w:highlight w:val="none"/>
          <w:u w:val="single"/>
        </w:rPr>
        <w:t>电话号码</w:t>
      </w:r>
      <w:r>
        <w:rPr>
          <w:rFonts w:hint="eastAsia" w:hAnsi="宋体" w:cs="宋体"/>
          <w:color w:val="auto"/>
          <w:sz w:val="21"/>
          <w:szCs w:val="21"/>
          <w:highlight w:val="none"/>
        </w:rPr>
        <w:t>]，在接到甲方售后诉求后，应于</w:t>
      </w:r>
      <w:r>
        <w:rPr>
          <w:rFonts w:hint="eastAsia" w:hAnsi="宋体" w:cs="宋体"/>
          <w:color w:val="auto"/>
          <w:sz w:val="21"/>
          <w:szCs w:val="21"/>
          <w:highlight w:val="none"/>
          <w:u w:val="single"/>
          <w:lang w:val="en-US" w:eastAsia="zh-CN"/>
        </w:rPr>
        <w:t>1</w:t>
      </w:r>
      <w:r>
        <w:rPr>
          <w:rFonts w:hint="eastAsia" w:hAnsi="宋体" w:cs="宋体"/>
          <w:color w:val="auto"/>
          <w:sz w:val="21"/>
          <w:szCs w:val="21"/>
          <w:highlight w:val="none"/>
        </w:rPr>
        <w:t>小时内做出响应，</w:t>
      </w:r>
      <w:r>
        <w:rPr>
          <w:rFonts w:hint="eastAsia" w:hAnsi="宋体" w:cs="宋体"/>
          <w:color w:val="auto"/>
          <w:sz w:val="21"/>
          <w:szCs w:val="21"/>
          <w:highlight w:val="none"/>
          <w:lang w:val="en-US" w:eastAsia="zh-CN"/>
        </w:rPr>
        <w:t>2</w:t>
      </w:r>
      <w:r>
        <w:rPr>
          <w:rFonts w:hint="eastAsia" w:hAnsi="宋体" w:cs="宋体"/>
          <w:color w:val="auto"/>
          <w:sz w:val="21"/>
          <w:szCs w:val="21"/>
          <w:highlight w:val="none"/>
        </w:rPr>
        <w:t>个工作日内安排专业人员上门解决问题。</w:t>
      </w:r>
    </w:p>
    <w:p w14:paraId="0B080F3A">
      <w:pPr>
        <w:keepNext w:val="0"/>
        <w:keepLines w:val="0"/>
        <w:pageBreakBefore w:val="0"/>
        <w:widowControl/>
        <w:shd w:val="clear"/>
        <w:kinsoku/>
        <w:wordWrap/>
        <w:overflowPunct/>
        <w:topLinePunct w:val="0"/>
        <w:autoSpaceDE/>
        <w:autoSpaceDN/>
        <w:bidi w:val="0"/>
        <w:adjustRightInd/>
        <w:snapToGrid/>
        <w:spacing w:beforeLines="-2147483648" w:afterLines="-2147483648" w:line="360" w:lineRule="auto"/>
        <w:ind w:left="-2" w:leftChars="-1" w:firstLine="0" w:firstLineChars="0"/>
        <w:textAlignment w:val="auto"/>
        <w:rPr>
          <w:rFonts w:hint="eastAsia" w:ascii="Tahoma" w:hAnsi="宋体" w:eastAsia="宋体" w:cs="宋体"/>
          <w:b/>
          <w:bCs/>
          <w:color w:val="auto"/>
          <w:sz w:val="21"/>
          <w:szCs w:val="21"/>
          <w:highlight w:val="none"/>
        </w:rPr>
      </w:pPr>
      <w:r>
        <w:rPr>
          <w:rFonts w:hint="eastAsia" w:ascii="Tahoma" w:hAnsi="宋体" w:eastAsia="宋体" w:cs="宋体"/>
          <w:b/>
          <w:bCs/>
          <w:color w:val="auto"/>
          <w:spacing w:val="0"/>
          <w:sz w:val="21"/>
          <w:szCs w:val="21"/>
          <w:highlight w:val="none"/>
        </w:rPr>
        <w:t>第十</w:t>
      </w:r>
      <w:r>
        <w:rPr>
          <w:rFonts w:hint="eastAsia" w:hAnsi="宋体" w:eastAsia="宋体" w:cs="宋体"/>
          <w:b/>
          <w:bCs/>
          <w:color w:val="auto"/>
          <w:spacing w:val="0"/>
          <w:sz w:val="21"/>
          <w:szCs w:val="21"/>
          <w:highlight w:val="none"/>
          <w:lang w:val="en-US" w:eastAsia="zh-CN"/>
        </w:rPr>
        <w:t>四</w:t>
      </w:r>
      <w:r>
        <w:rPr>
          <w:rFonts w:hint="eastAsia" w:ascii="Tahoma" w:hAnsi="宋体" w:eastAsia="宋体" w:cs="宋体"/>
          <w:b/>
          <w:bCs/>
          <w:color w:val="auto"/>
          <w:spacing w:val="0"/>
          <w:sz w:val="21"/>
          <w:szCs w:val="21"/>
          <w:highlight w:val="none"/>
        </w:rPr>
        <w:t>条  不可抗力</w:t>
      </w:r>
    </w:p>
    <w:p w14:paraId="3F7F6C7F">
      <w:pPr>
        <w:keepNext w:val="0"/>
        <w:keepLines w:val="0"/>
        <w:pageBreakBefore w:val="0"/>
        <w:widowControl/>
        <w:numPr>
          <w:ilvl w:val="0"/>
          <w:numId w:val="0"/>
        </w:numPr>
        <w:shd w:val="clear"/>
        <w:kinsoku/>
        <w:wordWrap/>
        <w:overflowPunct/>
        <w:topLinePunct w:val="0"/>
        <w:autoSpaceDE/>
        <w:autoSpaceDN/>
        <w:bidi w:val="0"/>
        <w:adjustRightInd/>
        <w:snapToGrid/>
        <w:spacing w:beforeLines="-2147483648" w:afterLines="-2147483648" w:line="360" w:lineRule="auto"/>
        <w:ind w:left="0" w:right="0" w:firstLine="420" w:firstLineChars="200"/>
        <w:textAlignment w:val="auto"/>
        <w:rPr>
          <w:rFonts w:hint="eastAsia" w:ascii="Tahoma" w:hAnsi="宋体" w:eastAsia="宋体" w:cs="宋体"/>
          <w:color w:val="auto"/>
          <w:spacing w:val="0"/>
          <w:sz w:val="21"/>
          <w:szCs w:val="21"/>
          <w:highlight w:val="none"/>
        </w:rPr>
      </w:pPr>
      <w:r>
        <w:rPr>
          <w:rFonts w:hint="eastAsia" w:ascii="Tahoma" w:hAnsi="宋体" w:eastAsia="宋体" w:cs="宋体"/>
          <w:color w:val="auto"/>
          <w:spacing w:val="0"/>
          <w:sz w:val="21"/>
          <w:szCs w:val="21"/>
          <w:highlight w:val="none"/>
        </w:rPr>
        <w:t>一、不可抗力事件是指合同双方在签署本合同时不能预见、不能避免并不能克服的客观情况。包括但不限于：地震、台风、水灾、火灾，以及政府行为、战争、瘟疫等。</w:t>
      </w:r>
    </w:p>
    <w:p w14:paraId="1FE12E2D">
      <w:pPr>
        <w:keepNext w:val="0"/>
        <w:keepLines w:val="0"/>
        <w:pageBreakBefore w:val="0"/>
        <w:widowControl/>
        <w:numPr>
          <w:ilvl w:val="0"/>
          <w:numId w:val="0"/>
        </w:numPr>
        <w:shd w:val="clear"/>
        <w:kinsoku/>
        <w:wordWrap/>
        <w:overflowPunct/>
        <w:topLinePunct w:val="0"/>
        <w:autoSpaceDE/>
        <w:autoSpaceDN/>
        <w:bidi w:val="0"/>
        <w:adjustRightInd/>
        <w:snapToGrid/>
        <w:spacing w:beforeLines="-2147483648" w:afterLines="-2147483648" w:line="360" w:lineRule="auto"/>
        <w:ind w:left="0" w:right="0" w:firstLine="420" w:firstLineChars="200"/>
        <w:textAlignment w:val="auto"/>
        <w:rPr>
          <w:rFonts w:hint="eastAsia" w:ascii="Tahoma" w:hAnsi="宋体" w:eastAsia="宋体" w:cs="宋体"/>
          <w:color w:val="auto"/>
          <w:spacing w:val="0"/>
          <w:sz w:val="21"/>
          <w:szCs w:val="21"/>
          <w:highlight w:val="none"/>
        </w:rPr>
      </w:pPr>
      <w:r>
        <w:rPr>
          <w:rFonts w:hint="eastAsia" w:ascii="Tahoma" w:hAnsi="宋体" w:eastAsia="宋体" w:cs="宋体"/>
          <w:color w:val="auto"/>
          <w:spacing w:val="0"/>
          <w:sz w:val="21"/>
          <w:szCs w:val="21"/>
          <w:highlight w:val="none"/>
        </w:rPr>
        <w:t>二、若任何一方因不可抗力事件不能履行本合同，应及时通知对方，并在不可抗力发生后【7】日内向对方提供有关不可抗力发生的有效证明。</w:t>
      </w:r>
    </w:p>
    <w:p w14:paraId="6909ADEC">
      <w:pPr>
        <w:keepNext w:val="0"/>
        <w:keepLines w:val="0"/>
        <w:pageBreakBefore w:val="0"/>
        <w:widowControl/>
        <w:numPr>
          <w:ilvl w:val="0"/>
          <w:numId w:val="0"/>
        </w:numPr>
        <w:shd w:val="clear"/>
        <w:kinsoku/>
        <w:wordWrap/>
        <w:overflowPunct/>
        <w:topLinePunct w:val="0"/>
        <w:autoSpaceDE/>
        <w:autoSpaceDN/>
        <w:bidi w:val="0"/>
        <w:adjustRightInd/>
        <w:snapToGrid/>
        <w:spacing w:beforeLines="-2147483648" w:afterLines="-2147483648" w:line="360" w:lineRule="auto"/>
        <w:ind w:left="0" w:right="0" w:firstLine="420" w:firstLineChars="200"/>
        <w:textAlignment w:val="auto"/>
        <w:rPr>
          <w:rFonts w:hint="eastAsia" w:ascii="Tahoma" w:hAnsi="宋体" w:eastAsia="宋体" w:cs="宋体"/>
          <w:color w:val="auto"/>
          <w:spacing w:val="0"/>
          <w:sz w:val="21"/>
          <w:szCs w:val="21"/>
          <w:highlight w:val="none"/>
        </w:rPr>
      </w:pPr>
      <w:r>
        <w:rPr>
          <w:rFonts w:hint="eastAsia" w:ascii="Tahoma" w:hAnsi="宋体" w:eastAsia="宋体" w:cs="宋体"/>
          <w:color w:val="auto"/>
          <w:spacing w:val="0"/>
          <w:sz w:val="21"/>
          <w:szCs w:val="21"/>
          <w:highlight w:val="none"/>
        </w:rPr>
        <w:t>三、受不可抗力事件影响的一方应迅速采取合理的措施，尽量减少因不可抗力事件给各方带来的损失。如果未能尽其努力采取积极的措施减少不可抗力事件的影响，则该方应承担由此而扩大的损失。</w:t>
      </w:r>
    </w:p>
    <w:p w14:paraId="77EEC0A8">
      <w:pPr>
        <w:keepNext w:val="0"/>
        <w:keepLines w:val="0"/>
        <w:pageBreakBefore w:val="0"/>
        <w:widowControl/>
        <w:numPr>
          <w:ilvl w:val="0"/>
          <w:numId w:val="0"/>
        </w:numPr>
        <w:shd w:val="clear"/>
        <w:kinsoku/>
        <w:wordWrap/>
        <w:overflowPunct/>
        <w:topLinePunct w:val="0"/>
        <w:autoSpaceDE/>
        <w:autoSpaceDN/>
        <w:bidi w:val="0"/>
        <w:adjustRightInd/>
        <w:snapToGrid/>
        <w:spacing w:beforeLines="-2147483648" w:afterLines="-2147483648" w:line="360" w:lineRule="auto"/>
        <w:ind w:left="0" w:right="0" w:firstLine="420" w:firstLineChars="200"/>
        <w:textAlignment w:val="auto"/>
        <w:rPr>
          <w:rFonts w:hint="eastAsia" w:ascii="Tahoma" w:hAnsi="宋体" w:eastAsia="宋体" w:cs="宋体"/>
          <w:color w:val="auto"/>
          <w:spacing w:val="0"/>
          <w:sz w:val="21"/>
          <w:szCs w:val="21"/>
          <w:highlight w:val="none"/>
        </w:rPr>
      </w:pPr>
      <w:r>
        <w:rPr>
          <w:rFonts w:hint="eastAsia" w:ascii="Tahoma" w:hAnsi="宋体" w:eastAsia="宋体" w:cs="宋体"/>
          <w:color w:val="auto"/>
          <w:spacing w:val="0"/>
          <w:sz w:val="21"/>
          <w:szCs w:val="21"/>
          <w:highlight w:val="none"/>
        </w:rPr>
        <w:t>四、如果发生影响履行本合同的不可抗力事件，则双方应及时协商制定并实施补救计划和合理的替代措施，减少或消除不可抗力事件的影响。</w:t>
      </w:r>
    </w:p>
    <w:p w14:paraId="74D6BFEB">
      <w:pPr>
        <w:keepNext w:val="0"/>
        <w:keepLines w:val="0"/>
        <w:pageBreakBefore w:val="0"/>
        <w:widowControl/>
        <w:numPr>
          <w:ilvl w:val="0"/>
          <w:numId w:val="0"/>
        </w:numPr>
        <w:shd w:val="clear"/>
        <w:kinsoku/>
        <w:wordWrap/>
        <w:overflowPunct/>
        <w:topLinePunct w:val="0"/>
        <w:autoSpaceDE/>
        <w:autoSpaceDN/>
        <w:bidi w:val="0"/>
        <w:adjustRightInd/>
        <w:snapToGrid/>
        <w:spacing w:beforeLines="-2147483648" w:afterLines="-2147483648" w:line="360" w:lineRule="auto"/>
        <w:ind w:left="0" w:right="0" w:firstLine="420" w:firstLineChars="200"/>
        <w:textAlignment w:val="auto"/>
        <w:rPr>
          <w:rFonts w:hint="eastAsia" w:ascii="Tahoma" w:hAnsi="宋体" w:eastAsia="宋体" w:cs="宋体"/>
          <w:color w:val="auto"/>
          <w:sz w:val="21"/>
          <w:szCs w:val="21"/>
          <w:highlight w:val="none"/>
        </w:rPr>
      </w:pPr>
      <w:r>
        <w:rPr>
          <w:rFonts w:hint="eastAsia" w:ascii="Tahoma" w:hAnsi="宋体" w:eastAsia="宋体" w:cs="宋体"/>
          <w:color w:val="auto"/>
          <w:spacing w:val="0"/>
          <w:sz w:val="21"/>
          <w:szCs w:val="21"/>
          <w:highlight w:val="none"/>
        </w:rPr>
        <w:t>五、不可抗力影响合同履行超过【30】天的，双方均有权解除合同，由此产生的损失由双方平均分担。</w:t>
      </w:r>
    </w:p>
    <w:p w14:paraId="76B71B13">
      <w:pPr>
        <w:shd w:val="clear"/>
        <w:spacing w:line="360" w:lineRule="auto"/>
        <w:ind w:left="-2" w:leftChars="-1"/>
        <w:rPr>
          <w:rFonts w:hint="eastAsia" w:hAnsi="宋体" w:cs="宋体"/>
          <w:b/>
          <w:bCs/>
          <w:color w:val="auto"/>
          <w:sz w:val="21"/>
          <w:szCs w:val="21"/>
          <w:highlight w:val="none"/>
        </w:rPr>
      </w:pPr>
      <w:r>
        <w:rPr>
          <w:rFonts w:hint="eastAsia" w:hAnsi="宋体" w:cs="宋体"/>
          <w:b/>
          <w:bCs/>
          <w:color w:val="auto"/>
          <w:sz w:val="21"/>
          <w:szCs w:val="21"/>
          <w:highlight w:val="none"/>
        </w:rPr>
        <w:t>第</w:t>
      </w:r>
      <w:r>
        <w:rPr>
          <w:rFonts w:hint="eastAsia" w:hAnsi="宋体" w:cs="宋体"/>
          <w:b/>
          <w:bCs/>
          <w:color w:val="auto"/>
          <w:sz w:val="21"/>
          <w:szCs w:val="21"/>
          <w:highlight w:val="none"/>
          <w:lang w:val="en-US" w:eastAsia="zh-CN"/>
        </w:rPr>
        <w:t>十五</w:t>
      </w:r>
      <w:r>
        <w:rPr>
          <w:rFonts w:hint="eastAsia" w:hAnsi="宋体" w:cs="宋体"/>
          <w:b/>
          <w:bCs/>
          <w:color w:val="auto"/>
          <w:sz w:val="21"/>
          <w:szCs w:val="21"/>
          <w:highlight w:val="none"/>
        </w:rPr>
        <w:t>条</w:t>
      </w:r>
      <w:r>
        <w:rPr>
          <w:rFonts w:hint="eastAsia" w:hAnsi="宋体" w:cs="宋体"/>
          <w:b/>
          <w:bCs/>
          <w:color w:val="auto"/>
          <w:sz w:val="21"/>
          <w:szCs w:val="21"/>
          <w:highlight w:val="none"/>
          <w:lang w:val="en-US" w:eastAsia="zh-CN"/>
        </w:rPr>
        <w:t xml:space="preserve"> </w:t>
      </w:r>
      <w:r>
        <w:rPr>
          <w:rFonts w:hint="eastAsia" w:hAnsi="宋体" w:cs="宋体"/>
          <w:b/>
          <w:bCs/>
          <w:color w:val="auto"/>
          <w:sz w:val="21"/>
          <w:szCs w:val="21"/>
          <w:highlight w:val="none"/>
        </w:rPr>
        <w:t>争议解决</w:t>
      </w:r>
    </w:p>
    <w:p w14:paraId="07492EE1">
      <w:pPr>
        <w:numPr>
          <w:ilvl w:val="-1"/>
          <w:numId w:val="0"/>
        </w:numPr>
        <w:shd w:val="clear"/>
        <w:spacing w:line="360" w:lineRule="auto"/>
        <w:ind w:firstLine="420" w:firstLineChars="200"/>
        <w:rPr>
          <w:rFonts w:hint="eastAsia" w:hAnsi="宋体" w:cs="宋体"/>
          <w:color w:val="auto"/>
          <w:sz w:val="21"/>
          <w:szCs w:val="21"/>
          <w:highlight w:val="none"/>
        </w:rPr>
      </w:pPr>
      <w:r>
        <w:rPr>
          <w:rFonts w:hint="eastAsia" w:hAnsi="宋体" w:cs="宋体"/>
          <w:color w:val="auto"/>
          <w:sz w:val="21"/>
          <w:szCs w:val="21"/>
          <w:highlight w:val="none"/>
        </w:rPr>
        <w:t>本合同履行过程中如发生争议，双方应首先友好协商解决；协商不成的，任何一方均有权向合同签订地有管辖权的人民法院提起诉讼。</w:t>
      </w:r>
    </w:p>
    <w:p w14:paraId="54BC6246">
      <w:pPr>
        <w:numPr>
          <w:ilvl w:val="0"/>
          <w:numId w:val="0"/>
        </w:numPr>
        <w:shd w:val="clear"/>
        <w:spacing w:line="360" w:lineRule="auto"/>
        <w:ind w:left="-2" w:leftChars="-1"/>
        <w:rPr>
          <w:rFonts w:hint="eastAsia" w:hAnsi="宋体" w:cs="宋体"/>
          <w:b/>
          <w:bCs/>
          <w:color w:val="auto"/>
          <w:sz w:val="21"/>
          <w:szCs w:val="21"/>
          <w:highlight w:val="none"/>
          <w:lang w:val="en-US" w:eastAsia="zh-CN"/>
        </w:rPr>
      </w:pPr>
      <w:r>
        <w:rPr>
          <w:rFonts w:hint="eastAsia" w:ascii="Tahoma" w:hAnsi="宋体" w:eastAsia="宋体" w:cs="宋体"/>
          <w:b/>
          <w:bCs/>
          <w:color w:val="auto"/>
          <w:sz w:val="21"/>
          <w:szCs w:val="21"/>
          <w:highlight w:val="none"/>
          <w:lang w:val="en-US" w:eastAsia="zh-CN" w:bidi="ar-SA"/>
        </w:rPr>
        <w:t>第</w:t>
      </w:r>
      <w:r>
        <w:rPr>
          <w:rFonts w:hint="eastAsia" w:hAnsi="宋体" w:cs="宋体"/>
          <w:b/>
          <w:bCs/>
          <w:color w:val="auto"/>
          <w:sz w:val="21"/>
          <w:szCs w:val="21"/>
          <w:highlight w:val="none"/>
          <w:lang w:val="en-US" w:eastAsia="zh-CN" w:bidi="ar-SA"/>
        </w:rPr>
        <w:t>十六</w:t>
      </w:r>
      <w:r>
        <w:rPr>
          <w:rFonts w:hint="eastAsia" w:ascii="Tahoma" w:hAnsi="宋体" w:eastAsia="宋体" w:cs="宋体"/>
          <w:b/>
          <w:bCs/>
          <w:color w:val="auto"/>
          <w:sz w:val="21"/>
          <w:szCs w:val="21"/>
          <w:highlight w:val="none"/>
          <w:lang w:val="en-US" w:eastAsia="zh-CN" w:bidi="ar-SA"/>
        </w:rPr>
        <w:t>条</w:t>
      </w:r>
      <w:r>
        <w:rPr>
          <w:rFonts w:hint="eastAsia" w:hAnsi="宋体" w:cs="宋体"/>
          <w:b/>
          <w:bCs/>
          <w:color w:val="auto"/>
          <w:sz w:val="21"/>
          <w:szCs w:val="21"/>
          <w:highlight w:val="none"/>
          <w:lang w:val="en-US" w:eastAsia="zh-CN" w:bidi="ar-SA"/>
        </w:rPr>
        <w:t xml:space="preserve"> </w:t>
      </w:r>
      <w:r>
        <w:rPr>
          <w:rFonts w:hint="eastAsia" w:hAnsi="宋体" w:cs="宋体"/>
          <w:b/>
          <w:bCs/>
          <w:color w:val="auto"/>
          <w:sz w:val="21"/>
          <w:szCs w:val="21"/>
          <w:highlight w:val="none"/>
          <w:lang w:val="en-US" w:eastAsia="zh-CN"/>
        </w:rPr>
        <w:t>其他条款</w:t>
      </w:r>
    </w:p>
    <w:p w14:paraId="12519793">
      <w:pPr>
        <w:numPr>
          <w:ilvl w:val="-1"/>
          <w:numId w:val="0"/>
        </w:numPr>
        <w:shd w:val="clear"/>
        <w:adjustRightInd/>
        <w:snapToGrid/>
        <w:spacing w:line="360" w:lineRule="auto"/>
        <w:ind w:firstLine="420" w:firstLineChars="200"/>
        <w:rPr>
          <w:rFonts w:hint="eastAsia" w:hAnsi="宋体" w:cs="宋体"/>
          <w:b w:val="0"/>
          <w:color w:val="auto"/>
          <w:sz w:val="21"/>
          <w:szCs w:val="21"/>
          <w:highlight w:val="none"/>
          <w:lang w:val="en-US" w:eastAsia="zh-CN"/>
        </w:rPr>
      </w:pPr>
      <w:r>
        <w:rPr>
          <w:rFonts w:hint="eastAsia" w:hAnsi="宋体" w:cs="宋体"/>
          <w:b w:val="0"/>
          <w:color w:val="auto"/>
          <w:sz w:val="21"/>
          <w:szCs w:val="21"/>
          <w:highlight w:val="none"/>
          <w:lang w:val="en-US" w:eastAsia="zh-CN"/>
        </w:rPr>
        <w:t>1.本合同自双方签字（或盖章）之日起生效，一式四份，甲乙双方各执两份，具有同等法律效力。</w:t>
      </w:r>
    </w:p>
    <w:p w14:paraId="73B0391D">
      <w:pPr>
        <w:numPr>
          <w:ilvl w:val="-1"/>
          <w:numId w:val="0"/>
        </w:numPr>
        <w:shd w:val="clear"/>
        <w:adjustRightInd/>
        <w:snapToGrid/>
        <w:spacing w:line="360" w:lineRule="auto"/>
        <w:ind w:firstLine="420" w:firstLineChars="200"/>
        <w:rPr>
          <w:rFonts w:hint="eastAsia" w:hAnsi="宋体" w:cs="宋体"/>
          <w:b w:val="0"/>
          <w:color w:val="auto"/>
          <w:sz w:val="21"/>
          <w:szCs w:val="21"/>
          <w:highlight w:val="none"/>
          <w:lang w:val="en-US" w:eastAsia="zh-CN"/>
        </w:rPr>
      </w:pPr>
      <w:r>
        <w:rPr>
          <w:rFonts w:hint="eastAsia" w:hAnsi="宋体" w:cs="宋体"/>
          <w:b w:val="0"/>
          <w:color w:val="auto"/>
          <w:sz w:val="21"/>
          <w:szCs w:val="21"/>
          <w:highlight w:val="none"/>
          <w:lang w:val="en-US" w:eastAsia="zh-CN"/>
        </w:rPr>
        <w:t>2.本合同未尽事宜，双方可另行签订补充协议，补充协议与本合同具有同等效力。</w:t>
      </w:r>
    </w:p>
    <w:p w14:paraId="7AD40FFD">
      <w:pPr>
        <w:shd w:val="clear"/>
        <w:spacing w:line="360" w:lineRule="auto"/>
        <w:ind w:firstLine="420" w:firstLineChars="200"/>
        <w:rPr>
          <w:rFonts w:hint="eastAsia" w:hAnsi="宋体" w:cs="宋体"/>
          <w:color w:val="auto"/>
          <w:sz w:val="21"/>
          <w:szCs w:val="21"/>
          <w:highlight w:val="none"/>
        </w:rPr>
      </w:pPr>
      <w:r>
        <w:rPr>
          <w:rFonts w:hint="eastAsia" w:hAnsi="宋体" w:cs="宋体"/>
          <w:color w:val="auto"/>
          <w:sz w:val="21"/>
          <w:szCs w:val="21"/>
          <w:highlight w:val="none"/>
        </w:rPr>
        <w:t>甲方（盖章）：__________________</w:t>
      </w:r>
    </w:p>
    <w:p w14:paraId="44FFB06B">
      <w:pPr>
        <w:shd w:val="clear"/>
        <w:spacing w:line="360" w:lineRule="auto"/>
        <w:ind w:firstLine="420" w:firstLineChars="200"/>
        <w:rPr>
          <w:rFonts w:hint="eastAsia" w:hAnsi="宋体" w:cs="宋体"/>
          <w:color w:val="auto"/>
          <w:sz w:val="21"/>
          <w:szCs w:val="21"/>
          <w:highlight w:val="none"/>
        </w:rPr>
      </w:pPr>
      <w:r>
        <w:rPr>
          <w:rFonts w:hint="eastAsia" w:hAnsi="宋体" w:cs="宋体"/>
          <w:color w:val="auto"/>
          <w:sz w:val="21"/>
          <w:szCs w:val="21"/>
          <w:highlight w:val="none"/>
        </w:rPr>
        <w:t>法定代表人或授权代表（签字）：______</w:t>
      </w:r>
    </w:p>
    <w:p w14:paraId="60810FA8">
      <w:pPr>
        <w:shd w:val="clear"/>
        <w:spacing w:line="360" w:lineRule="auto"/>
        <w:ind w:firstLine="420" w:firstLineChars="200"/>
        <w:rPr>
          <w:rFonts w:hAnsi="宋体" w:cs="宋体"/>
          <w:color w:val="auto"/>
          <w:sz w:val="21"/>
          <w:szCs w:val="21"/>
          <w:highlight w:val="none"/>
        </w:rPr>
      </w:pPr>
      <w:r>
        <w:rPr>
          <w:rFonts w:hint="eastAsia" w:hAnsi="宋体" w:cs="宋体"/>
          <w:color w:val="auto"/>
          <w:sz w:val="21"/>
          <w:szCs w:val="21"/>
          <w:highlight w:val="none"/>
        </w:rPr>
        <w:t>签订日期：______年____月____日</w:t>
      </w:r>
    </w:p>
    <w:p w14:paraId="2944727B">
      <w:pPr>
        <w:shd w:val="clear"/>
        <w:spacing w:line="360" w:lineRule="auto"/>
        <w:ind w:left="4513" w:leftChars="199" w:hanging="4095" w:hangingChars="1950"/>
        <w:rPr>
          <w:rFonts w:hint="eastAsia" w:hAnsi="宋体" w:eastAsia="宋体" w:cs="宋体"/>
          <w:color w:val="auto"/>
          <w:sz w:val="21"/>
          <w:szCs w:val="21"/>
          <w:highlight w:val="none"/>
        </w:rPr>
      </w:pPr>
      <w:r>
        <w:rPr>
          <w:rFonts w:hint="eastAsia" w:hAnsi="宋体" w:eastAsia="宋体" w:cs="宋体"/>
          <w:color w:val="auto"/>
          <w:sz w:val="21"/>
          <w:szCs w:val="21"/>
          <w:highlight w:val="none"/>
        </w:rPr>
        <w:t>乙方（盖章）：__________________</w:t>
      </w:r>
    </w:p>
    <w:p w14:paraId="3C0F0890">
      <w:pPr>
        <w:shd w:val="clear"/>
        <w:spacing w:line="360" w:lineRule="auto"/>
        <w:ind w:left="4513" w:leftChars="199" w:hanging="4095" w:hangingChars="1950"/>
        <w:rPr>
          <w:rFonts w:hint="eastAsia" w:hAnsi="宋体" w:eastAsia="宋体" w:cs="宋体"/>
          <w:color w:val="auto"/>
          <w:sz w:val="21"/>
          <w:szCs w:val="21"/>
          <w:highlight w:val="none"/>
        </w:rPr>
      </w:pPr>
      <w:r>
        <w:rPr>
          <w:rFonts w:hint="eastAsia" w:hAnsi="宋体" w:eastAsia="宋体" w:cs="宋体"/>
          <w:color w:val="auto"/>
          <w:sz w:val="21"/>
          <w:szCs w:val="21"/>
          <w:highlight w:val="none"/>
        </w:rPr>
        <w:t>法定代表人或授权代表（签字）：______</w:t>
      </w:r>
    </w:p>
    <w:p w14:paraId="3E7E3DA7">
      <w:pPr>
        <w:shd w:val="clear"/>
        <w:ind w:firstLine="420" w:firstLineChars="200"/>
        <w:rPr>
          <w:rFonts w:hint="eastAsia" w:hAnsi="宋体"/>
          <w:color w:val="auto"/>
          <w:highlight w:val="none"/>
        </w:rPr>
      </w:pPr>
      <w:r>
        <w:rPr>
          <w:rFonts w:hint="eastAsia" w:hAnsi="宋体" w:eastAsia="宋体" w:cs="宋体"/>
          <w:color w:val="auto"/>
          <w:sz w:val="21"/>
          <w:szCs w:val="21"/>
          <w:highlight w:val="none"/>
        </w:rPr>
        <w:t>签订日期：______年____月____日</w:t>
      </w:r>
    </w:p>
    <w:p w14:paraId="62F5E497">
      <w:pPr>
        <w:shd w:val="clear"/>
        <w:rPr>
          <w:rFonts w:hint="eastAsia" w:ascii="宋体" w:hAnsi="宋体" w:eastAsia="宋体" w:cs="宋体"/>
          <w:color w:val="auto"/>
          <w:sz w:val="28"/>
          <w:szCs w:val="28"/>
          <w:highlight w:val="none"/>
        </w:rPr>
      </w:pPr>
      <w:bookmarkStart w:id="491" w:name="_Toc17124"/>
      <w:r>
        <w:rPr>
          <w:rFonts w:hint="eastAsia" w:ascii="宋体" w:hAnsi="宋体" w:eastAsia="宋体" w:cs="宋体"/>
          <w:color w:val="auto"/>
          <w:sz w:val="28"/>
          <w:szCs w:val="28"/>
          <w:highlight w:val="none"/>
        </w:rPr>
        <w:br w:type="page"/>
      </w:r>
    </w:p>
    <w:p w14:paraId="38E93A0F">
      <w:pPr>
        <w:pStyle w:val="3"/>
        <w:shd w:val="clear"/>
        <w:spacing w:before="0" w:after="0" w:line="240" w:lineRule="auto"/>
        <w:rPr>
          <w:rFonts w:hint="eastAsia" w:ascii="宋体" w:hAnsi="宋体" w:eastAsia="宋体" w:cs="宋体"/>
          <w:color w:val="auto"/>
          <w:sz w:val="28"/>
          <w:szCs w:val="28"/>
          <w:highlight w:val="none"/>
        </w:rPr>
      </w:pPr>
      <w:bookmarkStart w:id="492" w:name="_Toc31249"/>
      <w:bookmarkStart w:id="493" w:name="_Toc7239"/>
      <w:bookmarkStart w:id="494" w:name="_Toc25116"/>
      <w:bookmarkStart w:id="495" w:name="_Toc652"/>
      <w:bookmarkStart w:id="496" w:name="_Toc2592"/>
      <w:bookmarkStart w:id="497" w:name="_Toc8263"/>
      <w:bookmarkStart w:id="498" w:name="_Toc30574"/>
      <w:r>
        <w:rPr>
          <w:rFonts w:hint="eastAsia" w:ascii="宋体" w:hAnsi="宋体" w:eastAsia="宋体" w:cs="宋体"/>
          <w:color w:val="auto"/>
          <w:sz w:val="28"/>
          <w:szCs w:val="28"/>
          <w:highlight w:val="none"/>
        </w:rPr>
        <w:t>第六部分附件－投标文件格式</w:t>
      </w:r>
      <w:bookmarkEnd w:id="491"/>
      <w:bookmarkEnd w:id="492"/>
      <w:bookmarkEnd w:id="493"/>
      <w:bookmarkEnd w:id="494"/>
      <w:bookmarkEnd w:id="495"/>
      <w:bookmarkEnd w:id="496"/>
      <w:bookmarkEnd w:id="497"/>
      <w:bookmarkEnd w:id="498"/>
    </w:p>
    <w:p w14:paraId="7214571E">
      <w:pPr>
        <w:shd w:val="clear"/>
        <w:rPr>
          <w:rFonts w:hint="eastAsia" w:ascii="宋体" w:hAnsi="宋体" w:eastAsia="宋体" w:cs="宋体"/>
          <w:color w:val="auto"/>
          <w:highlight w:val="none"/>
        </w:rPr>
      </w:pPr>
    </w:p>
    <w:p w14:paraId="4201930A">
      <w:pPr>
        <w:pStyle w:val="5"/>
        <w:widowControl w:val="0"/>
        <w:shd w:val="clear"/>
        <w:overflowPunct w:val="0"/>
        <w:spacing w:line="240" w:lineRule="auto"/>
        <w:rPr>
          <w:rFonts w:hint="eastAsia" w:ascii="宋体" w:hAnsi="宋体" w:eastAsia="宋体" w:cs="宋体"/>
          <w:color w:val="auto"/>
          <w:sz w:val="21"/>
          <w:szCs w:val="21"/>
          <w:highlight w:val="none"/>
        </w:rPr>
      </w:pPr>
      <w:bookmarkStart w:id="499" w:name="_Toc23427"/>
      <w:bookmarkStart w:id="500" w:name="_Toc14212"/>
      <w:bookmarkStart w:id="501" w:name="_Toc25786"/>
      <w:bookmarkStart w:id="502" w:name="_Toc8327"/>
      <w:bookmarkStart w:id="503" w:name="_Toc3014"/>
      <w:bookmarkStart w:id="504" w:name="_Toc7910"/>
      <w:bookmarkStart w:id="505" w:name="_Toc24394"/>
      <w:bookmarkStart w:id="506" w:name="_Toc17206"/>
      <w:r>
        <w:rPr>
          <w:rFonts w:hint="eastAsia" w:ascii="宋体" w:hAnsi="宋体" w:eastAsia="宋体" w:cs="宋体"/>
          <w:color w:val="auto"/>
          <w:sz w:val="21"/>
          <w:szCs w:val="21"/>
          <w:highlight w:val="none"/>
        </w:rPr>
        <w:t>投标文件目录</w:t>
      </w:r>
      <w:bookmarkEnd w:id="499"/>
      <w:bookmarkEnd w:id="500"/>
      <w:bookmarkEnd w:id="501"/>
      <w:bookmarkEnd w:id="502"/>
      <w:bookmarkEnd w:id="503"/>
      <w:bookmarkEnd w:id="504"/>
      <w:bookmarkEnd w:id="505"/>
      <w:bookmarkEnd w:id="506"/>
    </w:p>
    <w:p w14:paraId="798144A1">
      <w:pPr>
        <w:shd w:val="clear"/>
        <w:jc w:val="center"/>
        <w:rPr>
          <w:rFonts w:hint="eastAsia" w:ascii="宋体" w:hAnsi="宋体" w:eastAsia="宋体" w:cs="宋体"/>
          <w:color w:val="auto"/>
          <w:sz w:val="32"/>
          <w:szCs w:val="32"/>
          <w:highlight w:val="none"/>
        </w:rPr>
      </w:pPr>
    </w:p>
    <w:p w14:paraId="68F6234D">
      <w:pPr>
        <w:shd w:val="clear"/>
        <w:jc w:val="center"/>
        <w:outlineLvl w:val="9"/>
        <w:rPr>
          <w:rFonts w:hint="eastAsia" w:ascii="宋体" w:hAnsi="宋体" w:eastAsia="宋体" w:cs="宋体"/>
          <w:color w:val="auto"/>
          <w:sz w:val="32"/>
          <w:szCs w:val="32"/>
          <w:highlight w:val="none"/>
        </w:rPr>
      </w:pPr>
      <w:bookmarkStart w:id="507" w:name="_Toc24648"/>
      <w:r>
        <w:rPr>
          <w:rFonts w:hint="eastAsia" w:ascii="宋体" w:hAnsi="宋体" w:eastAsia="宋体" w:cs="宋体"/>
          <w:color w:val="auto"/>
          <w:sz w:val="32"/>
          <w:szCs w:val="32"/>
          <w:highlight w:val="none"/>
        </w:rPr>
        <w:t>目录</w:t>
      </w:r>
      <w:bookmarkEnd w:id="507"/>
    </w:p>
    <w:p w14:paraId="7463FD7B">
      <w:pPr>
        <w:shd w:val="clear"/>
        <w:adjustRightInd/>
        <w:snapToGrid/>
        <w:spacing w:line="276"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格式自理。</w:t>
      </w:r>
    </w:p>
    <w:p w14:paraId="300B856B">
      <w:pPr>
        <w:shd w:val="clear"/>
        <w:adjustRightInd/>
        <w:snapToGrid/>
        <w:spacing w:line="276" w:lineRule="auto"/>
        <w:rPr>
          <w:rFonts w:hint="eastAsia" w:ascii="宋体" w:hAnsi="宋体" w:eastAsia="宋体" w:cs="宋体"/>
          <w:color w:val="auto"/>
          <w:szCs w:val="21"/>
          <w:highlight w:val="none"/>
        </w:rPr>
      </w:pPr>
    </w:p>
    <w:p w14:paraId="19DD8488">
      <w:pPr>
        <w:shd w:val="clear"/>
        <w:adjustRightInd/>
        <w:snapToGrid/>
        <w:spacing w:line="276" w:lineRule="auto"/>
        <w:rPr>
          <w:rFonts w:hint="eastAsia" w:ascii="宋体" w:hAnsi="宋体" w:eastAsia="宋体" w:cs="宋体"/>
          <w:color w:val="auto"/>
          <w:szCs w:val="21"/>
          <w:highlight w:val="none"/>
        </w:rPr>
      </w:pPr>
    </w:p>
    <w:p w14:paraId="4895FEB3">
      <w:pPr>
        <w:shd w:val="clear"/>
        <w:adjustRightInd/>
        <w:snapToGrid/>
        <w:spacing w:line="276"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w:t>
      </w:r>
    </w:p>
    <w:p w14:paraId="27E93DE8">
      <w:pPr>
        <w:shd w:val="clear"/>
        <w:adjustRightInd/>
        <w:snapToGrid/>
        <w:spacing w:line="276" w:lineRule="auto"/>
        <w:outlineLvl w:val="9"/>
        <w:rPr>
          <w:rFonts w:hint="eastAsia" w:ascii="宋体" w:hAnsi="宋体" w:eastAsia="宋体" w:cs="宋体"/>
          <w:color w:val="auto"/>
          <w:szCs w:val="21"/>
          <w:highlight w:val="none"/>
        </w:rPr>
      </w:pPr>
      <w:bookmarkStart w:id="508" w:name="_Toc8574"/>
      <w:r>
        <w:rPr>
          <w:rFonts w:hint="eastAsia" w:ascii="宋体" w:hAnsi="宋体" w:eastAsia="宋体" w:cs="宋体"/>
          <w:color w:val="auto"/>
          <w:szCs w:val="21"/>
          <w:highlight w:val="none"/>
        </w:rPr>
        <w:t>1、投标人制作的投标文件应当具备目录。</w:t>
      </w:r>
      <w:r>
        <w:rPr>
          <w:rFonts w:hint="eastAsia" w:ascii="宋体" w:hAnsi="宋体" w:eastAsia="宋体" w:cs="宋体"/>
          <w:color w:val="auto"/>
          <w:szCs w:val="21"/>
          <w:highlight w:val="none"/>
        </w:rPr>
        <w:br w:type="page"/>
      </w:r>
      <w:bookmarkEnd w:id="508"/>
    </w:p>
    <w:p w14:paraId="3F7979EC">
      <w:pPr>
        <w:pStyle w:val="5"/>
        <w:widowControl w:val="0"/>
        <w:shd w:val="clear"/>
        <w:overflowPunct w:val="0"/>
        <w:spacing w:line="240" w:lineRule="auto"/>
        <w:rPr>
          <w:rFonts w:hint="eastAsia" w:ascii="宋体" w:hAnsi="宋体" w:eastAsia="宋体" w:cs="宋体"/>
          <w:color w:val="auto"/>
          <w:sz w:val="21"/>
          <w:szCs w:val="21"/>
          <w:highlight w:val="none"/>
        </w:rPr>
      </w:pPr>
      <w:bookmarkStart w:id="509" w:name="_Toc12090"/>
      <w:bookmarkStart w:id="510" w:name="_Toc27262"/>
      <w:bookmarkStart w:id="511" w:name="_Toc30284"/>
      <w:bookmarkStart w:id="512" w:name="_Toc25889"/>
      <w:bookmarkStart w:id="513" w:name="_Toc2548"/>
      <w:bookmarkStart w:id="514" w:name="_Toc21720"/>
      <w:bookmarkStart w:id="515" w:name="_Toc18792"/>
      <w:bookmarkStart w:id="516" w:name="_Toc8481"/>
      <w:r>
        <w:rPr>
          <w:rFonts w:hint="eastAsia" w:ascii="宋体" w:hAnsi="宋体" w:eastAsia="宋体" w:cs="宋体"/>
          <w:color w:val="auto"/>
          <w:sz w:val="21"/>
          <w:szCs w:val="21"/>
          <w:highlight w:val="none"/>
        </w:rPr>
        <w:t>附件1.评分标准索引表</w:t>
      </w:r>
      <w:bookmarkEnd w:id="509"/>
      <w:bookmarkEnd w:id="510"/>
      <w:bookmarkEnd w:id="511"/>
      <w:bookmarkEnd w:id="512"/>
      <w:bookmarkEnd w:id="513"/>
      <w:bookmarkEnd w:id="514"/>
      <w:bookmarkEnd w:id="515"/>
      <w:bookmarkEnd w:id="516"/>
    </w:p>
    <w:p w14:paraId="7F04F349">
      <w:pPr>
        <w:shd w:val="clear"/>
        <w:adjustRightInd/>
        <w:snapToGrid/>
        <w:spacing w:line="276" w:lineRule="auto"/>
        <w:rPr>
          <w:rFonts w:hint="eastAsia" w:ascii="宋体" w:hAnsi="宋体" w:eastAsia="宋体" w:cs="宋体"/>
          <w:color w:val="auto"/>
          <w:szCs w:val="21"/>
          <w:highlight w:val="none"/>
        </w:rPr>
      </w:pPr>
    </w:p>
    <w:p w14:paraId="3CA920B8">
      <w:pPr>
        <w:shd w:val="clear"/>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评分标准索引表</w:t>
      </w:r>
    </w:p>
    <w:tbl>
      <w:tblPr>
        <w:tblStyle w:val="3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14:paraId="1682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704" w:type="dxa"/>
            <w:vAlign w:val="center"/>
          </w:tcPr>
          <w:p w14:paraId="10CB7001">
            <w:pPr>
              <w:shd w:val="clear"/>
              <w:jc w:val="center"/>
              <w:rPr>
                <w:rFonts w:hint="eastAsia" w:ascii="宋体" w:hAnsi="宋体" w:eastAsia="宋体" w:cs="宋体"/>
                <w:color w:val="auto"/>
                <w:highlight w:val="none"/>
              </w:rPr>
            </w:pPr>
            <w:r>
              <w:rPr>
                <w:rFonts w:hint="eastAsia" w:ascii="宋体" w:hAnsi="宋体" w:eastAsia="宋体" w:cs="宋体"/>
                <w:color w:val="auto"/>
                <w:highlight w:val="none"/>
              </w:rPr>
              <w:t>序号</w:t>
            </w:r>
          </w:p>
        </w:tc>
        <w:tc>
          <w:tcPr>
            <w:tcW w:w="1704" w:type="dxa"/>
            <w:vAlign w:val="center"/>
          </w:tcPr>
          <w:p w14:paraId="7E6FDF30">
            <w:pPr>
              <w:shd w:val="clear"/>
              <w:jc w:val="center"/>
              <w:rPr>
                <w:rFonts w:hint="eastAsia" w:ascii="宋体" w:hAnsi="宋体" w:eastAsia="宋体" w:cs="宋体"/>
                <w:color w:val="auto"/>
                <w:highlight w:val="none"/>
              </w:rPr>
            </w:pPr>
            <w:r>
              <w:rPr>
                <w:rFonts w:hint="eastAsia" w:ascii="宋体" w:hAnsi="宋体" w:eastAsia="宋体" w:cs="宋体"/>
                <w:color w:val="auto"/>
                <w:highlight w:val="none"/>
              </w:rPr>
              <w:t>评审项目</w:t>
            </w:r>
          </w:p>
        </w:tc>
        <w:tc>
          <w:tcPr>
            <w:tcW w:w="1704" w:type="dxa"/>
            <w:vAlign w:val="center"/>
          </w:tcPr>
          <w:p w14:paraId="7A6EEC89">
            <w:pPr>
              <w:shd w:val="clear"/>
              <w:jc w:val="center"/>
              <w:rPr>
                <w:rFonts w:hint="eastAsia" w:ascii="宋体" w:hAnsi="宋体" w:eastAsia="宋体" w:cs="宋体"/>
                <w:color w:val="auto"/>
                <w:highlight w:val="none"/>
              </w:rPr>
            </w:pPr>
            <w:r>
              <w:rPr>
                <w:rFonts w:hint="eastAsia" w:ascii="宋体" w:hAnsi="宋体" w:eastAsia="宋体" w:cs="宋体"/>
                <w:color w:val="auto"/>
                <w:highlight w:val="none"/>
              </w:rPr>
              <w:t>评审细则</w:t>
            </w:r>
          </w:p>
        </w:tc>
        <w:tc>
          <w:tcPr>
            <w:tcW w:w="1705" w:type="dxa"/>
            <w:vAlign w:val="center"/>
          </w:tcPr>
          <w:p w14:paraId="3145DD4E">
            <w:pPr>
              <w:shd w:val="clear"/>
              <w:jc w:val="center"/>
              <w:rPr>
                <w:rFonts w:hint="eastAsia" w:ascii="宋体" w:hAnsi="宋体" w:eastAsia="宋体" w:cs="宋体"/>
                <w:color w:val="auto"/>
                <w:highlight w:val="none"/>
              </w:rPr>
            </w:pPr>
            <w:r>
              <w:rPr>
                <w:rFonts w:hint="eastAsia" w:ascii="宋体" w:hAnsi="宋体" w:eastAsia="宋体" w:cs="宋体"/>
                <w:color w:val="auto"/>
                <w:highlight w:val="none"/>
              </w:rPr>
              <w:t>分值</w:t>
            </w:r>
          </w:p>
        </w:tc>
        <w:tc>
          <w:tcPr>
            <w:tcW w:w="1705" w:type="dxa"/>
            <w:vAlign w:val="center"/>
          </w:tcPr>
          <w:p w14:paraId="0A180720">
            <w:pPr>
              <w:shd w:val="clear"/>
              <w:jc w:val="center"/>
              <w:rPr>
                <w:rFonts w:hint="eastAsia" w:ascii="宋体" w:hAnsi="宋体" w:eastAsia="宋体" w:cs="宋体"/>
                <w:color w:val="auto"/>
                <w:highlight w:val="none"/>
              </w:rPr>
            </w:pPr>
            <w:r>
              <w:rPr>
                <w:rFonts w:hint="eastAsia" w:ascii="宋体" w:hAnsi="宋体" w:eastAsia="宋体" w:cs="宋体"/>
                <w:color w:val="auto"/>
                <w:highlight w:val="none"/>
              </w:rPr>
              <w:t>页码范围</w:t>
            </w:r>
          </w:p>
        </w:tc>
      </w:tr>
      <w:tr w14:paraId="73E32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8522" w:type="dxa"/>
            <w:gridSpan w:val="5"/>
            <w:vAlign w:val="center"/>
          </w:tcPr>
          <w:p w14:paraId="54E954AC">
            <w:pPr>
              <w:shd w:val="clear"/>
              <w:rPr>
                <w:rFonts w:hint="eastAsia" w:ascii="宋体" w:hAnsi="宋体" w:eastAsia="宋体" w:cs="宋体"/>
                <w:color w:val="auto"/>
                <w:highlight w:val="none"/>
              </w:rPr>
            </w:pPr>
            <w:r>
              <w:rPr>
                <w:rFonts w:hint="eastAsia" w:ascii="宋体" w:hAnsi="宋体" w:eastAsia="宋体" w:cs="宋体"/>
                <w:color w:val="auto"/>
                <w:highlight w:val="none"/>
              </w:rPr>
              <w:t>商务评审</w:t>
            </w:r>
          </w:p>
        </w:tc>
      </w:tr>
      <w:tr w14:paraId="7FFA1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704" w:type="dxa"/>
            <w:vAlign w:val="center"/>
          </w:tcPr>
          <w:p w14:paraId="64BC9FD7">
            <w:pPr>
              <w:shd w:val="clear"/>
              <w:jc w:val="center"/>
              <w:rPr>
                <w:rFonts w:hint="eastAsia" w:ascii="宋体" w:hAnsi="宋体" w:eastAsia="宋体" w:cs="宋体"/>
                <w:color w:val="auto"/>
                <w:highlight w:val="none"/>
              </w:rPr>
            </w:pPr>
          </w:p>
        </w:tc>
        <w:tc>
          <w:tcPr>
            <w:tcW w:w="1704" w:type="dxa"/>
            <w:vAlign w:val="center"/>
          </w:tcPr>
          <w:p w14:paraId="659C264A">
            <w:pPr>
              <w:shd w:val="clear"/>
              <w:jc w:val="center"/>
              <w:rPr>
                <w:rFonts w:hint="eastAsia" w:ascii="宋体" w:hAnsi="宋体" w:eastAsia="宋体" w:cs="宋体"/>
                <w:color w:val="auto"/>
                <w:highlight w:val="none"/>
              </w:rPr>
            </w:pPr>
          </w:p>
        </w:tc>
        <w:tc>
          <w:tcPr>
            <w:tcW w:w="1704" w:type="dxa"/>
            <w:vAlign w:val="center"/>
          </w:tcPr>
          <w:p w14:paraId="23CB6205">
            <w:pPr>
              <w:shd w:val="clear"/>
              <w:jc w:val="center"/>
              <w:rPr>
                <w:rFonts w:hint="eastAsia" w:ascii="宋体" w:hAnsi="宋体" w:eastAsia="宋体" w:cs="宋体"/>
                <w:color w:val="auto"/>
                <w:highlight w:val="none"/>
              </w:rPr>
            </w:pPr>
          </w:p>
        </w:tc>
        <w:tc>
          <w:tcPr>
            <w:tcW w:w="1705" w:type="dxa"/>
            <w:vAlign w:val="center"/>
          </w:tcPr>
          <w:p w14:paraId="6283A5CA">
            <w:pPr>
              <w:shd w:val="clear"/>
              <w:jc w:val="center"/>
              <w:rPr>
                <w:rFonts w:hint="eastAsia" w:ascii="宋体" w:hAnsi="宋体" w:eastAsia="宋体" w:cs="宋体"/>
                <w:color w:val="auto"/>
                <w:highlight w:val="none"/>
              </w:rPr>
            </w:pPr>
          </w:p>
        </w:tc>
        <w:tc>
          <w:tcPr>
            <w:tcW w:w="1705" w:type="dxa"/>
            <w:vAlign w:val="center"/>
          </w:tcPr>
          <w:p w14:paraId="6C954B1A">
            <w:pPr>
              <w:shd w:val="clear"/>
              <w:jc w:val="center"/>
              <w:rPr>
                <w:rFonts w:hint="eastAsia" w:ascii="宋体" w:hAnsi="宋体" w:eastAsia="宋体" w:cs="宋体"/>
                <w:color w:val="auto"/>
                <w:highlight w:val="none"/>
              </w:rPr>
            </w:pPr>
          </w:p>
        </w:tc>
      </w:tr>
      <w:tr w14:paraId="2D925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704" w:type="dxa"/>
            <w:vAlign w:val="center"/>
          </w:tcPr>
          <w:p w14:paraId="478AD01B">
            <w:pPr>
              <w:shd w:val="clear"/>
              <w:jc w:val="center"/>
              <w:rPr>
                <w:rFonts w:hint="eastAsia" w:ascii="宋体" w:hAnsi="宋体" w:eastAsia="宋体" w:cs="宋体"/>
                <w:color w:val="auto"/>
                <w:highlight w:val="none"/>
              </w:rPr>
            </w:pPr>
          </w:p>
        </w:tc>
        <w:tc>
          <w:tcPr>
            <w:tcW w:w="1704" w:type="dxa"/>
            <w:vAlign w:val="center"/>
          </w:tcPr>
          <w:p w14:paraId="78995F8B">
            <w:pPr>
              <w:shd w:val="clear"/>
              <w:jc w:val="center"/>
              <w:rPr>
                <w:rFonts w:hint="eastAsia" w:ascii="宋体" w:hAnsi="宋体" w:eastAsia="宋体" w:cs="宋体"/>
                <w:color w:val="auto"/>
                <w:highlight w:val="none"/>
              </w:rPr>
            </w:pPr>
          </w:p>
        </w:tc>
        <w:tc>
          <w:tcPr>
            <w:tcW w:w="1704" w:type="dxa"/>
            <w:vAlign w:val="center"/>
          </w:tcPr>
          <w:p w14:paraId="4F372DBC">
            <w:pPr>
              <w:shd w:val="clear"/>
              <w:jc w:val="center"/>
              <w:rPr>
                <w:rFonts w:hint="eastAsia" w:ascii="宋体" w:hAnsi="宋体" w:eastAsia="宋体" w:cs="宋体"/>
                <w:color w:val="auto"/>
                <w:highlight w:val="none"/>
              </w:rPr>
            </w:pPr>
          </w:p>
        </w:tc>
        <w:tc>
          <w:tcPr>
            <w:tcW w:w="1705" w:type="dxa"/>
            <w:vAlign w:val="center"/>
          </w:tcPr>
          <w:p w14:paraId="1E278656">
            <w:pPr>
              <w:shd w:val="clear"/>
              <w:jc w:val="center"/>
              <w:rPr>
                <w:rFonts w:hint="eastAsia" w:ascii="宋体" w:hAnsi="宋体" w:eastAsia="宋体" w:cs="宋体"/>
                <w:color w:val="auto"/>
                <w:highlight w:val="none"/>
              </w:rPr>
            </w:pPr>
          </w:p>
        </w:tc>
        <w:tc>
          <w:tcPr>
            <w:tcW w:w="1705" w:type="dxa"/>
            <w:vAlign w:val="center"/>
          </w:tcPr>
          <w:p w14:paraId="262444CC">
            <w:pPr>
              <w:shd w:val="clear"/>
              <w:jc w:val="center"/>
              <w:rPr>
                <w:rFonts w:hint="eastAsia" w:ascii="宋体" w:hAnsi="宋体" w:eastAsia="宋体" w:cs="宋体"/>
                <w:color w:val="auto"/>
                <w:highlight w:val="none"/>
              </w:rPr>
            </w:pPr>
          </w:p>
        </w:tc>
      </w:tr>
      <w:tr w14:paraId="26748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704" w:type="dxa"/>
            <w:vAlign w:val="center"/>
          </w:tcPr>
          <w:p w14:paraId="13102725">
            <w:pPr>
              <w:shd w:val="clear"/>
              <w:jc w:val="center"/>
              <w:rPr>
                <w:rFonts w:hint="eastAsia" w:ascii="宋体" w:hAnsi="宋体" w:eastAsia="宋体" w:cs="宋体"/>
                <w:color w:val="auto"/>
                <w:highlight w:val="none"/>
              </w:rPr>
            </w:pPr>
          </w:p>
        </w:tc>
        <w:tc>
          <w:tcPr>
            <w:tcW w:w="1704" w:type="dxa"/>
            <w:vAlign w:val="center"/>
          </w:tcPr>
          <w:p w14:paraId="5ABE7CCD">
            <w:pPr>
              <w:shd w:val="clear"/>
              <w:jc w:val="center"/>
              <w:rPr>
                <w:rFonts w:hint="eastAsia" w:ascii="宋体" w:hAnsi="宋体" w:eastAsia="宋体" w:cs="宋体"/>
                <w:color w:val="auto"/>
                <w:highlight w:val="none"/>
              </w:rPr>
            </w:pPr>
          </w:p>
        </w:tc>
        <w:tc>
          <w:tcPr>
            <w:tcW w:w="1704" w:type="dxa"/>
            <w:vAlign w:val="center"/>
          </w:tcPr>
          <w:p w14:paraId="0B1A3567">
            <w:pPr>
              <w:shd w:val="clear"/>
              <w:jc w:val="center"/>
              <w:rPr>
                <w:rFonts w:hint="eastAsia" w:ascii="宋体" w:hAnsi="宋体" w:eastAsia="宋体" w:cs="宋体"/>
                <w:color w:val="auto"/>
                <w:highlight w:val="none"/>
              </w:rPr>
            </w:pPr>
          </w:p>
        </w:tc>
        <w:tc>
          <w:tcPr>
            <w:tcW w:w="1705" w:type="dxa"/>
            <w:vAlign w:val="center"/>
          </w:tcPr>
          <w:p w14:paraId="15AB5BC7">
            <w:pPr>
              <w:shd w:val="clear"/>
              <w:jc w:val="center"/>
              <w:rPr>
                <w:rFonts w:hint="eastAsia" w:ascii="宋体" w:hAnsi="宋体" w:eastAsia="宋体" w:cs="宋体"/>
                <w:color w:val="auto"/>
                <w:highlight w:val="none"/>
              </w:rPr>
            </w:pPr>
          </w:p>
        </w:tc>
        <w:tc>
          <w:tcPr>
            <w:tcW w:w="1705" w:type="dxa"/>
            <w:vAlign w:val="center"/>
          </w:tcPr>
          <w:p w14:paraId="2EA41906">
            <w:pPr>
              <w:shd w:val="clear"/>
              <w:jc w:val="center"/>
              <w:rPr>
                <w:rFonts w:hint="eastAsia" w:ascii="宋体" w:hAnsi="宋体" w:eastAsia="宋体" w:cs="宋体"/>
                <w:color w:val="auto"/>
                <w:highlight w:val="none"/>
              </w:rPr>
            </w:pPr>
          </w:p>
        </w:tc>
      </w:tr>
      <w:tr w14:paraId="550B3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8522" w:type="dxa"/>
            <w:gridSpan w:val="5"/>
            <w:vAlign w:val="center"/>
          </w:tcPr>
          <w:p w14:paraId="48560A69">
            <w:pPr>
              <w:shd w:val="clear"/>
              <w:rPr>
                <w:rFonts w:hint="eastAsia" w:ascii="宋体" w:hAnsi="宋体" w:eastAsia="宋体" w:cs="宋体"/>
                <w:color w:val="auto"/>
                <w:highlight w:val="none"/>
              </w:rPr>
            </w:pPr>
            <w:r>
              <w:rPr>
                <w:rFonts w:hint="eastAsia" w:ascii="宋体" w:hAnsi="宋体" w:eastAsia="宋体" w:cs="宋体"/>
                <w:color w:val="auto"/>
                <w:highlight w:val="none"/>
              </w:rPr>
              <w:t>技术评审</w:t>
            </w:r>
          </w:p>
        </w:tc>
      </w:tr>
      <w:tr w14:paraId="46F6C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704" w:type="dxa"/>
            <w:vAlign w:val="center"/>
          </w:tcPr>
          <w:p w14:paraId="7A10979E">
            <w:pPr>
              <w:shd w:val="clear"/>
              <w:jc w:val="center"/>
              <w:rPr>
                <w:rFonts w:hint="eastAsia" w:ascii="宋体" w:hAnsi="宋体" w:eastAsia="宋体" w:cs="宋体"/>
                <w:color w:val="auto"/>
                <w:highlight w:val="none"/>
              </w:rPr>
            </w:pPr>
          </w:p>
        </w:tc>
        <w:tc>
          <w:tcPr>
            <w:tcW w:w="1704" w:type="dxa"/>
            <w:vAlign w:val="center"/>
          </w:tcPr>
          <w:p w14:paraId="41C2AB8C">
            <w:pPr>
              <w:shd w:val="clear"/>
              <w:jc w:val="center"/>
              <w:rPr>
                <w:rFonts w:hint="eastAsia" w:ascii="宋体" w:hAnsi="宋体" w:eastAsia="宋体" w:cs="宋体"/>
                <w:color w:val="auto"/>
                <w:highlight w:val="none"/>
              </w:rPr>
            </w:pPr>
          </w:p>
        </w:tc>
        <w:tc>
          <w:tcPr>
            <w:tcW w:w="1704" w:type="dxa"/>
            <w:vAlign w:val="center"/>
          </w:tcPr>
          <w:p w14:paraId="0BFE0788">
            <w:pPr>
              <w:shd w:val="clear"/>
              <w:jc w:val="center"/>
              <w:rPr>
                <w:rFonts w:hint="eastAsia" w:ascii="宋体" w:hAnsi="宋体" w:eastAsia="宋体" w:cs="宋体"/>
                <w:color w:val="auto"/>
                <w:highlight w:val="none"/>
              </w:rPr>
            </w:pPr>
          </w:p>
        </w:tc>
        <w:tc>
          <w:tcPr>
            <w:tcW w:w="1705" w:type="dxa"/>
            <w:vAlign w:val="center"/>
          </w:tcPr>
          <w:p w14:paraId="11DD1E0E">
            <w:pPr>
              <w:shd w:val="clear"/>
              <w:jc w:val="center"/>
              <w:rPr>
                <w:rFonts w:hint="eastAsia" w:ascii="宋体" w:hAnsi="宋体" w:eastAsia="宋体" w:cs="宋体"/>
                <w:color w:val="auto"/>
                <w:highlight w:val="none"/>
              </w:rPr>
            </w:pPr>
          </w:p>
        </w:tc>
        <w:tc>
          <w:tcPr>
            <w:tcW w:w="1705" w:type="dxa"/>
            <w:vAlign w:val="center"/>
          </w:tcPr>
          <w:p w14:paraId="2CC9F8E6">
            <w:pPr>
              <w:shd w:val="clear"/>
              <w:jc w:val="center"/>
              <w:rPr>
                <w:rFonts w:hint="eastAsia" w:ascii="宋体" w:hAnsi="宋体" w:eastAsia="宋体" w:cs="宋体"/>
                <w:color w:val="auto"/>
                <w:highlight w:val="none"/>
              </w:rPr>
            </w:pPr>
          </w:p>
        </w:tc>
      </w:tr>
      <w:tr w14:paraId="7B1CB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704" w:type="dxa"/>
            <w:vAlign w:val="center"/>
          </w:tcPr>
          <w:p w14:paraId="6E3AAEDC">
            <w:pPr>
              <w:shd w:val="clear"/>
              <w:jc w:val="center"/>
              <w:rPr>
                <w:rFonts w:hint="eastAsia" w:ascii="宋体" w:hAnsi="宋体" w:eastAsia="宋体" w:cs="宋体"/>
                <w:color w:val="auto"/>
                <w:highlight w:val="none"/>
              </w:rPr>
            </w:pPr>
          </w:p>
        </w:tc>
        <w:tc>
          <w:tcPr>
            <w:tcW w:w="1704" w:type="dxa"/>
            <w:vAlign w:val="center"/>
          </w:tcPr>
          <w:p w14:paraId="1F5AEE09">
            <w:pPr>
              <w:shd w:val="clear"/>
              <w:jc w:val="center"/>
              <w:rPr>
                <w:rFonts w:hint="eastAsia" w:ascii="宋体" w:hAnsi="宋体" w:eastAsia="宋体" w:cs="宋体"/>
                <w:color w:val="auto"/>
                <w:highlight w:val="none"/>
              </w:rPr>
            </w:pPr>
          </w:p>
        </w:tc>
        <w:tc>
          <w:tcPr>
            <w:tcW w:w="1704" w:type="dxa"/>
            <w:vAlign w:val="center"/>
          </w:tcPr>
          <w:p w14:paraId="210D3379">
            <w:pPr>
              <w:shd w:val="clear"/>
              <w:jc w:val="center"/>
              <w:rPr>
                <w:rFonts w:hint="eastAsia" w:ascii="宋体" w:hAnsi="宋体" w:eastAsia="宋体" w:cs="宋体"/>
                <w:color w:val="auto"/>
                <w:highlight w:val="none"/>
              </w:rPr>
            </w:pPr>
          </w:p>
        </w:tc>
        <w:tc>
          <w:tcPr>
            <w:tcW w:w="1705" w:type="dxa"/>
            <w:vAlign w:val="center"/>
          </w:tcPr>
          <w:p w14:paraId="7585BE46">
            <w:pPr>
              <w:shd w:val="clear"/>
              <w:jc w:val="center"/>
              <w:rPr>
                <w:rFonts w:hint="eastAsia" w:ascii="宋体" w:hAnsi="宋体" w:eastAsia="宋体" w:cs="宋体"/>
                <w:color w:val="auto"/>
                <w:highlight w:val="none"/>
              </w:rPr>
            </w:pPr>
          </w:p>
        </w:tc>
        <w:tc>
          <w:tcPr>
            <w:tcW w:w="1705" w:type="dxa"/>
            <w:vAlign w:val="center"/>
          </w:tcPr>
          <w:p w14:paraId="01C2A52A">
            <w:pPr>
              <w:shd w:val="clear"/>
              <w:jc w:val="center"/>
              <w:rPr>
                <w:rFonts w:hint="eastAsia" w:ascii="宋体" w:hAnsi="宋体" w:eastAsia="宋体" w:cs="宋体"/>
                <w:color w:val="auto"/>
                <w:highlight w:val="none"/>
              </w:rPr>
            </w:pPr>
          </w:p>
        </w:tc>
      </w:tr>
      <w:tr w14:paraId="01E96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704" w:type="dxa"/>
            <w:vAlign w:val="center"/>
          </w:tcPr>
          <w:p w14:paraId="57386B6D">
            <w:pPr>
              <w:shd w:val="clear"/>
              <w:jc w:val="center"/>
              <w:rPr>
                <w:rFonts w:hint="eastAsia" w:ascii="宋体" w:hAnsi="宋体" w:eastAsia="宋体" w:cs="宋体"/>
                <w:color w:val="auto"/>
                <w:highlight w:val="none"/>
              </w:rPr>
            </w:pPr>
          </w:p>
        </w:tc>
        <w:tc>
          <w:tcPr>
            <w:tcW w:w="1704" w:type="dxa"/>
            <w:vAlign w:val="center"/>
          </w:tcPr>
          <w:p w14:paraId="393C8656">
            <w:pPr>
              <w:shd w:val="clear"/>
              <w:jc w:val="center"/>
              <w:rPr>
                <w:rFonts w:hint="eastAsia" w:ascii="宋体" w:hAnsi="宋体" w:eastAsia="宋体" w:cs="宋体"/>
                <w:color w:val="auto"/>
                <w:highlight w:val="none"/>
              </w:rPr>
            </w:pPr>
          </w:p>
        </w:tc>
        <w:tc>
          <w:tcPr>
            <w:tcW w:w="1704" w:type="dxa"/>
            <w:vAlign w:val="center"/>
          </w:tcPr>
          <w:p w14:paraId="19A69653">
            <w:pPr>
              <w:shd w:val="clear"/>
              <w:jc w:val="center"/>
              <w:rPr>
                <w:rFonts w:hint="eastAsia" w:ascii="宋体" w:hAnsi="宋体" w:eastAsia="宋体" w:cs="宋体"/>
                <w:color w:val="auto"/>
                <w:highlight w:val="none"/>
              </w:rPr>
            </w:pPr>
          </w:p>
        </w:tc>
        <w:tc>
          <w:tcPr>
            <w:tcW w:w="1705" w:type="dxa"/>
            <w:vAlign w:val="center"/>
          </w:tcPr>
          <w:p w14:paraId="293EB10B">
            <w:pPr>
              <w:shd w:val="clear"/>
              <w:jc w:val="center"/>
              <w:rPr>
                <w:rFonts w:hint="eastAsia" w:ascii="宋体" w:hAnsi="宋体" w:eastAsia="宋体" w:cs="宋体"/>
                <w:color w:val="auto"/>
                <w:highlight w:val="none"/>
              </w:rPr>
            </w:pPr>
          </w:p>
        </w:tc>
        <w:tc>
          <w:tcPr>
            <w:tcW w:w="1705" w:type="dxa"/>
            <w:vAlign w:val="center"/>
          </w:tcPr>
          <w:p w14:paraId="1696055E">
            <w:pPr>
              <w:shd w:val="clear"/>
              <w:jc w:val="center"/>
              <w:rPr>
                <w:rFonts w:hint="eastAsia" w:ascii="宋体" w:hAnsi="宋体" w:eastAsia="宋体" w:cs="宋体"/>
                <w:color w:val="auto"/>
                <w:highlight w:val="none"/>
              </w:rPr>
            </w:pPr>
          </w:p>
        </w:tc>
      </w:tr>
    </w:tbl>
    <w:p w14:paraId="613F0CA7">
      <w:pPr>
        <w:shd w:val="clear"/>
        <w:rPr>
          <w:rFonts w:hint="eastAsia" w:ascii="宋体" w:hAnsi="宋体" w:eastAsia="宋体" w:cs="宋体"/>
          <w:color w:val="auto"/>
          <w:szCs w:val="21"/>
          <w:highlight w:val="none"/>
        </w:rPr>
      </w:pPr>
    </w:p>
    <w:p w14:paraId="4C487DCA">
      <w:pPr>
        <w:shd w:val="clea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w:t>
      </w:r>
    </w:p>
    <w:p w14:paraId="5F2EA3EA">
      <w:pPr>
        <w:numPr>
          <w:ilvl w:val="0"/>
          <w:numId w:val="11"/>
        </w:numPr>
        <w:shd w:val="clear"/>
        <w:rPr>
          <w:rFonts w:hint="eastAsia" w:ascii="宋体" w:hAnsi="宋体" w:eastAsia="宋体" w:cs="宋体"/>
          <w:color w:val="auto"/>
          <w:szCs w:val="21"/>
          <w:highlight w:val="none"/>
        </w:rPr>
      </w:pPr>
      <w:r>
        <w:rPr>
          <w:rFonts w:hint="eastAsia" w:ascii="宋体" w:hAnsi="宋体" w:eastAsia="宋体" w:cs="宋体"/>
          <w:color w:val="auto"/>
          <w:szCs w:val="21"/>
          <w:highlight w:val="none"/>
        </w:rPr>
        <w:t>该表格为参考格式，投标人可按实际情况自行制订评分标准索引表。</w:t>
      </w:r>
    </w:p>
    <w:p w14:paraId="7633D6E4">
      <w:pPr>
        <w:pStyle w:val="13"/>
        <w:shd w:val="clear"/>
        <w:spacing w:before="0"/>
        <w:ind w:left="0"/>
        <w:rPr>
          <w:rFonts w:hint="eastAsia" w:ascii="宋体" w:hAnsi="宋体" w:eastAsia="宋体" w:cs="宋体"/>
          <w:color w:val="auto"/>
          <w:highlight w:val="none"/>
        </w:rPr>
      </w:pPr>
    </w:p>
    <w:p w14:paraId="3D7F665A">
      <w:pPr>
        <w:shd w:val="clear"/>
        <w:adjustRightInd/>
        <w:snapToGrid/>
        <w:spacing w:line="276" w:lineRule="auto"/>
        <w:rPr>
          <w:rFonts w:hint="eastAsia" w:ascii="宋体" w:hAnsi="宋体" w:eastAsia="宋体" w:cs="宋体"/>
          <w:color w:val="auto"/>
          <w:szCs w:val="21"/>
          <w:highlight w:val="none"/>
        </w:rPr>
      </w:pPr>
    </w:p>
    <w:p w14:paraId="5CA6D05B">
      <w:pPr>
        <w:shd w:val="clear"/>
        <w:adjustRightInd/>
        <w:snapToGrid/>
        <w:spacing w:line="276" w:lineRule="auto"/>
        <w:rPr>
          <w:rFonts w:hint="eastAsia" w:ascii="宋体" w:hAnsi="宋体" w:eastAsia="宋体" w:cs="宋体"/>
          <w:color w:val="auto"/>
          <w:szCs w:val="21"/>
          <w:highlight w:val="none"/>
        </w:rPr>
      </w:pPr>
    </w:p>
    <w:p w14:paraId="7BC6A2B5">
      <w:pPr>
        <w:shd w:val="clear"/>
        <w:adjustRightInd/>
        <w:snapToGrid/>
        <w:spacing w:line="276" w:lineRule="auto"/>
        <w:rPr>
          <w:rFonts w:hint="eastAsia" w:ascii="宋体" w:hAnsi="宋体" w:eastAsia="宋体" w:cs="宋体"/>
          <w:color w:val="auto"/>
          <w:szCs w:val="21"/>
          <w:highlight w:val="none"/>
        </w:rPr>
      </w:pPr>
    </w:p>
    <w:p w14:paraId="105C74A1">
      <w:pPr>
        <w:shd w:val="clear"/>
        <w:adjustRightInd/>
        <w:snapToGrid/>
        <w:spacing w:line="276" w:lineRule="auto"/>
        <w:rPr>
          <w:rFonts w:hint="eastAsia" w:ascii="宋体" w:hAnsi="宋体" w:eastAsia="宋体" w:cs="宋体"/>
          <w:color w:val="auto"/>
          <w:szCs w:val="21"/>
          <w:highlight w:val="none"/>
        </w:rPr>
      </w:pPr>
    </w:p>
    <w:p w14:paraId="76E100DF">
      <w:pPr>
        <w:shd w:val="clear"/>
        <w:adjustRightInd/>
        <w:snapToGrid/>
        <w:spacing w:line="276" w:lineRule="auto"/>
        <w:rPr>
          <w:rFonts w:hint="eastAsia" w:ascii="宋体" w:hAnsi="宋体" w:eastAsia="宋体" w:cs="宋体"/>
          <w:color w:val="auto"/>
          <w:szCs w:val="21"/>
          <w:highlight w:val="none"/>
        </w:rPr>
      </w:pPr>
    </w:p>
    <w:p w14:paraId="5D0177E7">
      <w:pPr>
        <w:shd w:val="clear"/>
        <w:adjustRightInd/>
        <w:snapToGrid/>
        <w:spacing w:line="276"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2E1E5D50">
      <w:pPr>
        <w:pStyle w:val="5"/>
        <w:widowControl w:val="0"/>
        <w:shd w:val="clear"/>
        <w:overflowPunct w:val="0"/>
        <w:spacing w:line="240" w:lineRule="auto"/>
        <w:rPr>
          <w:rFonts w:ascii="宋体" w:hAnsi="宋体"/>
          <w:color w:val="auto"/>
          <w:sz w:val="21"/>
          <w:szCs w:val="21"/>
          <w:highlight w:val="none"/>
        </w:rPr>
      </w:pPr>
      <w:bookmarkStart w:id="517" w:name="_Toc16835"/>
      <w:bookmarkStart w:id="518" w:name="_Toc29146"/>
      <w:bookmarkStart w:id="519" w:name="_Toc26231"/>
      <w:r>
        <w:rPr>
          <w:rFonts w:hint="eastAsia" w:ascii="宋体" w:hAnsi="宋体"/>
          <w:color w:val="auto"/>
          <w:sz w:val="21"/>
          <w:szCs w:val="21"/>
          <w:highlight w:val="none"/>
        </w:rPr>
        <w:t>附件2.开标一览表格式</w:t>
      </w:r>
      <w:bookmarkEnd w:id="517"/>
      <w:bookmarkEnd w:id="518"/>
      <w:bookmarkEnd w:id="519"/>
    </w:p>
    <w:p w14:paraId="1C6F9DDE">
      <w:pPr>
        <w:shd w:val="clear"/>
        <w:jc w:val="center"/>
        <w:rPr>
          <w:rFonts w:hint="eastAsia" w:ascii="黑体" w:eastAsia="黑体"/>
          <w:color w:val="auto"/>
          <w:sz w:val="32"/>
          <w:szCs w:val="32"/>
          <w:highlight w:val="none"/>
        </w:rPr>
      </w:pPr>
    </w:p>
    <w:p w14:paraId="2A12C805">
      <w:pPr>
        <w:shd w:val="clear"/>
        <w:jc w:val="center"/>
        <w:rPr>
          <w:rFonts w:ascii="黑体" w:eastAsia="黑体"/>
          <w:color w:val="auto"/>
          <w:sz w:val="32"/>
          <w:szCs w:val="32"/>
          <w:highlight w:val="none"/>
        </w:rPr>
      </w:pPr>
      <w:r>
        <w:rPr>
          <w:rFonts w:hint="eastAsia" w:ascii="黑体" w:eastAsia="黑体"/>
          <w:color w:val="auto"/>
          <w:sz w:val="32"/>
          <w:szCs w:val="32"/>
          <w:highlight w:val="none"/>
        </w:rPr>
        <w:t>开标一览表</w:t>
      </w:r>
    </w:p>
    <w:p w14:paraId="1D76D78A">
      <w:pPr>
        <w:shd w:val="clear"/>
        <w:rPr>
          <w:color w:val="auto"/>
          <w:highlight w:val="none"/>
        </w:rPr>
      </w:pPr>
    </w:p>
    <w:p w14:paraId="1B9C046A">
      <w:pPr>
        <w:shd w:val="clear"/>
        <w:rPr>
          <w:rFonts w:ascii="宋体" w:hAnsi="宋体"/>
          <w:color w:val="auto"/>
          <w:szCs w:val="21"/>
          <w:highlight w:val="none"/>
        </w:rPr>
      </w:pPr>
      <w:r>
        <w:rPr>
          <w:rFonts w:hint="eastAsia" w:ascii="宋体" w:hAnsi="宋体"/>
          <w:color w:val="auto"/>
          <w:szCs w:val="21"/>
          <w:highlight w:val="none"/>
          <w:lang w:val="en-US" w:eastAsia="zh-CN"/>
        </w:rPr>
        <w:t>项目</w:t>
      </w:r>
      <w:r>
        <w:rPr>
          <w:rFonts w:hint="eastAsia" w:ascii="宋体" w:hAnsi="宋体"/>
          <w:color w:val="auto"/>
          <w:szCs w:val="21"/>
          <w:highlight w:val="none"/>
        </w:rPr>
        <w:t>名称：</w:t>
      </w:r>
    </w:p>
    <w:p w14:paraId="2C74A7C6">
      <w:pPr>
        <w:shd w:val="clear"/>
        <w:rPr>
          <w:color w:val="auto"/>
          <w:highlight w:val="none"/>
        </w:rPr>
      </w:pPr>
      <w:r>
        <w:rPr>
          <w:rFonts w:hint="eastAsia" w:ascii="宋体" w:hAnsi="宋体"/>
          <w:color w:val="auto"/>
          <w:szCs w:val="21"/>
          <w:highlight w:val="none"/>
        </w:rPr>
        <w:t>采购项目编号：</w:t>
      </w:r>
    </w:p>
    <w:tbl>
      <w:tblPr>
        <w:tblStyle w:val="3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3"/>
        <w:gridCol w:w="3161"/>
        <w:gridCol w:w="1675"/>
        <w:gridCol w:w="1670"/>
      </w:tblGrid>
      <w:tr w14:paraId="5D55C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1181" w:type="pct"/>
            <w:vAlign w:val="center"/>
          </w:tcPr>
          <w:p w14:paraId="4E80402D">
            <w:pPr>
              <w:shd w:val="clear"/>
              <w:spacing w:line="240" w:lineRule="auto"/>
              <w:jc w:val="center"/>
              <w:rPr>
                <w:rFonts w:hint="eastAsia" w:ascii="宋体" w:hAnsi="宋体" w:cs="宋体"/>
                <w:color w:val="auto"/>
                <w:kern w:val="28"/>
                <w:szCs w:val="21"/>
                <w:highlight w:val="none"/>
              </w:rPr>
            </w:pPr>
            <w:r>
              <w:rPr>
                <w:rFonts w:hint="eastAsia" w:ascii="宋体" w:hAnsi="宋体"/>
                <w:color w:val="auto"/>
                <w:szCs w:val="21"/>
                <w:highlight w:val="none"/>
              </w:rPr>
              <w:t>项目名称</w:t>
            </w:r>
          </w:p>
        </w:tc>
        <w:tc>
          <w:tcPr>
            <w:tcW w:w="1855" w:type="pct"/>
            <w:vAlign w:val="center"/>
          </w:tcPr>
          <w:p w14:paraId="53E0BBA4">
            <w:pPr>
              <w:shd w:val="clear"/>
              <w:spacing w:line="240" w:lineRule="auto"/>
              <w:jc w:val="center"/>
              <w:rPr>
                <w:rFonts w:hint="eastAsia" w:ascii="宋体" w:hAnsi="宋体" w:cs="宋体"/>
                <w:color w:val="auto"/>
                <w:kern w:val="28"/>
                <w:szCs w:val="21"/>
                <w:highlight w:val="none"/>
              </w:rPr>
            </w:pPr>
            <w:r>
              <w:rPr>
                <w:rFonts w:hint="eastAsia" w:ascii="宋体" w:hAnsi="宋体" w:cs="宋体"/>
                <w:color w:val="auto"/>
                <w:kern w:val="28"/>
                <w:szCs w:val="21"/>
                <w:highlight w:val="none"/>
              </w:rPr>
              <w:t>投标下浮率（%）</w:t>
            </w:r>
          </w:p>
        </w:tc>
        <w:tc>
          <w:tcPr>
            <w:tcW w:w="983" w:type="pct"/>
            <w:vAlign w:val="center"/>
          </w:tcPr>
          <w:p w14:paraId="42AA5FA2">
            <w:pPr>
              <w:shd w:val="clear"/>
              <w:spacing w:line="240" w:lineRule="auto"/>
              <w:jc w:val="center"/>
              <w:rPr>
                <w:rFonts w:hint="eastAsia" w:ascii="宋体" w:hAnsi="宋体" w:eastAsia="宋体" w:cs="宋体"/>
                <w:color w:val="auto"/>
                <w:kern w:val="28"/>
                <w:szCs w:val="21"/>
                <w:highlight w:val="none"/>
                <w:lang w:eastAsia="zh-CN"/>
              </w:rPr>
            </w:pPr>
            <w:r>
              <w:rPr>
                <w:rFonts w:hint="default" w:ascii="宋体" w:hAnsi="宋体" w:cs="宋体"/>
                <w:color w:val="auto"/>
                <w:kern w:val="28"/>
                <w:szCs w:val="21"/>
                <w:highlight w:val="none"/>
                <w:lang w:val="en-US"/>
              </w:rPr>
              <w:t>增值税税率</w:t>
            </w:r>
          </w:p>
        </w:tc>
        <w:tc>
          <w:tcPr>
            <w:tcW w:w="980" w:type="pct"/>
            <w:vAlign w:val="center"/>
          </w:tcPr>
          <w:p w14:paraId="2ED75E2B">
            <w:pPr>
              <w:shd w:val="clear"/>
              <w:spacing w:line="240" w:lineRule="auto"/>
              <w:jc w:val="center"/>
              <w:rPr>
                <w:rFonts w:hint="eastAsia" w:ascii="宋体" w:hAnsi="宋体" w:cs="宋体"/>
                <w:color w:val="auto"/>
                <w:kern w:val="28"/>
                <w:szCs w:val="21"/>
                <w:highlight w:val="none"/>
              </w:rPr>
            </w:pPr>
            <w:r>
              <w:rPr>
                <w:rFonts w:hint="eastAsia" w:ascii="宋体" w:hAnsi="宋体" w:cs="宋体"/>
                <w:color w:val="auto"/>
                <w:kern w:val="28"/>
                <w:szCs w:val="21"/>
                <w:highlight w:val="none"/>
              </w:rPr>
              <w:t>备注</w:t>
            </w:r>
          </w:p>
        </w:tc>
      </w:tr>
      <w:tr w14:paraId="6A957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atLeast"/>
          <w:jc w:val="center"/>
        </w:trPr>
        <w:tc>
          <w:tcPr>
            <w:tcW w:w="1181" w:type="pct"/>
            <w:vAlign w:val="center"/>
          </w:tcPr>
          <w:p w14:paraId="245DB4A7">
            <w:pPr>
              <w:shd w:val="clear"/>
              <w:spacing w:line="240" w:lineRule="auto"/>
              <w:jc w:val="center"/>
              <w:rPr>
                <w:rFonts w:hint="eastAsia" w:ascii="宋体" w:hAnsi="宋体" w:cs="宋体"/>
                <w:color w:val="auto"/>
                <w:szCs w:val="21"/>
                <w:highlight w:val="none"/>
              </w:rPr>
            </w:pPr>
          </w:p>
        </w:tc>
        <w:tc>
          <w:tcPr>
            <w:tcW w:w="1855" w:type="pct"/>
            <w:vAlign w:val="center"/>
          </w:tcPr>
          <w:p w14:paraId="18D58B34">
            <w:pPr>
              <w:shd w:val="clear"/>
              <w:spacing w:line="240" w:lineRule="auto"/>
              <w:jc w:val="left"/>
              <w:rPr>
                <w:rFonts w:hint="eastAsia" w:ascii="宋体" w:hAnsi="宋体" w:cs="宋体"/>
                <w:color w:val="auto"/>
                <w:szCs w:val="21"/>
                <w:highlight w:val="none"/>
              </w:rPr>
            </w:pPr>
            <w:r>
              <w:rPr>
                <w:rFonts w:hint="eastAsia" w:ascii="宋体" w:hAnsi="宋体" w:cs="宋体"/>
                <w:color w:val="auto"/>
                <w:szCs w:val="21"/>
                <w:highlight w:val="none"/>
              </w:rPr>
              <w:t>小写：</w:t>
            </w:r>
          </w:p>
        </w:tc>
        <w:tc>
          <w:tcPr>
            <w:tcW w:w="983" w:type="pct"/>
          </w:tcPr>
          <w:p w14:paraId="12948026">
            <w:pPr>
              <w:pStyle w:val="71"/>
              <w:shd w:val="clear"/>
              <w:jc w:val="center"/>
              <w:rPr>
                <w:rFonts w:hint="eastAsia" w:hAnsi="宋体"/>
                <w:color w:val="auto"/>
                <w:sz w:val="21"/>
                <w:szCs w:val="21"/>
                <w:highlight w:val="none"/>
              </w:rPr>
            </w:pPr>
          </w:p>
        </w:tc>
        <w:tc>
          <w:tcPr>
            <w:tcW w:w="980" w:type="pct"/>
            <w:vAlign w:val="center"/>
          </w:tcPr>
          <w:p w14:paraId="1865A39F">
            <w:pPr>
              <w:pStyle w:val="71"/>
              <w:shd w:val="clear"/>
              <w:jc w:val="center"/>
              <w:rPr>
                <w:rFonts w:hint="eastAsia" w:hAnsi="宋体"/>
                <w:color w:val="auto"/>
                <w:sz w:val="21"/>
                <w:szCs w:val="21"/>
                <w:highlight w:val="none"/>
              </w:rPr>
            </w:pPr>
          </w:p>
        </w:tc>
      </w:tr>
    </w:tbl>
    <w:p w14:paraId="017D2CDD">
      <w:pPr>
        <w:shd w:val="clear"/>
        <w:ind w:firstLine="359" w:firstLineChars="171"/>
        <w:rPr>
          <w:rFonts w:ascii="宋体" w:hAnsi="宋体"/>
          <w:color w:val="auto"/>
          <w:szCs w:val="21"/>
          <w:highlight w:val="none"/>
        </w:rPr>
      </w:pPr>
    </w:p>
    <w:p w14:paraId="5A5E83D8">
      <w:pPr>
        <w:pStyle w:val="13"/>
        <w:shd w:val="clear"/>
        <w:ind w:left="0" w:leftChars="0" w:firstLine="0" w:firstLineChars="0"/>
        <w:rPr>
          <w:rFonts w:ascii="宋体" w:hAnsi="宋体"/>
          <w:color w:val="auto"/>
          <w:szCs w:val="21"/>
          <w:highlight w:val="none"/>
        </w:rPr>
      </w:pPr>
    </w:p>
    <w:p w14:paraId="388B9878">
      <w:pPr>
        <w:shd w:val="clear"/>
        <w:ind w:firstLine="359" w:firstLineChars="171"/>
        <w:rPr>
          <w:rFonts w:ascii="宋体" w:hAnsi="宋体"/>
          <w:color w:val="auto"/>
          <w:szCs w:val="21"/>
          <w:highlight w:val="none"/>
        </w:rPr>
      </w:pPr>
      <w:r>
        <w:rPr>
          <w:rFonts w:hint="eastAsia" w:ascii="宋体" w:hAnsi="宋体"/>
          <w:color w:val="auto"/>
          <w:szCs w:val="21"/>
          <w:highlight w:val="none"/>
        </w:rPr>
        <w:t>投标人代表签字：</w:t>
      </w:r>
    </w:p>
    <w:p w14:paraId="0D0A2FC0">
      <w:pPr>
        <w:shd w:val="clear"/>
        <w:ind w:firstLine="359" w:firstLineChars="171"/>
        <w:rPr>
          <w:rFonts w:ascii="宋体" w:hAnsi="宋体"/>
          <w:color w:val="auto"/>
          <w:szCs w:val="21"/>
          <w:highlight w:val="none"/>
        </w:rPr>
      </w:pPr>
      <w:r>
        <w:rPr>
          <w:rFonts w:hint="eastAsia" w:ascii="宋体" w:hAnsi="宋体"/>
          <w:color w:val="auto"/>
          <w:szCs w:val="21"/>
          <w:highlight w:val="none"/>
        </w:rPr>
        <w:t>投标人</w:t>
      </w:r>
      <w:r>
        <w:rPr>
          <w:rFonts w:hint="eastAsia" w:ascii="宋体" w:hAnsi="宋体"/>
          <w:color w:val="auto"/>
          <w:szCs w:val="21"/>
          <w:highlight w:val="none"/>
          <w:lang w:eastAsia="zh-CN"/>
        </w:rPr>
        <w:t>（</w:t>
      </w:r>
      <w:r>
        <w:rPr>
          <w:rFonts w:hint="eastAsia" w:ascii="宋体" w:hAnsi="宋体"/>
          <w:color w:val="auto"/>
          <w:szCs w:val="21"/>
          <w:highlight w:val="none"/>
        </w:rPr>
        <w:t>盖章</w:t>
      </w:r>
      <w:r>
        <w:rPr>
          <w:rFonts w:hint="eastAsia" w:ascii="宋体" w:hAnsi="宋体"/>
          <w:color w:val="auto"/>
          <w:szCs w:val="21"/>
          <w:highlight w:val="none"/>
          <w:lang w:eastAsia="zh-CN"/>
        </w:rPr>
        <w:t>）</w:t>
      </w:r>
      <w:r>
        <w:rPr>
          <w:rFonts w:hint="eastAsia" w:ascii="宋体" w:hAnsi="宋体"/>
          <w:color w:val="auto"/>
          <w:szCs w:val="21"/>
          <w:highlight w:val="none"/>
        </w:rPr>
        <w:t>：</w:t>
      </w:r>
    </w:p>
    <w:p w14:paraId="5ED5BE64">
      <w:pPr>
        <w:shd w:val="clear"/>
        <w:ind w:firstLine="359" w:firstLineChars="171"/>
        <w:rPr>
          <w:rFonts w:ascii="宋体" w:hAnsi="宋体"/>
          <w:color w:val="auto"/>
          <w:szCs w:val="21"/>
          <w:highlight w:val="none"/>
        </w:rPr>
      </w:pPr>
      <w:r>
        <w:rPr>
          <w:rFonts w:hint="eastAsia" w:ascii="宋体" w:hAnsi="宋体"/>
          <w:color w:val="auto"/>
          <w:szCs w:val="21"/>
          <w:highlight w:val="none"/>
        </w:rPr>
        <w:t>日期：</w:t>
      </w:r>
    </w:p>
    <w:p w14:paraId="04CA670D">
      <w:pPr>
        <w:pStyle w:val="13"/>
        <w:shd w:val="clear"/>
        <w:ind w:left="0" w:leftChars="0" w:firstLine="0" w:firstLineChars="0"/>
        <w:rPr>
          <w:rFonts w:ascii="宋体" w:hAnsi="宋体"/>
          <w:color w:val="auto"/>
          <w:szCs w:val="21"/>
          <w:highlight w:val="none"/>
        </w:rPr>
      </w:pPr>
    </w:p>
    <w:p w14:paraId="0CA084FA">
      <w:pPr>
        <w:shd w:val="clear"/>
        <w:ind w:left="391" w:hanging="390" w:hangingChars="186"/>
        <w:rPr>
          <w:rFonts w:ascii="宋体" w:hAnsi="宋体"/>
          <w:color w:val="auto"/>
          <w:szCs w:val="21"/>
          <w:highlight w:val="none"/>
        </w:rPr>
      </w:pPr>
      <w:r>
        <w:rPr>
          <w:rFonts w:hint="eastAsia" w:ascii="宋体" w:hAnsi="宋体"/>
          <w:color w:val="auto"/>
          <w:szCs w:val="21"/>
          <w:highlight w:val="none"/>
        </w:rPr>
        <w:t xml:space="preserve">    注：</w:t>
      </w:r>
    </w:p>
    <w:p w14:paraId="35E73C72">
      <w:pPr>
        <w:numPr>
          <w:ilvl w:val="0"/>
          <w:numId w:val="0"/>
        </w:numPr>
        <w:shd w:val="clear"/>
        <w:ind w:firstLine="420" w:firstLineChars="200"/>
        <w:rPr>
          <w:rFonts w:hint="eastAsia" w:ascii="宋体" w:hAnsi="宋体"/>
          <w:color w:val="auto"/>
          <w:szCs w:val="21"/>
          <w:highlight w:val="none"/>
        </w:rPr>
      </w:pPr>
      <w:r>
        <w:rPr>
          <w:rFonts w:hint="eastAsia" w:ascii="宋体" w:hAnsi="宋体" w:eastAsiaTheme="minorEastAsia" w:cstheme="minorBidi"/>
          <w:color w:val="auto"/>
          <w:kern w:val="2"/>
          <w:sz w:val="21"/>
          <w:szCs w:val="21"/>
          <w:highlight w:val="none"/>
          <w:lang w:val="en-US" w:eastAsia="zh-CN" w:bidi="ar-SA"/>
        </w:rPr>
        <w:t>1、</w:t>
      </w:r>
      <w:r>
        <w:rPr>
          <w:rFonts w:hint="eastAsia" w:ascii="宋体" w:hAnsi="宋体"/>
          <w:color w:val="auto"/>
          <w:szCs w:val="21"/>
          <w:highlight w:val="none"/>
        </w:rPr>
        <w:t>投标下浮率栏须用大写金额和小写金额两种方式表示的下浮率，报价保留小数点后两位。投标下浮率大小写不一致，以大写为准。</w:t>
      </w:r>
    </w:p>
    <w:p w14:paraId="46FE7AB9">
      <w:pPr>
        <w:pStyle w:val="99"/>
        <w:spacing w:line="240" w:lineRule="auto"/>
        <w:ind w:firstLine="420" w:firstLineChars="200"/>
        <w:jc w:val="both"/>
        <w:rPr>
          <w:rFonts w:hint="eastAsia" w:ascii="宋体" w:hAnsi="宋体"/>
          <w:color w:val="auto"/>
          <w:szCs w:val="21"/>
          <w:highlight w:val="none"/>
        </w:rPr>
      </w:pPr>
      <w:r>
        <w:rPr>
          <w:rFonts w:hint="eastAsia" w:ascii="宋体" w:hAnsi="宋体" w:eastAsiaTheme="minorEastAsia" w:cstheme="minorBidi"/>
          <w:color w:val="auto"/>
          <w:kern w:val="2"/>
          <w:sz w:val="21"/>
          <w:szCs w:val="21"/>
          <w:highlight w:val="none"/>
          <w:lang w:val="en-US" w:eastAsia="zh-CN" w:bidi="ar-SA"/>
        </w:rPr>
        <w:t>2、</w:t>
      </w:r>
      <w:r>
        <w:rPr>
          <w:rFonts w:hint="eastAsia" w:ascii="Tahoma" w:hAnsi="宋体" w:eastAsia="宋体" w:cs="宋体"/>
          <w:b w:val="0"/>
          <w:bCs w:val="0"/>
          <w:color w:val="auto"/>
          <w:sz w:val="21"/>
          <w:szCs w:val="21"/>
          <w:highlight w:val="none"/>
          <w:lang w:val="en-US" w:eastAsia="zh-CN" w:bidi="ar-SA"/>
        </w:rPr>
        <w:t>本项目以批量单价整体下浮的方式进行报价，投标人按下浮率方式进行报价（投标报价保留小数点后两位数），下浮率须为固定报价，不接受区间报价</w:t>
      </w:r>
      <w:r>
        <w:rPr>
          <w:rFonts w:hint="eastAsia" w:ascii="宋体" w:hAnsi="宋体" w:eastAsia="宋体" w:cs="宋体"/>
          <w:b w:val="0"/>
          <w:bCs w:val="0"/>
          <w:color w:val="auto"/>
          <w:sz w:val="21"/>
          <w:szCs w:val="21"/>
          <w:highlight w:val="none"/>
          <w:lang w:val="en-US" w:eastAsia="zh-CN" w:bidi="ar-SA"/>
        </w:rPr>
        <w:t>（如10%-20%）</w:t>
      </w:r>
      <w:r>
        <w:rPr>
          <w:rFonts w:hint="eastAsia" w:ascii="Tahoma" w:hAnsi="宋体" w:eastAsia="宋体" w:cs="宋体"/>
          <w:b w:val="0"/>
          <w:bCs w:val="0"/>
          <w:color w:val="auto"/>
          <w:sz w:val="21"/>
          <w:szCs w:val="21"/>
          <w:highlight w:val="none"/>
          <w:lang w:val="en-US" w:eastAsia="zh-CN" w:bidi="ar-SA"/>
        </w:rPr>
        <w:t>，报价范围：</w:t>
      </w:r>
      <w:r>
        <w:rPr>
          <w:rFonts w:hint="eastAsia" w:ascii="宋体" w:hAnsi="宋体" w:eastAsia="宋体" w:cs="宋体"/>
          <w:b w:val="0"/>
          <w:bCs w:val="0"/>
          <w:color w:val="auto"/>
          <w:sz w:val="21"/>
          <w:szCs w:val="21"/>
          <w:highlight w:val="none"/>
          <w:lang w:val="en-US" w:eastAsia="zh-CN" w:bidi="ar-SA"/>
        </w:rPr>
        <w:t>3.00%≤投标下浮率≤100%</w:t>
      </w:r>
      <w:r>
        <w:rPr>
          <w:rFonts w:hint="eastAsia" w:ascii="Tahoma" w:hAnsi="宋体" w:eastAsia="宋体" w:cs="宋体"/>
          <w:b w:val="0"/>
          <w:bCs w:val="0"/>
          <w:color w:val="auto"/>
          <w:sz w:val="21"/>
          <w:szCs w:val="21"/>
          <w:highlight w:val="none"/>
          <w:lang w:val="en-US" w:eastAsia="zh-CN" w:bidi="ar-SA"/>
        </w:rPr>
        <w:t>，精确到小数点后两位，凡超过该报价范围</w:t>
      </w:r>
      <w:r>
        <w:rPr>
          <w:rFonts w:hint="eastAsia" w:ascii="宋体" w:hAnsi="宋体" w:eastAsia="宋体" w:cs="宋体"/>
          <w:b w:val="0"/>
          <w:bCs w:val="0"/>
          <w:color w:val="auto"/>
          <w:sz w:val="21"/>
          <w:szCs w:val="21"/>
          <w:highlight w:val="none"/>
          <w:lang w:val="en-US" w:eastAsia="zh-CN" w:bidi="ar-SA"/>
        </w:rPr>
        <w:t>的报价均为无效投标。采购时按实际供货数量乘以供货单价进行结算，供货单价=基准价×（1－中标下浮率），供货单价保留小数点后两位数，第三位不予四舍五入。最终供货货物单价=基准价×（1-下浮率），签订合同后根据实际的采购货物数量结算。如某供货货物基准价为100元，中标报价下浮率为5%，则对应的某供货货物单价为：100元×（1-5%）=95元。</w:t>
      </w:r>
    </w:p>
    <w:p w14:paraId="545E0A32">
      <w:pPr>
        <w:shd w:val="clear"/>
        <w:ind w:firstLine="420" w:firstLineChars="200"/>
        <w:rPr>
          <w:rFonts w:hint="eastAsia" w:ascii="宋体" w:hAnsi="宋体"/>
          <w:color w:val="auto"/>
          <w:szCs w:val="21"/>
          <w:highlight w:val="none"/>
        </w:rPr>
      </w:pPr>
      <w:r>
        <w:rPr>
          <w:rFonts w:hint="eastAsia" w:ascii="宋体" w:hAnsi="宋体"/>
          <w:color w:val="auto"/>
          <w:szCs w:val="21"/>
          <w:highlight w:val="none"/>
        </w:rPr>
        <w:t>3、</w:t>
      </w:r>
      <w:r>
        <w:rPr>
          <w:color w:val="auto"/>
          <w:highlight w:val="none"/>
        </w:rPr>
        <w:t>报价中必须包含但不限于完成本项目全部内容、全部货物和服务的价格及相关税费、运输费、统计费、分发费、保险费、装卸费、搬运费、快递费、售后服务、税金等一切完成本项目的所有可见及不可预见费用。中标人不得另向采购人收费。</w:t>
      </w:r>
    </w:p>
    <w:p w14:paraId="732B3E6F">
      <w:pPr>
        <w:shd w:val="clear"/>
        <w:ind w:firstLine="420" w:firstLineChars="200"/>
        <w:rPr>
          <w:rFonts w:hint="eastAsia" w:ascii="宋体" w:hAnsi="宋体"/>
          <w:color w:val="auto"/>
          <w:szCs w:val="21"/>
          <w:highlight w:val="none"/>
        </w:rPr>
      </w:pPr>
      <w:r>
        <w:rPr>
          <w:rFonts w:hint="eastAsia" w:ascii="宋体" w:hAnsi="宋体"/>
          <w:color w:val="auto"/>
          <w:szCs w:val="21"/>
          <w:highlight w:val="none"/>
        </w:rPr>
        <w:t>4</w:t>
      </w:r>
      <w:r>
        <w:rPr>
          <w:rFonts w:hint="eastAsia" w:ascii="宋体" w:hAnsi="宋体"/>
          <w:color w:val="auto"/>
          <w:szCs w:val="21"/>
          <w:highlight w:val="none"/>
          <w:lang w:eastAsia="zh-CN"/>
        </w:rPr>
        <w:t>、</w:t>
      </w:r>
      <w:r>
        <w:rPr>
          <w:rFonts w:hint="eastAsia" w:ascii="宋体" w:hAnsi="宋体"/>
          <w:color w:val="auto"/>
          <w:szCs w:val="21"/>
          <w:highlight w:val="none"/>
        </w:rPr>
        <w:t>未按采购文件要求报价、填写开标一览表是导致投标人废标的常见问题，请投标人仔细填写，认真核对。</w:t>
      </w:r>
    </w:p>
    <w:p w14:paraId="50E42F18">
      <w:pPr>
        <w:shd w:val="clear"/>
        <w:adjustRightInd/>
        <w:snapToGrid/>
        <w:spacing w:line="276" w:lineRule="auto"/>
        <w:rPr>
          <w:rFonts w:hint="eastAsia" w:ascii="宋体" w:hAnsi="宋体" w:eastAsia="宋体" w:cs="宋体"/>
          <w:color w:val="auto"/>
          <w:szCs w:val="21"/>
          <w:highlight w:val="none"/>
        </w:rPr>
      </w:pPr>
    </w:p>
    <w:p w14:paraId="416F6E62">
      <w:pPr>
        <w:shd w:val="clear"/>
        <w:spacing w:line="360" w:lineRule="auto"/>
        <w:ind w:firstLine="4200" w:firstLineChars="2000"/>
        <w:rPr>
          <w:rFonts w:ascii="宋体" w:hAnsi="宋体" w:eastAsia="宋体" w:cs="Times New Roman"/>
          <w:color w:val="auto"/>
          <w:kern w:val="0"/>
          <w:szCs w:val="21"/>
          <w:highlight w:val="none"/>
        </w:rPr>
      </w:pPr>
      <w:bookmarkStart w:id="520" w:name="_Toc21746"/>
      <w:bookmarkStart w:id="521" w:name="_Toc18450"/>
      <w:bookmarkStart w:id="522" w:name="_Toc20335"/>
      <w:bookmarkStart w:id="523" w:name="_Toc30918"/>
      <w:bookmarkStart w:id="524" w:name="_Toc28154"/>
    </w:p>
    <w:bookmarkEnd w:id="520"/>
    <w:bookmarkEnd w:id="521"/>
    <w:bookmarkEnd w:id="522"/>
    <w:bookmarkEnd w:id="523"/>
    <w:bookmarkEnd w:id="524"/>
    <w:p w14:paraId="260D2028">
      <w:pPr>
        <w:pStyle w:val="3"/>
        <w:shd w:val="clear"/>
        <w:spacing w:before="0" w:after="0" w:line="360" w:lineRule="auto"/>
        <w:jc w:val="center"/>
        <w:rPr>
          <w:rFonts w:hint="eastAsia" w:ascii="宋体" w:hAnsi="宋体" w:eastAsia="宋体" w:cs="宋体"/>
          <w:color w:val="auto"/>
          <w:sz w:val="72"/>
          <w:szCs w:val="72"/>
          <w:highlight w:val="none"/>
        </w:rPr>
      </w:pPr>
      <w:bookmarkStart w:id="525" w:name="_Toc8055"/>
      <w:bookmarkStart w:id="526" w:name="_Toc19403"/>
      <w:bookmarkStart w:id="527" w:name="_Toc8252"/>
      <w:bookmarkStart w:id="528" w:name="_Toc14446"/>
      <w:bookmarkStart w:id="529" w:name="_Toc7358"/>
      <w:bookmarkStart w:id="530" w:name="_Toc587"/>
      <w:bookmarkStart w:id="531" w:name="_Toc1060"/>
      <w:bookmarkStart w:id="532" w:name="_Toc29603"/>
      <w:r>
        <w:rPr>
          <w:rFonts w:hint="eastAsia" w:ascii="宋体" w:hAnsi="宋体" w:eastAsia="宋体" w:cs="宋体"/>
          <w:color w:val="auto"/>
          <w:sz w:val="72"/>
          <w:szCs w:val="72"/>
          <w:highlight w:val="none"/>
        </w:rPr>
        <w:t>商务文件</w:t>
      </w:r>
      <w:bookmarkEnd w:id="525"/>
      <w:bookmarkEnd w:id="526"/>
      <w:bookmarkEnd w:id="527"/>
      <w:bookmarkEnd w:id="528"/>
      <w:bookmarkEnd w:id="529"/>
      <w:bookmarkEnd w:id="530"/>
      <w:bookmarkEnd w:id="531"/>
      <w:bookmarkEnd w:id="532"/>
    </w:p>
    <w:p w14:paraId="2A1F000B">
      <w:pPr>
        <w:shd w:val="clear"/>
        <w:jc w:val="center"/>
        <w:rPr>
          <w:rFonts w:hint="eastAsia" w:ascii="宋体" w:hAnsi="宋体" w:eastAsia="宋体" w:cs="宋体"/>
          <w:color w:val="auto"/>
          <w:sz w:val="72"/>
          <w:szCs w:val="72"/>
          <w:highlight w:val="none"/>
        </w:rPr>
      </w:pPr>
      <w:r>
        <w:rPr>
          <w:rFonts w:hint="eastAsia" w:ascii="宋体" w:hAnsi="宋体" w:eastAsia="宋体" w:cs="宋体"/>
          <w:color w:val="auto"/>
          <w:sz w:val="72"/>
          <w:szCs w:val="72"/>
          <w:highlight w:val="none"/>
        </w:rPr>
        <w:t>（单独装订成册）</w:t>
      </w:r>
    </w:p>
    <w:p w14:paraId="344FB944">
      <w:pPr>
        <w:shd w:val="clear"/>
        <w:rPr>
          <w:rFonts w:hint="eastAsia" w:ascii="宋体" w:hAnsi="宋体" w:eastAsia="宋体" w:cs="宋体"/>
          <w:color w:val="auto"/>
          <w:highlight w:val="none"/>
        </w:rPr>
      </w:pPr>
    </w:p>
    <w:p w14:paraId="5868900B">
      <w:pPr>
        <w:pStyle w:val="13"/>
        <w:shd w:val="clear"/>
        <w:rPr>
          <w:rFonts w:hint="eastAsia" w:ascii="宋体" w:hAnsi="宋体" w:eastAsia="宋体" w:cs="宋体"/>
          <w:color w:val="auto"/>
          <w:highlight w:val="none"/>
        </w:rPr>
      </w:pPr>
    </w:p>
    <w:p w14:paraId="335D6D50">
      <w:pPr>
        <w:pStyle w:val="33"/>
        <w:shd w:val="clear"/>
        <w:ind w:firstLine="240"/>
        <w:rPr>
          <w:rFonts w:hint="eastAsia" w:ascii="宋体" w:hAnsi="宋体" w:eastAsia="宋体" w:cs="宋体"/>
          <w:color w:val="auto"/>
          <w:highlight w:val="none"/>
        </w:rPr>
      </w:pPr>
    </w:p>
    <w:p w14:paraId="35A49F12">
      <w:pPr>
        <w:shd w:val="clear"/>
        <w:rPr>
          <w:rFonts w:hint="eastAsia" w:ascii="宋体" w:hAnsi="宋体" w:eastAsia="宋体" w:cs="宋体"/>
          <w:b/>
          <w:bCs/>
          <w:color w:val="auto"/>
          <w:spacing w:val="-6"/>
          <w:sz w:val="32"/>
          <w:szCs w:val="32"/>
          <w:highlight w:val="none"/>
        </w:rPr>
      </w:pPr>
      <w:r>
        <w:rPr>
          <w:rFonts w:hint="eastAsia" w:ascii="宋体" w:hAnsi="宋体" w:eastAsia="宋体" w:cs="宋体"/>
          <w:b/>
          <w:bCs/>
          <w:color w:val="auto"/>
          <w:spacing w:val="53"/>
          <w:kern w:val="0"/>
          <w:sz w:val="32"/>
          <w:szCs w:val="32"/>
          <w:highlight w:val="none"/>
          <w:fitText w:val="1600" w:id="4"/>
        </w:rPr>
        <w:t>项目名</w:t>
      </w:r>
      <w:r>
        <w:rPr>
          <w:rFonts w:hint="eastAsia" w:ascii="宋体" w:hAnsi="宋体" w:eastAsia="宋体" w:cs="宋体"/>
          <w:b/>
          <w:bCs/>
          <w:color w:val="auto"/>
          <w:spacing w:val="1"/>
          <w:kern w:val="0"/>
          <w:sz w:val="32"/>
          <w:szCs w:val="32"/>
          <w:highlight w:val="none"/>
          <w:fitText w:val="1600" w:id="4"/>
        </w:rPr>
        <w:t>称</w:t>
      </w:r>
      <w:r>
        <w:rPr>
          <w:rFonts w:hint="eastAsia" w:ascii="宋体" w:hAnsi="宋体" w:eastAsia="宋体" w:cs="宋体"/>
          <w:b/>
          <w:bCs/>
          <w:color w:val="auto"/>
          <w:spacing w:val="-6"/>
          <w:sz w:val="32"/>
          <w:szCs w:val="32"/>
          <w:highlight w:val="none"/>
        </w:rPr>
        <w:t>：</w:t>
      </w:r>
    </w:p>
    <w:p w14:paraId="204E4206">
      <w:pPr>
        <w:shd w:val="clear"/>
        <w:rPr>
          <w:rFonts w:hint="eastAsia" w:ascii="宋体" w:hAnsi="宋体" w:eastAsia="宋体" w:cs="宋体"/>
          <w:b/>
          <w:bCs/>
          <w:color w:val="auto"/>
          <w:sz w:val="32"/>
          <w:szCs w:val="32"/>
          <w:highlight w:val="none"/>
        </w:rPr>
      </w:pPr>
      <w:r>
        <w:rPr>
          <w:rFonts w:hint="eastAsia" w:ascii="宋体" w:hAnsi="宋体" w:eastAsia="宋体" w:cs="宋体"/>
          <w:b/>
          <w:bCs/>
          <w:color w:val="auto"/>
          <w:spacing w:val="53"/>
          <w:kern w:val="0"/>
          <w:sz w:val="32"/>
          <w:szCs w:val="32"/>
          <w:highlight w:val="none"/>
          <w:fitText w:val="1600" w:id="5"/>
        </w:rPr>
        <w:t>项目编</w:t>
      </w:r>
      <w:r>
        <w:rPr>
          <w:rFonts w:hint="eastAsia" w:ascii="宋体" w:hAnsi="宋体" w:eastAsia="宋体" w:cs="宋体"/>
          <w:b/>
          <w:bCs/>
          <w:color w:val="auto"/>
          <w:spacing w:val="1"/>
          <w:kern w:val="0"/>
          <w:sz w:val="32"/>
          <w:szCs w:val="32"/>
          <w:highlight w:val="none"/>
          <w:fitText w:val="1600" w:id="5"/>
        </w:rPr>
        <w:t>号</w:t>
      </w:r>
      <w:r>
        <w:rPr>
          <w:rFonts w:hint="eastAsia" w:ascii="宋体" w:hAnsi="宋体" w:eastAsia="宋体" w:cs="宋体"/>
          <w:b/>
          <w:bCs/>
          <w:color w:val="auto"/>
          <w:sz w:val="32"/>
          <w:szCs w:val="32"/>
          <w:highlight w:val="none"/>
        </w:rPr>
        <w:t>：</w:t>
      </w:r>
    </w:p>
    <w:p w14:paraId="04DA3B84">
      <w:pPr>
        <w:pStyle w:val="13"/>
        <w:shd w:val="clear"/>
        <w:ind w:left="0"/>
        <w:rPr>
          <w:rFonts w:hint="eastAsia" w:ascii="宋体" w:hAnsi="宋体" w:eastAsia="宋体" w:cs="宋体"/>
          <w:b/>
          <w:color w:val="auto"/>
          <w:spacing w:val="1280"/>
          <w:sz w:val="32"/>
          <w:szCs w:val="32"/>
          <w:highlight w:val="none"/>
        </w:rPr>
      </w:pPr>
      <w:r>
        <w:rPr>
          <w:rFonts w:hint="eastAsia" w:ascii="宋体" w:hAnsi="宋体" w:eastAsia="宋体" w:cs="宋体"/>
          <w:b/>
          <w:color w:val="auto"/>
          <w:spacing w:val="106"/>
          <w:sz w:val="32"/>
          <w:szCs w:val="32"/>
          <w:highlight w:val="none"/>
          <w:lang w:val="en-US" w:bidi="ar-SA"/>
        </w:rPr>
        <w:t>包组号（如有）：</w:t>
      </w:r>
    </w:p>
    <w:p w14:paraId="133C4A95">
      <w:pPr>
        <w:shd w:val="clear"/>
        <w:rPr>
          <w:rFonts w:hint="eastAsia" w:ascii="宋体" w:hAnsi="宋体" w:eastAsia="宋体" w:cs="宋体"/>
          <w:b/>
          <w:color w:val="auto"/>
          <w:sz w:val="32"/>
          <w:szCs w:val="32"/>
          <w:highlight w:val="none"/>
        </w:rPr>
      </w:pPr>
      <w:r>
        <w:rPr>
          <w:rFonts w:hint="eastAsia" w:ascii="宋体" w:hAnsi="宋体" w:eastAsia="宋体" w:cs="宋体"/>
          <w:b/>
          <w:color w:val="auto"/>
          <w:spacing w:val="0"/>
          <w:kern w:val="0"/>
          <w:sz w:val="32"/>
          <w:szCs w:val="32"/>
          <w:highlight w:val="none"/>
          <w:fitText w:val="1600" w:id="6"/>
        </w:rPr>
        <w:t>投标人名称</w:t>
      </w:r>
      <w:r>
        <w:rPr>
          <w:rFonts w:hint="eastAsia" w:ascii="宋体" w:hAnsi="宋体" w:eastAsia="宋体" w:cs="宋体"/>
          <w:b/>
          <w:color w:val="auto"/>
          <w:sz w:val="32"/>
          <w:szCs w:val="32"/>
          <w:highlight w:val="none"/>
        </w:rPr>
        <w:t>：</w:t>
      </w:r>
    </w:p>
    <w:p w14:paraId="6829DCB0">
      <w:pPr>
        <w:shd w:val="clear"/>
        <w:rPr>
          <w:rFonts w:hint="eastAsia" w:ascii="宋体" w:hAnsi="宋体" w:eastAsia="宋体" w:cs="宋体"/>
          <w:b/>
          <w:color w:val="auto"/>
          <w:sz w:val="32"/>
          <w:szCs w:val="32"/>
          <w:highlight w:val="none"/>
        </w:rPr>
      </w:pPr>
      <w:r>
        <w:rPr>
          <w:rFonts w:hint="eastAsia" w:ascii="宋体" w:hAnsi="宋体" w:eastAsia="宋体" w:cs="宋体"/>
          <w:b/>
          <w:color w:val="auto"/>
          <w:spacing w:val="32"/>
          <w:kern w:val="0"/>
          <w:sz w:val="32"/>
          <w:szCs w:val="32"/>
          <w:highlight w:val="none"/>
          <w:fitText w:val="1600" w:id="7"/>
        </w:rPr>
        <w:t xml:space="preserve">日    </w:t>
      </w:r>
      <w:r>
        <w:rPr>
          <w:rFonts w:hint="eastAsia" w:ascii="宋体" w:hAnsi="宋体" w:eastAsia="宋体" w:cs="宋体"/>
          <w:b/>
          <w:color w:val="auto"/>
          <w:spacing w:val="0"/>
          <w:kern w:val="0"/>
          <w:sz w:val="32"/>
          <w:szCs w:val="32"/>
          <w:highlight w:val="none"/>
          <w:fitText w:val="1600" w:id="7"/>
        </w:rPr>
        <w:t>期</w:t>
      </w:r>
      <w:r>
        <w:rPr>
          <w:rFonts w:hint="eastAsia" w:ascii="宋体" w:hAnsi="宋体" w:eastAsia="宋体" w:cs="宋体"/>
          <w:b/>
          <w:color w:val="auto"/>
          <w:sz w:val="32"/>
          <w:szCs w:val="32"/>
          <w:highlight w:val="none"/>
        </w:rPr>
        <w:t>：</w:t>
      </w:r>
    </w:p>
    <w:p w14:paraId="419DABD2">
      <w:pPr>
        <w:pStyle w:val="13"/>
        <w:shd w:val="clear"/>
        <w:rPr>
          <w:rFonts w:hint="eastAsia" w:ascii="宋体" w:hAnsi="宋体" w:eastAsia="宋体" w:cs="宋体"/>
          <w:b/>
          <w:color w:val="auto"/>
          <w:sz w:val="32"/>
          <w:szCs w:val="32"/>
          <w:highlight w:val="none"/>
        </w:rPr>
      </w:pPr>
    </w:p>
    <w:p w14:paraId="30983EF9">
      <w:pPr>
        <w:pStyle w:val="33"/>
        <w:shd w:val="clear"/>
        <w:ind w:firstLine="321"/>
        <w:rPr>
          <w:rFonts w:hint="eastAsia" w:ascii="宋体" w:hAnsi="宋体" w:eastAsia="宋体" w:cs="宋体"/>
          <w:b/>
          <w:color w:val="auto"/>
          <w:sz w:val="32"/>
          <w:szCs w:val="32"/>
          <w:highlight w:val="none"/>
        </w:rPr>
      </w:pPr>
    </w:p>
    <w:p w14:paraId="3B07B470">
      <w:pPr>
        <w:pStyle w:val="27"/>
        <w:shd w:val="clear"/>
        <w:rPr>
          <w:rFonts w:hint="eastAsia" w:ascii="宋体" w:hAnsi="宋体" w:eastAsia="宋体" w:cs="宋体"/>
          <w:b/>
          <w:color w:val="auto"/>
          <w:sz w:val="32"/>
          <w:szCs w:val="32"/>
          <w:highlight w:val="none"/>
        </w:rPr>
      </w:pPr>
    </w:p>
    <w:p w14:paraId="651136AF">
      <w:pPr>
        <w:shd w:val="clear"/>
        <w:rPr>
          <w:rFonts w:hint="eastAsia" w:ascii="宋体" w:hAnsi="宋体" w:eastAsia="宋体" w:cs="宋体"/>
          <w:b/>
          <w:color w:val="auto"/>
          <w:sz w:val="32"/>
          <w:szCs w:val="32"/>
          <w:highlight w:val="none"/>
        </w:rPr>
      </w:pPr>
    </w:p>
    <w:p w14:paraId="7A3A2A91">
      <w:pPr>
        <w:pStyle w:val="13"/>
        <w:shd w:val="clear"/>
        <w:rPr>
          <w:rFonts w:hint="eastAsia" w:ascii="宋体" w:hAnsi="宋体" w:eastAsia="宋体" w:cs="宋体"/>
          <w:b/>
          <w:color w:val="auto"/>
          <w:sz w:val="32"/>
          <w:szCs w:val="32"/>
          <w:highlight w:val="none"/>
        </w:rPr>
      </w:pPr>
    </w:p>
    <w:p w14:paraId="4EDC938A">
      <w:pPr>
        <w:shd w:val="clear"/>
        <w:rPr>
          <w:rFonts w:hint="eastAsia" w:ascii="宋体" w:hAnsi="宋体" w:eastAsia="宋体" w:cs="宋体"/>
          <w:color w:val="auto"/>
          <w:highlight w:val="none"/>
        </w:rPr>
      </w:pPr>
    </w:p>
    <w:p w14:paraId="711DB13D">
      <w:pPr>
        <w:shd w:val="clear"/>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02EA5228">
      <w:pPr>
        <w:pStyle w:val="5"/>
        <w:widowControl w:val="0"/>
        <w:shd w:val="clear"/>
        <w:overflowPunct w:val="0"/>
        <w:spacing w:line="240" w:lineRule="auto"/>
        <w:rPr>
          <w:rFonts w:hint="eastAsia" w:ascii="宋体" w:hAnsi="宋体" w:eastAsia="宋体" w:cs="宋体"/>
          <w:color w:val="auto"/>
          <w:highlight w:val="none"/>
        </w:rPr>
      </w:pPr>
      <w:bookmarkStart w:id="533" w:name="_Toc22264"/>
      <w:bookmarkStart w:id="534" w:name="_Toc11732"/>
      <w:bookmarkStart w:id="535" w:name="_Toc20042"/>
      <w:bookmarkStart w:id="536" w:name="_Toc28544"/>
      <w:bookmarkStart w:id="537" w:name="_Toc9488"/>
      <w:bookmarkStart w:id="538" w:name="_Toc32289"/>
      <w:bookmarkStart w:id="539" w:name="_Toc24222"/>
      <w:bookmarkStart w:id="540" w:name="_Toc4265"/>
      <w:r>
        <w:rPr>
          <w:rFonts w:hint="eastAsia" w:ascii="宋体" w:hAnsi="宋体" w:eastAsia="宋体" w:cs="宋体"/>
          <w:color w:val="auto"/>
          <w:sz w:val="21"/>
          <w:szCs w:val="21"/>
          <w:highlight w:val="none"/>
        </w:rPr>
        <w:t>附件</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.投标书格式</w:t>
      </w:r>
      <w:bookmarkEnd w:id="533"/>
      <w:bookmarkEnd w:id="534"/>
      <w:bookmarkEnd w:id="535"/>
      <w:bookmarkEnd w:id="536"/>
      <w:bookmarkEnd w:id="537"/>
      <w:bookmarkEnd w:id="538"/>
      <w:bookmarkEnd w:id="539"/>
      <w:bookmarkEnd w:id="540"/>
    </w:p>
    <w:p w14:paraId="2BFAAAAB">
      <w:pPr>
        <w:shd w:val="clear"/>
        <w:jc w:val="center"/>
        <w:rPr>
          <w:rFonts w:hint="eastAsia" w:ascii="宋体" w:hAnsi="宋体" w:eastAsia="宋体" w:cs="宋体"/>
          <w:color w:val="auto"/>
          <w:szCs w:val="21"/>
          <w:highlight w:val="none"/>
        </w:rPr>
      </w:pPr>
      <w:r>
        <w:rPr>
          <w:rFonts w:hint="eastAsia" w:ascii="宋体" w:hAnsi="宋体" w:eastAsia="宋体" w:cs="宋体"/>
          <w:color w:val="auto"/>
          <w:sz w:val="32"/>
          <w:szCs w:val="32"/>
          <w:highlight w:val="none"/>
        </w:rPr>
        <w:t>投标书</w:t>
      </w:r>
    </w:p>
    <w:p w14:paraId="0C442F0A">
      <w:pPr>
        <w:shd w:val="clear"/>
        <w:rPr>
          <w:rFonts w:hint="eastAsia" w:ascii="宋体" w:hAnsi="宋体" w:eastAsia="宋体" w:cs="宋体"/>
          <w:color w:val="auto"/>
          <w:szCs w:val="21"/>
          <w:highlight w:val="none"/>
        </w:rPr>
      </w:pPr>
      <w:r>
        <w:rPr>
          <w:rFonts w:hint="eastAsia" w:ascii="宋体" w:hAnsi="宋体" w:eastAsia="宋体" w:cs="宋体"/>
          <w:color w:val="auto"/>
          <w:szCs w:val="21"/>
          <w:highlight w:val="none"/>
        </w:rPr>
        <w:t>致：</w:t>
      </w:r>
      <w:r>
        <w:rPr>
          <w:rFonts w:hint="eastAsia" w:ascii="宋体" w:hAnsi="宋体" w:cs="宋体"/>
          <w:color w:val="auto"/>
          <w:szCs w:val="21"/>
          <w:highlight w:val="none"/>
          <w:lang w:eastAsia="zh-CN"/>
        </w:rPr>
        <w:t>广州宏达工程顾问集团有限公司</w:t>
      </w:r>
      <w:r>
        <w:rPr>
          <w:rFonts w:hint="eastAsia" w:ascii="宋体" w:hAnsi="宋体" w:eastAsia="宋体" w:cs="宋体"/>
          <w:color w:val="auto"/>
          <w:szCs w:val="21"/>
          <w:highlight w:val="none"/>
        </w:rPr>
        <w:t>：</w:t>
      </w:r>
    </w:p>
    <w:p w14:paraId="098FB571">
      <w:pPr>
        <w:shd w:val="clear"/>
        <w:rPr>
          <w:rFonts w:hint="eastAsia" w:ascii="宋体" w:hAnsi="宋体" w:eastAsia="宋体" w:cs="宋体"/>
          <w:color w:val="auto"/>
          <w:szCs w:val="21"/>
          <w:highlight w:val="none"/>
        </w:rPr>
      </w:pPr>
    </w:p>
    <w:p w14:paraId="7FAF219D">
      <w:pPr>
        <w:shd w:val="clear"/>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根据贵方为</w:t>
      </w:r>
      <w:r>
        <w:rPr>
          <w:rFonts w:hint="eastAsia" w:ascii="宋体" w:hAnsi="宋体" w:eastAsia="宋体" w:cs="宋体"/>
          <w:color w:val="auto"/>
          <w:szCs w:val="21"/>
          <w:highlight w:val="none"/>
          <w:u w:val="single"/>
        </w:rPr>
        <w:t>（项目名称）（采购项目编号）</w:t>
      </w:r>
      <w:r>
        <w:rPr>
          <w:rFonts w:hint="eastAsia" w:ascii="宋体" w:hAnsi="宋体" w:eastAsia="宋体" w:cs="宋体"/>
          <w:color w:val="auto"/>
          <w:szCs w:val="21"/>
          <w:highlight w:val="none"/>
        </w:rPr>
        <w:t>项目采购公告/采购邀请，签字代表</w:t>
      </w:r>
      <w:r>
        <w:rPr>
          <w:rFonts w:hint="eastAsia" w:ascii="宋体" w:hAnsi="宋体" w:eastAsia="宋体" w:cs="宋体"/>
          <w:color w:val="auto"/>
          <w:szCs w:val="21"/>
          <w:highlight w:val="none"/>
          <w:u w:val="single"/>
        </w:rPr>
        <w:t>（姓名、职务）</w:t>
      </w:r>
      <w:r>
        <w:rPr>
          <w:rFonts w:hint="eastAsia" w:ascii="宋体" w:hAnsi="宋体" w:eastAsia="宋体" w:cs="宋体"/>
          <w:color w:val="auto"/>
          <w:szCs w:val="21"/>
          <w:highlight w:val="none"/>
        </w:rPr>
        <w:t>经正式授权并代表投标人</w:t>
      </w:r>
      <w:r>
        <w:rPr>
          <w:rFonts w:hint="eastAsia" w:ascii="宋体" w:hAnsi="宋体" w:eastAsia="宋体" w:cs="宋体"/>
          <w:color w:val="auto"/>
          <w:szCs w:val="21"/>
          <w:highlight w:val="none"/>
          <w:u w:val="single"/>
        </w:rPr>
        <w:t>（投标人名称、地址）</w:t>
      </w:r>
      <w:r>
        <w:rPr>
          <w:rFonts w:hint="eastAsia" w:ascii="宋体" w:hAnsi="宋体" w:eastAsia="宋体" w:cs="宋体"/>
          <w:color w:val="auto"/>
          <w:szCs w:val="21"/>
          <w:highlight w:val="none"/>
        </w:rPr>
        <w:t>提交投标文件及“唱标信封”：</w:t>
      </w:r>
    </w:p>
    <w:p w14:paraId="0899B7AF">
      <w:pPr>
        <w:shd w:val="clear"/>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在此，签字代表宣布同意如下： </w:t>
      </w:r>
    </w:p>
    <w:p w14:paraId="084A5AA6">
      <w:pPr>
        <w:widowControl w:val="0"/>
        <w:numPr>
          <w:ilvl w:val="0"/>
          <w:numId w:val="12"/>
        </w:numPr>
        <w:shd w:val="clear"/>
        <w:adjustRightInd/>
        <w:snapToGrid/>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我方将按采购文件的规定履行合同责任和义务。 </w:t>
      </w:r>
    </w:p>
    <w:p w14:paraId="36547E87">
      <w:pPr>
        <w:widowControl w:val="0"/>
        <w:numPr>
          <w:ilvl w:val="0"/>
          <w:numId w:val="12"/>
        </w:numPr>
        <w:shd w:val="clear"/>
        <w:adjustRightInd/>
        <w:snapToGrid/>
        <w:jc w:val="both"/>
        <w:rPr>
          <w:rFonts w:hint="eastAsia" w:ascii="宋体" w:hAnsi="宋体" w:eastAsia="宋体" w:cs="宋体"/>
          <w:color w:val="auto"/>
          <w:szCs w:val="21"/>
          <w:highlight w:val="none"/>
        </w:rPr>
      </w:pPr>
      <w:r>
        <w:rPr>
          <w:rFonts w:hint="eastAsia" w:ascii="宋体" w:hAnsi="宋体" w:eastAsia="宋体" w:cs="宋体"/>
          <w:b/>
          <w:color w:val="auto"/>
          <w:szCs w:val="21"/>
          <w:highlight w:val="none"/>
        </w:rPr>
        <w:t>我方已完整阅读了本项目采购文件的所有内容（包括澄清，以及所有已提供的参考资料和有关附件），并完全理解上述文件所表达的意思，该项目递交投标文件时间截止后，我方承诺不再对上述文件内容进行异议。</w:t>
      </w:r>
    </w:p>
    <w:p w14:paraId="6D739002">
      <w:pPr>
        <w:widowControl w:val="0"/>
        <w:numPr>
          <w:ilvl w:val="0"/>
          <w:numId w:val="12"/>
        </w:numPr>
        <w:shd w:val="clear"/>
        <w:adjustRightInd/>
        <w:snapToGrid/>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本投标有效期为自开标日起</w:t>
      </w:r>
      <w:r>
        <w:rPr>
          <w:rFonts w:hint="eastAsia" w:ascii="宋体" w:hAnsi="宋体" w:eastAsia="宋体" w:cs="宋体"/>
          <w:color w:val="auto"/>
          <w:szCs w:val="21"/>
          <w:highlight w:val="none"/>
          <w:u w:val="single"/>
        </w:rPr>
        <w:t>90</w:t>
      </w:r>
      <w:r>
        <w:rPr>
          <w:rFonts w:hint="eastAsia" w:ascii="宋体" w:hAnsi="宋体" w:eastAsia="宋体" w:cs="宋体"/>
          <w:color w:val="auto"/>
          <w:szCs w:val="21"/>
          <w:highlight w:val="none"/>
        </w:rPr>
        <w:t xml:space="preserve">个日历日。 </w:t>
      </w:r>
    </w:p>
    <w:p w14:paraId="136E0D2F">
      <w:pPr>
        <w:widowControl w:val="0"/>
        <w:numPr>
          <w:ilvl w:val="0"/>
          <w:numId w:val="12"/>
        </w:numPr>
        <w:shd w:val="clear"/>
        <w:adjustRightInd/>
        <w:snapToGrid/>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我方保证遵守投标人须知中关于没收投标保证金的规定。</w:t>
      </w:r>
    </w:p>
    <w:p w14:paraId="615DD609">
      <w:pPr>
        <w:widowControl w:val="0"/>
        <w:numPr>
          <w:ilvl w:val="0"/>
          <w:numId w:val="12"/>
        </w:numPr>
        <w:shd w:val="clear"/>
        <w:adjustRightInd/>
        <w:snapToGrid/>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我方承诺，与买方聘请的为此项目提供咨询服务的公司及任何附属机构均无关联，我方不是买方的附属机构。 </w:t>
      </w:r>
    </w:p>
    <w:p w14:paraId="090458C3">
      <w:pPr>
        <w:widowControl w:val="0"/>
        <w:numPr>
          <w:ilvl w:val="0"/>
          <w:numId w:val="12"/>
        </w:numPr>
        <w:shd w:val="clear"/>
        <w:adjustRightInd/>
        <w:snapToGrid/>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承诺，我方具备投标人邀请中所要求的资格条件，已清楚采购文件所有要求及有关规定；并承诺参加本次采购活动中，如有违法、违规、弄虚作假行为，所造成的损失、不良后果及法律责任，一律由我方承担；</w:t>
      </w:r>
    </w:p>
    <w:p w14:paraId="7E1BF70C">
      <w:pPr>
        <w:widowControl w:val="0"/>
        <w:numPr>
          <w:ilvl w:val="0"/>
          <w:numId w:val="12"/>
        </w:numPr>
        <w:shd w:val="clear"/>
        <w:adjustRightInd/>
        <w:snapToGrid/>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我方同意提供按照贵方可能要求的与其投标有关的一切数据或资料。</w:t>
      </w:r>
    </w:p>
    <w:p w14:paraId="119BAF93">
      <w:pPr>
        <w:widowControl w:val="0"/>
        <w:numPr>
          <w:ilvl w:val="0"/>
          <w:numId w:val="12"/>
        </w:numPr>
        <w:shd w:val="clear"/>
        <w:adjustRightInd/>
        <w:snapToGrid/>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与本投标有关的一切正式信函请寄：</w:t>
      </w:r>
    </w:p>
    <w:p w14:paraId="6630EEE1">
      <w:pPr>
        <w:shd w:val="clear"/>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地址：　　　　　　　　　　　　　　　　　　　 电子邮箱：</w:t>
      </w:r>
    </w:p>
    <w:p w14:paraId="09FA4962">
      <w:pPr>
        <w:shd w:val="clear"/>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电话/移动电话：　　　　　　　　　　　　　　　</w:t>
      </w:r>
    </w:p>
    <w:p w14:paraId="7A4F1709">
      <w:pPr>
        <w:shd w:val="clear"/>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投标人法定代表人（或其授权代表）签字： </w:t>
      </w:r>
    </w:p>
    <w:p w14:paraId="6D5D3191">
      <w:pPr>
        <w:shd w:val="clear"/>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投标人名称（全称）： </w:t>
      </w:r>
    </w:p>
    <w:p w14:paraId="3DA63E1F">
      <w:pPr>
        <w:shd w:val="clear"/>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投标人盖章： </w:t>
      </w:r>
    </w:p>
    <w:p w14:paraId="6F7C92C8">
      <w:pPr>
        <w:shd w:val="clear"/>
        <w:rPr>
          <w:rFonts w:hint="eastAsia" w:ascii="宋体" w:hAnsi="宋体" w:eastAsia="宋体" w:cs="宋体"/>
          <w:color w:val="auto"/>
          <w:highlight w:val="none"/>
        </w:rPr>
      </w:pPr>
      <w:r>
        <w:rPr>
          <w:rFonts w:hint="eastAsia" w:ascii="宋体" w:hAnsi="宋体" w:eastAsia="宋体" w:cs="宋体"/>
          <w:color w:val="auto"/>
          <w:szCs w:val="21"/>
          <w:highlight w:val="none"/>
        </w:rPr>
        <w:t>日期：</w:t>
      </w:r>
      <w:r>
        <w:rPr>
          <w:rFonts w:hint="eastAsia" w:ascii="宋体" w:hAnsi="宋体" w:eastAsia="宋体" w:cs="宋体"/>
          <w:color w:val="auto"/>
          <w:highlight w:val="none"/>
        </w:rPr>
        <w:br w:type="page"/>
      </w:r>
    </w:p>
    <w:p w14:paraId="7B7B9245">
      <w:pPr>
        <w:pStyle w:val="5"/>
        <w:widowControl w:val="0"/>
        <w:shd w:val="clear"/>
        <w:overflowPunct w:val="0"/>
        <w:spacing w:line="240" w:lineRule="auto"/>
        <w:rPr>
          <w:rFonts w:hint="eastAsia" w:ascii="宋体" w:hAnsi="宋体" w:eastAsia="宋体" w:cs="宋体"/>
          <w:color w:val="auto"/>
          <w:sz w:val="21"/>
          <w:szCs w:val="21"/>
          <w:highlight w:val="none"/>
        </w:rPr>
      </w:pPr>
      <w:bookmarkStart w:id="541" w:name="_Toc32160"/>
      <w:bookmarkStart w:id="542" w:name="_Toc13192"/>
      <w:bookmarkStart w:id="543" w:name="_Toc11573"/>
      <w:bookmarkStart w:id="544" w:name="_Toc31418"/>
      <w:bookmarkStart w:id="545" w:name="_Toc13810"/>
      <w:bookmarkStart w:id="546" w:name="_Toc27054"/>
      <w:bookmarkStart w:id="547" w:name="_Toc19972"/>
      <w:bookmarkStart w:id="548" w:name="_Toc30636"/>
      <w:r>
        <w:rPr>
          <w:rFonts w:hint="eastAsia" w:ascii="宋体" w:hAnsi="宋体" w:eastAsia="宋体" w:cs="宋体"/>
          <w:color w:val="auto"/>
          <w:sz w:val="21"/>
          <w:szCs w:val="21"/>
          <w:highlight w:val="none"/>
        </w:rPr>
        <w:t>附件</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 法定代表人证明书格式</w:t>
      </w:r>
      <w:bookmarkEnd w:id="541"/>
      <w:bookmarkEnd w:id="542"/>
      <w:bookmarkEnd w:id="543"/>
      <w:bookmarkEnd w:id="544"/>
      <w:bookmarkEnd w:id="545"/>
      <w:bookmarkEnd w:id="546"/>
      <w:bookmarkEnd w:id="547"/>
      <w:bookmarkEnd w:id="548"/>
    </w:p>
    <w:p w14:paraId="298F0BA2">
      <w:pPr>
        <w:shd w:val="clear"/>
        <w:rPr>
          <w:rFonts w:hint="eastAsia" w:ascii="宋体" w:hAnsi="宋体" w:eastAsia="宋体" w:cs="宋体"/>
          <w:color w:val="auto"/>
          <w:highlight w:val="none"/>
        </w:rPr>
      </w:pPr>
    </w:p>
    <w:p w14:paraId="20D2D5B8">
      <w:pPr>
        <w:shd w:val="clea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法定代表人证明书</w:t>
      </w:r>
    </w:p>
    <w:p w14:paraId="351490F6">
      <w:pPr>
        <w:pStyle w:val="50"/>
        <w:shd w:val="clear"/>
        <w:spacing w:line="420" w:lineRule="atLeast"/>
        <w:ind w:firstLine="0" w:firstLineChars="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致：</w:t>
      </w:r>
      <w:r>
        <w:rPr>
          <w:rFonts w:hint="eastAsia" w:ascii="宋体" w:eastAsia="宋体" w:cs="宋体"/>
          <w:color w:val="auto"/>
          <w:sz w:val="21"/>
          <w:szCs w:val="21"/>
          <w:highlight w:val="none"/>
          <w:lang w:eastAsia="zh-CN"/>
        </w:rPr>
        <w:t>广州宏达工程顾问集团有限公司</w:t>
      </w:r>
    </w:p>
    <w:p w14:paraId="4E5CFE59">
      <w:pPr>
        <w:pStyle w:val="50"/>
        <w:shd w:val="clear"/>
        <w:spacing w:line="420" w:lineRule="atLeast"/>
        <w:ind w:firstLine="433"/>
        <w:rPr>
          <w:rFonts w:hint="eastAsia" w:ascii="宋体" w:hAnsi="宋体" w:eastAsia="宋体" w:cs="宋体"/>
          <w:color w:val="auto"/>
          <w:sz w:val="21"/>
          <w:szCs w:val="21"/>
          <w:highlight w:val="none"/>
        </w:rPr>
      </w:pPr>
    </w:p>
    <w:p w14:paraId="43E41CFE">
      <w:pPr>
        <w:pStyle w:val="50"/>
        <w:shd w:val="clear"/>
        <w:spacing w:line="420" w:lineRule="atLeast"/>
        <w:ind w:firstLine="433"/>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投标人名称:</w:t>
      </w:r>
    </w:p>
    <w:p w14:paraId="7CC227DC">
      <w:pPr>
        <w:pStyle w:val="50"/>
        <w:shd w:val="clear"/>
        <w:spacing w:line="420" w:lineRule="atLeast"/>
        <w:ind w:firstLine="433"/>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单 位 性质：</w:t>
      </w:r>
    </w:p>
    <w:p w14:paraId="00A50524">
      <w:pPr>
        <w:pStyle w:val="50"/>
        <w:shd w:val="clear"/>
        <w:spacing w:line="420" w:lineRule="atLeast"/>
        <w:ind w:firstLine="433"/>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地      址：</w:t>
      </w:r>
    </w:p>
    <w:p w14:paraId="34436442">
      <w:pPr>
        <w:pStyle w:val="50"/>
        <w:shd w:val="clear"/>
        <w:spacing w:line="420" w:lineRule="atLeast"/>
        <w:ind w:firstLine="43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 立 时间：年月日</w:t>
      </w:r>
    </w:p>
    <w:p w14:paraId="584C01BE">
      <w:pPr>
        <w:pStyle w:val="50"/>
        <w:shd w:val="clear"/>
        <w:spacing w:line="420" w:lineRule="atLeast"/>
        <w:ind w:firstLine="43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经 营 期限：</w:t>
      </w:r>
    </w:p>
    <w:p w14:paraId="68AB5FD6">
      <w:pPr>
        <w:pStyle w:val="50"/>
        <w:shd w:val="clear"/>
        <w:spacing w:line="420" w:lineRule="atLeast"/>
        <w:ind w:firstLine="43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姓名：性别：年龄：职务：</w:t>
      </w:r>
    </w:p>
    <w:p w14:paraId="00036796">
      <w:pPr>
        <w:pStyle w:val="50"/>
        <w:shd w:val="clear"/>
        <w:spacing w:line="420" w:lineRule="atLeast"/>
        <w:ind w:firstLine="43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系（投标人名称）的法定代表人。</w:t>
      </w:r>
    </w:p>
    <w:p w14:paraId="2C4D486C">
      <w:pPr>
        <w:shd w:val="clear"/>
        <w:spacing w:line="420" w:lineRule="atLeas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特此证明。</w:t>
      </w:r>
    </w:p>
    <w:p w14:paraId="5486D2F6">
      <w:pPr>
        <w:pStyle w:val="50"/>
        <w:shd w:val="clear"/>
        <w:spacing w:line="500" w:lineRule="atLeast"/>
        <w:ind w:firstLine="3517" w:firstLineChars="1675"/>
        <w:rPr>
          <w:rFonts w:hint="eastAsia" w:ascii="宋体" w:hAnsi="宋体" w:eastAsia="宋体" w:cs="宋体"/>
          <w:color w:val="auto"/>
          <w:sz w:val="21"/>
          <w:szCs w:val="21"/>
          <w:highlight w:val="none"/>
        </w:rPr>
      </w:pPr>
    </w:p>
    <w:p w14:paraId="76676E52">
      <w:pPr>
        <w:pStyle w:val="50"/>
        <w:shd w:val="clear"/>
        <w:spacing w:line="500" w:lineRule="atLeast"/>
        <w:ind w:firstLine="3517" w:firstLineChars="167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投标人名称（加盖公章）：</w:t>
      </w:r>
    </w:p>
    <w:p w14:paraId="21D9C63F">
      <w:pPr>
        <w:pStyle w:val="50"/>
        <w:shd w:val="clear"/>
        <w:spacing w:line="500" w:lineRule="atLeast"/>
        <w:ind w:firstLine="3517" w:firstLineChars="167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法定代表人（签名或盖私章）：</w:t>
      </w:r>
    </w:p>
    <w:p w14:paraId="37A47A51">
      <w:pPr>
        <w:pStyle w:val="50"/>
        <w:shd w:val="clear"/>
        <w:spacing w:line="500" w:lineRule="atLeast"/>
        <w:ind w:firstLine="3517" w:firstLineChars="167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法定代表人联系方式：</w:t>
      </w:r>
    </w:p>
    <w:p w14:paraId="5940E21B">
      <w:pPr>
        <w:pStyle w:val="50"/>
        <w:shd w:val="clear"/>
        <w:spacing w:line="500" w:lineRule="atLeast"/>
        <w:ind w:firstLine="3517" w:firstLineChars="1675"/>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身份证号码：</w:t>
      </w:r>
    </w:p>
    <w:p w14:paraId="57F3A784">
      <w:pPr>
        <w:pStyle w:val="50"/>
        <w:shd w:val="clear"/>
        <w:spacing w:line="500" w:lineRule="atLeast"/>
        <w:ind w:firstLine="3507" w:firstLineChars="167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  年  月  日</w:t>
      </w:r>
    </w:p>
    <w:p w14:paraId="3247AC47">
      <w:pPr>
        <w:shd w:val="clear"/>
        <w:ind w:firstLine="420" w:firstLineChars="200"/>
        <w:rPr>
          <w:rFonts w:hint="eastAsia" w:ascii="宋体" w:hAnsi="宋体" w:eastAsia="宋体" w:cs="宋体"/>
          <w:color w:val="auto"/>
          <w:szCs w:val="21"/>
          <w:highlight w:val="none"/>
        </w:rPr>
      </w:pPr>
    </w:p>
    <w:p w14:paraId="71A63375">
      <w:pPr>
        <w:shd w:val="clear"/>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注：法定代表人身份证明书需附法人代表身份证复印件。</w:t>
      </w:r>
    </w:p>
    <w:tbl>
      <w:tblPr>
        <w:tblStyle w:val="34"/>
        <w:tblW w:w="8364" w:type="dxa"/>
        <w:jc w:val="center"/>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fixed"/>
        <w:tblCellMar>
          <w:top w:w="0" w:type="dxa"/>
          <w:left w:w="108" w:type="dxa"/>
          <w:bottom w:w="0" w:type="dxa"/>
          <w:right w:w="108" w:type="dxa"/>
        </w:tblCellMar>
      </w:tblPr>
      <w:tblGrid>
        <w:gridCol w:w="4182"/>
        <w:gridCol w:w="4182"/>
      </w:tblGrid>
      <w:tr w14:paraId="72190965">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2517" w:hRule="atLeast"/>
          <w:jc w:val="center"/>
        </w:trPr>
        <w:tc>
          <w:tcPr>
            <w:tcW w:w="4182" w:type="dxa"/>
            <w:vAlign w:val="center"/>
          </w:tcPr>
          <w:p w14:paraId="27532A61">
            <w:pPr>
              <w:pStyle w:val="50"/>
              <w:shd w:val="clear"/>
              <w:spacing w:line="460" w:lineRule="exact"/>
              <w:ind w:firstLine="0" w:firstLineChars="0"/>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正面</w:t>
            </w:r>
          </w:p>
        </w:tc>
        <w:tc>
          <w:tcPr>
            <w:tcW w:w="4182" w:type="dxa"/>
            <w:vAlign w:val="center"/>
          </w:tcPr>
          <w:p w14:paraId="33141071">
            <w:pPr>
              <w:pStyle w:val="50"/>
              <w:shd w:val="clear"/>
              <w:spacing w:line="460" w:lineRule="exact"/>
              <w:ind w:firstLine="0" w:firstLineChars="0"/>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背面</w:t>
            </w:r>
          </w:p>
        </w:tc>
      </w:tr>
    </w:tbl>
    <w:p w14:paraId="433F77ED">
      <w:pPr>
        <w:shd w:val="clear"/>
        <w:rPr>
          <w:rFonts w:hint="eastAsia" w:ascii="宋体" w:hAnsi="宋体" w:eastAsia="宋体" w:cs="宋体"/>
          <w:color w:val="auto"/>
          <w:highlight w:val="none"/>
        </w:rPr>
      </w:pPr>
    </w:p>
    <w:p w14:paraId="34135139">
      <w:pPr>
        <w:shd w:val="clear"/>
        <w:adjustRightInd/>
        <w:snapToGrid/>
        <w:spacing w:line="276" w:lineRule="auto"/>
        <w:rPr>
          <w:rFonts w:hint="eastAsia" w:ascii="宋体" w:hAnsi="宋体" w:eastAsia="宋体" w:cs="宋体"/>
          <w:b/>
          <w:bCs/>
          <w:color w:val="auto"/>
          <w:sz w:val="24"/>
          <w:szCs w:val="28"/>
          <w:highlight w:val="none"/>
        </w:rPr>
      </w:pPr>
      <w:r>
        <w:rPr>
          <w:rFonts w:hint="eastAsia" w:ascii="宋体" w:hAnsi="宋体" w:eastAsia="宋体" w:cs="宋体"/>
          <w:color w:val="auto"/>
          <w:sz w:val="24"/>
          <w:highlight w:val="none"/>
        </w:rPr>
        <w:br w:type="page"/>
      </w:r>
    </w:p>
    <w:p w14:paraId="5E606112">
      <w:pPr>
        <w:pStyle w:val="5"/>
        <w:widowControl w:val="0"/>
        <w:shd w:val="clear"/>
        <w:overflowPunct w:val="0"/>
        <w:spacing w:line="240" w:lineRule="auto"/>
        <w:rPr>
          <w:rFonts w:hint="eastAsia" w:ascii="宋体" w:hAnsi="宋体" w:eastAsia="宋体" w:cs="宋体"/>
          <w:color w:val="auto"/>
          <w:highlight w:val="none"/>
        </w:rPr>
      </w:pPr>
      <w:bookmarkStart w:id="549" w:name="_Toc31095"/>
      <w:bookmarkStart w:id="550" w:name="_Toc18344"/>
      <w:bookmarkStart w:id="551" w:name="_Toc13579"/>
      <w:bookmarkStart w:id="552" w:name="_Toc5670"/>
      <w:bookmarkStart w:id="553" w:name="_Toc22067"/>
      <w:bookmarkStart w:id="554" w:name="_Toc19149"/>
      <w:bookmarkStart w:id="555" w:name="_Toc17585"/>
      <w:bookmarkStart w:id="556" w:name="_Toc10051"/>
      <w:r>
        <w:rPr>
          <w:rFonts w:hint="eastAsia" w:ascii="宋体" w:hAnsi="宋体" w:eastAsia="宋体" w:cs="宋体"/>
          <w:color w:val="auto"/>
          <w:sz w:val="21"/>
          <w:szCs w:val="21"/>
          <w:highlight w:val="none"/>
        </w:rPr>
        <w:t>附件</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.法定代表人授权书格式</w:t>
      </w:r>
      <w:bookmarkEnd w:id="549"/>
      <w:bookmarkEnd w:id="550"/>
      <w:bookmarkEnd w:id="551"/>
      <w:bookmarkEnd w:id="552"/>
      <w:bookmarkEnd w:id="553"/>
      <w:bookmarkEnd w:id="554"/>
      <w:bookmarkEnd w:id="555"/>
      <w:bookmarkEnd w:id="556"/>
    </w:p>
    <w:p w14:paraId="136009CA">
      <w:pPr>
        <w:shd w:val="clear"/>
        <w:rPr>
          <w:rFonts w:hint="eastAsia" w:ascii="宋体" w:hAnsi="宋体" w:eastAsia="宋体" w:cs="宋体"/>
          <w:color w:val="auto"/>
          <w:highlight w:val="none"/>
        </w:rPr>
      </w:pPr>
    </w:p>
    <w:p w14:paraId="6D720721">
      <w:pPr>
        <w:shd w:val="clea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法定代表人授权书</w:t>
      </w:r>
    </w:p>
    <w:p w14:paraId="7074F489">
      <w:pPr>
        <w:pStyle w:val="50"/>
        <w:shd w:val="clear"/>
        <w:spacing w:line="420" w:lineRule="atLeast"/>
        <w:ind w:firstLine="0" w:firstLineChars="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致：</w:t>
      </w:r>
      <w:r>
        <w:rPr>
          <w:rFonts w:hint="eastAsia" w:ascii="宋体" w:eastAsia="宋体" w:cs="宋体"/>
          <w:color w:val="auto"/>
          <w:sz w:val="21"/>
          <w:szCs w:val="21"/>
          <w:highlight w:val="none"/>
          <w:lang w:eastAsia="zh-CN"/>
        </w:rPr>
        <w:t>广州宏达工程顾问集团有限公司</w:t>
      </w:r>
    </w:p>
    <w:p w14:paraId="4B9EDA6E">
      <w:pPr>
        <w:pStyle w:val="50"/>
        <w:shd w:val="clear"/>
        <w:spacing w:line="420" w:lineRule="atLeast"/>
        <w:ind w:firstLine="433"/>
        <w:rPr>
          <w:rFonts w:hint="eastAsia" w:ascii="宋体" w:hAnsi="宋体" w:eastAsia="宋体" w:cs="宋体"/>
          <w:color w:val="auto"/>
          <w:sz w:val="21"/>
          <w:szCs w:val="21"/>
          <w:highlight w:val="none"/>
        </w:rPr>
      </w:pPr>
    </w:p>
    <w:p w14:paraId="747F030C">
      <w:pPr>
        <w:shd w:val="clear"/>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本授权书声明：注册于</w:t>
      </w:r>
      <w:r>
        <w:rPr>
          <w:rFonts w:hint="eastAsia" w:ascii="宋体" w:hAnsi="宋体" w:eastAsia="宋体" w:cs="宋体"/>
          <w:color w:val="auto"/>
          <w:szCs w:val="21"/>
          <w:highlight w:val="none"/>
          <w:u w:val="single"/>
        </w:rPr>
        <w:t>（国家或地区的名称）</w:t>
      </w:r>
      <w:r>
        <w:rPr>
          <w:rFonts w:hint="eastAsia" w:ascii="宋体" w:hAnsi="宋体" w:eastAsia="宋体" w:cs="宋体"/>
          <w:color w:val="auto"/>
          <w:szCs w:val="21"/>
          <w:highlight w:val="none"/>
        </w:rPr>
        <w:t>的</w:t>
      </w:r>
      <w:r>
        <w:rPr>
          <w:rFonts w:hint="eastAsia" w:ascii="宋体" w:hAnsi="宋体" w:eastAsia="宋体" w:cs="宋体"/>
          <w:color w:val="auto"/>
          <w:szCs w:val="21"/>
          <w:highlight w:val="none"/>
          <w:u w:val="single"/>
        </w:rPr>
        <w:t>（单位名称）</w:t>
      </w:r>
      <w:r>
        <w:rPr>
          <w:rFonts w:hint="eastAsia" w:ascii="宋体" w:hAnsi="宋体" w:eastAsia="宋体" w:cs="宋体"/>
          <w:color w:val="auto"/>
          <w:szCs w:val="21"/>
          <w:highlight w:val="none"/>
        </w:rPr>
        <w:t>的在下面签字的</w:t>
      </w:r>
      <w:r>
        <w:rPr>
          <w:rFonts w:hint="eastAsia" w:ascii="宋体" w:hAnsi="宋体" w:eastAsia="宋体" w:cs="宋体"/>
          <w:color w:val="auto"/>
          <w:szCs w:val="21"/>
          <w:highlight w:val="none"/>
          <w:u w:val="single"/>
        </w:rPr>
        <w:t>（法定代表人姓名、职务）</w:t>
      </w:r>
      <w:r>
        <w:rPr>
          <w:rFonts w:hint="eastAsia" w:ascii="宋体" w:hAnsi="宋体" w:eastAsia="宋体" w:cs="宋体"/>
          <w:color w:val="auto"/>
          <w:szCs w:val="21"/>
          <w:highlight w:val="none"/>
        </w:rPr>
        <w:t>代表本单位授权</w:t>
      </w:r>
      <w:r>
        <w:rPr>
          <w:rFonts w:hint="eastAsia" w:ascii="宋体" w:hAnsi="宋体" w:eastAsia="宋体" w:cs="宋体"/>
          <w:color w:val="auto"/>
          <w:szCs w:val="21"/>
          <w:highlight w:val="none"/>
          <w:u w:val="single"/>
        </w:rPr>
        <w:t>（单位名称）</w:t>
      </w:r>
      <w:r>
        <w:rPr>
          <w:rFonts w:hint="eastAsia" w:ascii="宋体" w:hAnsi="宋体" w:eastAsia="宋体" w:cs="宋体"/>
          <w:color w:val="auto"/>
          <w:szCs w:val="21"/>
          <w:highlight w:val="none"/>
        </w:rPr>
        <w:t>的在下面签字的</w:t>
      </w:r>
      <w:r>
        <w:rPr>
          <w:rFonts w:hint="eastAsia" w:ascii="宋体" w:hAnsi="宋体" w:eastAsia="宋体" w:cs="宋体"/>
          <w:color w:val="auto"/>
          <w:szCs w:val="21"/>
          <w:highlight w:val="none"/>
          <w:u w:val="single"/>
        </w:rPr>
        <w:t>（被授权人的姓名、职务）</w:t>
      </w:r>
      <w:r>
        <w:rPr>
          <w:rFonts w:hint="eastAsia" w:ascii="宋体" w:hAnsi="宋体" w:eastAsia="宋体" w:cs="宋体"/>
          <w:color w:val="auto"/>
          <w:szCs w:val="21"/>
          <w:highlight w:val="none"/>
        </w:rPr>
        <w:t>为本单位的合法代理人，就</w:t>
      </w:r>
      <w:r>
        <w:rPr>
          <w:rFonts w:hint="eastAsia" w:ascii="宋体" w:hAnsi="宋体" w:eastAsia="宋体" w:cs="宋体"/>
          <w:color w:val="auto"/>
          <w:szCs w:val="21"/>
          <w:highlight w:val="none"/>
          <w:u w:val="single"/>
        </w:rPr>
        <w:t>（项目名称）</w:t>
      </w:r>
      <w:r>
        <w:rPr>
          <w:rFonts w:hint="eastAsia" w:ascii="宋体" w:hAnsi="宋体" w:eastAsia="宋体" w:cs="宋体"/>
          <w:color w:val="auto"/>
          <w:szCs w:val="21"/>
          <w:highlight w:val="none"/>
        </w:rPr>
        <w:t>投标及参加项目谈判，以本单位名义处理一切与之有关的事务。</w:t>
      </w:r>
    </w:p>
    <w:p w14:paraId="6B2BE39D">
      <w:pPr>
        <w:shd w:val="clear"/>
        <w:ind w:firstLine="315"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本授权书于</w:t>
      </w:r>
      <w:r>
        <w:rPr>
          <w:rFonts w:hint="eastAsia" w:ascii="宋体" w:hAnsi="宋体" w:eastAsia="宋体" w:cs="宋体"/>
          <w:color w:val="auto"/>
          <w:szCs w:val="21"/>
          <w:highlight w:val="none"/>
          <w:u w:val="single"/>
        </w:rPr>
        <w:t>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w:t>
      </w:r>
      <w:r>
        <w:rPr>
          <w:rFonts w:hint="eastAsia" w:ascii="宋体" w:hAnsi="宋体" w:eastAsia="宋体" w:cs="宋体"/>
          <w:color w:val="auto"/>
          <w:szCs w:val="21"/>
          <w:highlight w:val="none"/>
        </w:rPr>
        <w:t>日签字生效，特此声明。</w:t>
      </w:r>
    </w:p>
    <w:p w14:paraId="1CE9C622">
      <w:pPr>
        <w:pStyle w:val="50"/>
        <w:shd w:val="clear"/>
        <w:spacing w:line="500" w:lineRule="atLeast"/>
        <w:ind w:firstLine="3517" w:firstLineChars="1675"/>
        <w:rPr>
          <w:rFonts w:hint="eastAsia" w:ascii="宋体" w:hAnsi="宋体" w:eastAsia="宋体" w:cs="宋体"/>
          <w:color w:val="auto"/>
          <w:sz w:val="21"/>
          <w:szCs w:val="21"/>
          <w:highlight w:val="none"/>
        </w:rPr>
      </w:pPr>
    </w:p>
    <w:p w14:paraId="5F38AE82">
      <w:pPr>
        <w:pStyle w:val="50"/>
        <w:shd w:val="clear"/>
        <w:spacing w:line="500" w:lineRule="atLeast"/>
        <w:ind w:firstLine="3517" w:firstLineChars="167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投标人名称（加盖公章）：</w:t>
      </w:r>
    </w:p>
    <w:p w14:paraId="371DB2B5">
      <w:pPr>
        <w:pStyle w:val="50"/>
        <w:shd w:val="clear"/>
        <w:spacing w:line="500" w:lineRule="atLeast"/>
        <w:ind w:firstLine="3517" w:firstLineChars="1675"/>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法定代表人签字（签名或盖私章）：</w:t>
      </w:r>
    </w:p>
    <w:p w14:paraId="6D319824">
      <w:pPr>
        <w:pStyle w:val="50"/>
        <w:shd w:val="clear"/>
        <w:spacing w:line="500" w:lineRule="atLeast"/>
        <w:ind w:firstLine="3517" w:firstLineChars="167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被授权人签字：</w:t>
      </w:r>
    </w:p>
    <w:p w14:paraId="6C099326">
      <w:pPr>
        <w:pStyle w:val="50"/>
        <w:shd w:val="clear"/>
        <w:spacing w:line="500" w:lineRule="atLeast"/>
        <w:ind w:firstLine="3517" w:firstLineChars="1675"/>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职务：</w:t>
      </w:r>
    </w:p>
    <w:p w14:paraId="003F850A">
      <w:pPr>
        <w:pStyle w:val="50"/>
        <w:shd w:val="clear"/>
        <w:spacing w:line="500" w:lineRule="atLeast"/>
        <w:ind w:firstLine="3517" w:firstLineChars="167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移动电话： </w:t>
      </w:r>
    </w:p>
    <w:p w14:paraId="0E723A67">
      <w:pPr>
        <w:pStyle w:val="50"/>
        <w:shd w:val="clear"/>
        <w:spacing w:line="500" w:lineRule="atLeast"/>
        <w:ind w:firstLine="3517" w:firstLineChars="167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详细通讯地址：</w:t>
      </w:r>
    </w:p>
    <w:p w14:paraId="2129D01A">
      <w:pPr>
        <w:pStyle w:val="50"/>
        <w:shd w:val="clear"/>
        <w:spacing w:line="500" w:lineRule="atLeast"/>
        <w:ind w:firstLine="3517" w:firstLineChars="167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邮箱：                          </w:t>
      </w:r>
    </w:p>
    <w:p w14:paraId="6EF4221C">
      <w:pPr>
        <w:pStyle w:val="50"/>
        <w:shd w:val="clear"/>
        <w:spacing w:line="500" w:lineRule="atLeast"/>
        <w:ind w:firstLine="3507" w:firstLineChars="167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  年  月  日</w:t>
      </w:r>
    </w:p>
    <w:p w14:paraId="515CCCFB">
      <w:pPr>
        <w:pStyle w:val="50"/>
        <w:shd w:val="clear"/>
        <w:spacing w:line="460" w:lineRule="exact"/>
        <w:ind w:firstLine="433"/>
        <w:rPr>
          <w:rFonts w:hint="eastAsia" w:ascii="宋体" w:hAnsi="宋体" w:eastAsia="宋体" w:cs="宋体"/>
          <w:color w:val="auto"/>
          <w:sz w:val="21"/>
          <w:szCs w:val="21"/>
          <w:highlight w:val="none"/>
        </w:rPr>
      </w:pPr>
    </w:p>
    <w:p w14:paraId="04213DCF">
      <w:pPr>
        <w:shd w:val="clear"/>
        <w:ind w:firstLine="420" w:firstLineChars="200"/>
        <w:rPr>
          <w:rFonts w:hint="eastAsia" w:ascii="宋体" w:hAnsi="宋体" w:eastAsia="宋体" w:cs="宋体"/>
          <w:color w:val="auto"/>
          <w:highlight w:val="none"/>
        </w:rPr>
      </w:pPr>
      <w:r>
        <w:rPr>
          <w:rFonts w:hint="eastAsia" w:ascii="宋体" w:hAnsi="宋体" w:eastAsia="宋体" w:cs="宋体"/>
          <w:color w:val="auto"/>
          <w:szCs w:val="21"/>
          <w:highlight w:val="none"/>
        </w:rPr>
        <w:t>须附：被授权人身份证复印件。</w:t>
      </w:r>
    </w:p>
    <w:tbl>
      <w:tblPr>
        <w:tblStyle w:val="34"/>
        <w:tblW w:w="8464" w:type="dxa"/>
        <w:jc w:val="center"/>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fixed"/>
        <w:tblCellMar>
          <w:top w:w="0" w:type="dxa"/>
          <w:left w:w="108" w:type="dxa"/>
          <w:bottom w:w="0" w:type="dxa"/>
          <w:right w:w="108" w:type="dxa"/>
        </w:tblCellMar>
      </w:tblPr>
      <w:tblGrid>
        <w:gridCol w:w="4232"/>
        <w:gridCol w:w="4232"/>
      </w:tblGrid>
      <w:tr w14:paraId="1D128FDB">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2661" w:hRule="atLeast"/>
          <w:jc w:val="center"/>
        </w:trPr>
        <w:tc>
          <w:tcPr>
            <w:tcW w:w="4232" w:type="dxa"/>
            <w:vAlign w:val="center"/>
          </w:tcPr>
          <w:p w14:paraId="2D560E8F">
            <w:pPr>
              <w:pStyle w:val="50"/>
              <w:shd w:val="clear"/>
              <w:spacing w:line="460" w:lineRule="exact"/>
              <w:ind w:firstLine="0" w:firstLineChars="0"/>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正面</w:t>
            </w:r>
          </w:p>
        </w:tc>
        <w:tc>
          <w:tcPr>
            <w:tcW w:w="4232" w:type="dxa"/>
            <w:vAlign w:val="center"/>
          </w:tcPr>
          <w:p w14:paraId="05EC722C">
            <w:pPr>
              <w:pStyle w:val="50"/>
              <w:shd w:val="clear"/>
              <w:spacing w:line="460" w:lineRule="exact"/>
              <w:ind w:firstLine="0" w:firstLineChars="0"/>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背面</w:t>
            </w:r>
          </w:p>
        </w:tc>
      </w:tr>
    </w:tbl>
    <w:p w14:paraId="3DE4B3CC">
      <w:pPr>
        <w:shd w:val="clear"/>
        <w:adjustRightInd/>
        <w:snapToGrid/>
        <w:spacing w:line="276" w:lineRule="auto"/>
        <w:rPr>
          <w:rFonts w:hint="eastAsia" w:ascii="宋体" w:hAnsi="宋体" w:eastAsia="宋体" w:cs="宋体"/>
          <w:color w:val="auto"/>
          <w:highlight w:val="none"/>
        </w:rPr>
      </w:pPr>
      <w:bookmarkStart w:id="557" w:name="_Toc22486"/>
      <w:r>
        <w:rPr>
          <w:rFonts w:hint="eastAsia" w:ascii="宋体" w:hAnsi="宋体" w:eastAsia="宋体" w:cs="宋体"/>
          <w:color w:val="auto"/>
          <w:szCs w:val="21"/>
          <w:highlight w:val="none"/>
        </w:rPr>
        <w:br w:type="page"/>
      </w:r>
    </w:p>
    <w:p w14:paraId="5E3EA752">
      <w:pPr>
        <w:pStyle w:val="5"/>
        <w:widowControl w:val="0"/>
        <w:shd w:val="clear"/>
        <w:overflowPunct w:val="0"/>
        <w:spacing w:line="240" w:lineRule="auto"/>
        <w:rPr>
          <w:rFonts w:hint="eastAsia" w:ascii="宋体" w:hAnsi="宋体" w:eastAsia="宋体" w:cs="宋体"/>
          <w:color w:val="auto"/>
          <w:sz w:val="21"/>
          <w:szCs w:val="21"/>
          <w:highlight w:val="none"/>
        </w:rPr>
      </w:pPr>
      <w:bookmarkStart w:id="558" w:name="_Toc30038"/>
      <w:bookmarkStart w:id="559" w:name="_Toc16850"/>
      <w:bookmarkStart w:id="560" w:name="_Toc11545"/>
      <w:bookmarkStart w:id="561" w:name="_Toc7170"/>
      <w:bookmarkStart w:id="562" w:name="_Toc18114"/>
      <w:bookmarkStart w:id="563" w:name="_Toc15987"/>
      <w:bookmarkStart w:id="564" w:name="_Toc24483"/>
      <w:bookmarkStart w:id="565" w:name="_Toc31492"/>
      <w:r>
        <w:rPr>
          <w:rFonts w:hint="eastAsia" w:ascii="宋体" w:hAnsi="宋体" w:eastAsia="宋体" w:cs="宋体"/>
          <w:color w:val="auto"/>
          <w:sz w:val="21"/>
          <w:szCs w:val="21"/>
          <w:highlight w:val="none"/>
        </w:rPr>
        <w:t>附件</w:t>
      </w: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rPr>
        <w:t>.资格申明</w:t>
      </w:r>
      <w:bookmarkEnd w:id="558"/>
      <w:bookmarkEnd w:id="559"/>
      <w:bookmarkEnd w:id="560"/>
      <w:bookmarkEnd w:id="561"/>
      <w:bookmarkEnd w:id="562"/>
      <w:bookmarkEnd w:id="563"/>
      <w:bookmarkEnd w:id="564"/>
      <w:bookmarkEnd w:id="565"/>
    </w:p>
    <w:p w14:paraId="2365E094">
      <w:pPr>
        <w:shd w:val="clea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资格申明</w:t>
      </w:r>
    </w:p>
    <w:p w14:paraId="2B39514D">
      <w:pPr>
        <w:pStyle w:val="50"/>
        <w:shd w:val="clear"/>
        <w:spacing w:line="420" w:lineRule="atLeast"/>
        <w:ind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 xml:space="preserve">  xxx   </w:t>
      </w:r>
      <w:r>
        <w:rPr>
          <w:rFonts w:hint="eastAsia" w:ascii="宋体" w:hAnsi="宋体" w:eastAsia="宋体" w:cs="宋体"/>
          <w:color w:val="auto"/>
          <w:sz w:val="21"/>
          <w:szCs w:val="21"/>
          <w:highlight w:val="none"/>
        </w:rPr>
        <w:t>公司：</w:t>
      </w:r>
    </w:p>
    <w:p w14:paraId="74E49A43">
      <w:pPr>
        <w:shd w:val="clear"/>
        <w:ind w:firstLine="420" w:firstLineChars="200"/>
        <w:rPr>
          <w:rFonts w:hint="eastAsia" w:ascii="宋体" w:hAnsi="宋体" w:eastAsia="宋体" w:cs="宋体"/>
          <w:color w:val="auto"/>
          <w:szCs w:val="21"/>
          <w:highlight w:val="none"/>
        </w:rPr>
      </w:pPr>
    </w:p>
    <w:p w14:paraId="55E35C90">
      <w:pPr>
        <w:shd w:val="clear"/>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我方愿响应贵方关于（项目名称：</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）（采购项目编号：</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）的投标邀请，参与投标，提供用户需求书中规定的货物及相关服务，并按采购文件要求提交所附资格文件且声明和保证如下：</w:t>
      </w:r>
    </w:p>
    <w:p w14:paraId="318C4173">
      <w:pPr>
        <w:shd w:val="clear"/>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一、我方具备投标人邀请中所要求得资格条件，已清楚采购文件所有要求及有关规定；并承诺参加本次采购活动中，如有违法、违规、弄虚作假行为，所造成的损失、不良后果及法律责任，一律由我方承担；</w:t>
      </w:r>
    </w:p>
    <w:p w14:paraId="0145D172">
      <w:pPr>
        <w:shd w:val="clear"/>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二、我方依法注册，在法律上、财务上和运作上完全独立于</w:t>
      </w:r>
      <w:r>
        <w:rPr>
          <w:rFonts w:hint="eastAsia" w:ascii="宋体" w:hAnsi="宋体" w:eastAsia="宋体" w:cs="宋体"/>
          <w:color w:val="auto"/>
          <w:szCs w:val="21"/>
          <w:highlight w:val="none"/>
          <w:u w:val="single"/>
        </w:rPr>
        <w:t xml:space="preserve">  xxxx   </w:t>
      </w:r>
      <w:r>
        <w:rPr>
          <w:rFonts w:hint="eastAsia" w:ascii="宋体" w:hAnsi="宋体" w:eastAsia="宋体" w:cs="宋体"/>
          <w:color w:val="auto"/>
          <w:szCs w:val="21"/>
          <w:highlight w:val="none"/>
        </w:rPr>
        <w:t>公司（采购人）及</w:t>
      </w:r>
      <w:r>
        <w:rPr>
          <w:rFonts w:hint="eastAsia" w:ascii="宋体" w:hAnsi="宋体" w:eastAsia="宋体" w:cs="宋体"/>
          <w:color w:val="auto"/>
          <w:szCs w:val="21"/>
          <w:highlight w:val="none"/>
          <w:u w:val="single"/>
        </w:rPr>
        <w:t xml:space="preserve">    xxx   </w:t>
      </w:r>
      <w:r>
        <w:rPr>
          <w:rFonts w:hint="eastAsia" w:ascii="宋体" w:hAnsi="宋体" w:eastAsia="宋体" w:cs="宋体"/>
          <w:color w:val="auto"/>
          <w:szCs w:val="21"/>
          <w:highlight w:val="none"/>
        </w:rPr>
        <w:t>公司（采购代理机构）。</w:t>
      </w:r>
    </w:p>
    <w:p w14:paraId="061FE2EB">
      <w:pPr>
        <w:pStyle w:val="50"/>
        <w:shd w:val="clear"/>
        <w:spacing w:line="500" w:lineRule="atLeast"/>
        <w:ind w:firstLine="3517" w:firstLineChars="1675"/>
        <w:rPr>
          <w:rFonts w:hint="eastAsia" w:ascii="宋体" w:hAnsi="宋体" w:eastAsia="宋体" w:cs="宋体"/>
          <w:color w:val="auto"/>
          <w:sz w:val="21"/>
          <w:szCs w:val="21"/>
          <w:highlight w:val="none"/>
        </w:rPr>
      </w:pPr>
    </w:p>
    <w:p w14:paraId="73EAF6CB">
      <w:pPr>
        <w:pStyle w:val="50"/>
        <w:shd w:val="clear"/>
        <w:spacing w:line="500" w:lineRule="atLeast"/>
        <w:ind w:firstLine="3517" w:firstLineChars="1675"/>
        <w:rPr>
          <w:rFonts w:hint="eastAsia" w:ascii="宋体" w:hAnsi="宋体" w:eastAsia="宋体" w:cs="宋体"/>
          <w:color w:val="auto"/>
          <w:sz w:val="21"/>
          <w:szCs w:val="21"/>
          <w:highlight w:val="none"/>
        </w:rPr>
      </w:pPr>
    </w:p>
    <w:p w14:paraId="5F7B1BB7">
      <w:pPr>
        <w:pStyle w:val="50"/>
        <w:shd w:val="clear"/>
        <w:spacing w:line="500" w:lineRule="atLeast"/>
        <w:ind w:firstLine="43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投标人名称（加盖公章）：</w:t>
      </w:r>
    </w:p>
    <w:p w14:paraId="3FB191E7">
      <w:pPr>
        <w:pStyle w:val="50"/>
        <w:shd w:val="clear"/>
        <w:spacing w:line="500" w:lineRule="atLeast"/>
        <w:ind w:firstLine="43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法定代表人签字（签名或盖私章）：</w:t>
      </w:r>
    </w:p>
    <w:p w14:paraId="7F6C198A">
      <w:pPr>
        <w:pStyle w:val="50"/>
        <w:shd w:val="clear"/>
        <w:spacing w:line="500" w:lineRule="atLeast"/>
        <w:ind w:firstLine="43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期：年月日</w:t>
      </w:r>
    </w:p>
    <w:p w14:paraId="5E8F8B93">
      <w:pPr>
        <w:pStyle w:val="50"/>
        <w:shd w:val="clear"/>
        <w:spacing w:line="500" w:lineRule="atLeast"/>
        <w:ind w:firstLine="43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78887BED">
      <w:pPr>
        <w:pStyle w:val="5"/>
        <w:widowControl w:val="0"/>
        <w:shd w:val="clear"/>
        <w:overflowPunct w:val="0"/>
        <w:spacing w:line="240" w:lineRule="auto"/>
        <w:rPr>
          <w:rFonts w:hint="eastAsia" w:ascii="宋体" w:hAnsi="宋体" w:eastAsia="宋体" w:cs="宋体"/>
          <w:color w:val="auto"/>
          <w:sz w:val="21"/>
          <w:szCs w:val="21"/>
          <w:highlight w:val="none"/>
        </w:rPr>
      </w:pPr>
      <w:bookmarkStart w:id="566" w:name="_Toc31466"/>
      <w:bookmarkStart w:id="567" w:name="_Toc7110"/>
      <w:bookmarkStart w:id="568" w:name="_Toc10305"/>
      <w:bookmarkStart w:id="569" w:name="_Toc19337"/>
      <w:bookmarkStart w:id="570" w:name="_Toc2822"/>
      <w:bookmarkStart w:id="571" w:name="_Toc19975"/>
      <w:bookmarkStart w:id="572" w:name="_Toc15261"/>
      <w:bookmarkStart w:id="573" w:name="_Toc26703"/>
      <w:r>
        <w:rPr>
          <w:rFonts w:hint="eastAsia" w:ascii="宋体" w:hAnsi="宋体" w:eastAsia="宋体" w:cs="宋体"/>
          <w:color w:val="auto"/>
          <w:sz w:val="21"/>
          <w:szCs w:val="21"/>
          <w:highlight w:val="none"/>
        </w:rPr>
        <w:t>附件</w:t>
      </w: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.营业执照</w:t>
      </w:r>
      <w:bookmarkEnd w:id="566"/>
      <w:bookmarkEnd w:id="567"/>
      <w:bookmarkEnd w:id="568"/>
      <w:bookmarkEnd w:id="569"/>
      <w:bookmarkEnd w:id="570"/>
      <w:bookmarkEnd w:id="571"/>
      <w:bookmarkEnd w:id="572"/>
      <w:bookmarkEnd w:id="573"/>
    </w:p>
    <w:p w14:paraId="663E70EF">
      <w:pPr>
        <w:shd w:val="clear"/>
        <w:jc w:val="center"/>
        <w:rPr>
          <w:rFonts w:hint="eastAsia" w:ascii="宋体" w:hAnsi="宋体" w:eastAsia="宋体" w:cs="宋体"/>
          <w:color w:val="auto"/>
          <w:sz w:val="28"/>
          <w:szCs w:val="28"/>
          <w:highlight w:val="none"/>
        </w:rPr>
      </w:pPr>
      <w:bookmarkStart w:id="574" w:name="_Toc1511"/>
      <w:bookmarkStart w:id="575" w:name="_Toc24210"/>
      <w:bookmarkStart w:id="576" w:name="_Toc5919"/>
      <w:bookmarkStart w:id="577" w:name="_Toc4926"/>
      <w:bookmarkStart w:id="578" w:name="_Toc17470"/>
      <w:r>
        <w:rPr>
          <w:rFonts w:hint="eastAsia" w:ascii="宋体" w:hAnsi="宋体" w:eastAsia="宋体" w:cs="宋体"/>
          <w:color w:val="auto"/>
          <w:sz w:val="28"/>
          <w:szCs w:val="28"/>
          <w:highlight w:val="none"/>
        </w:rPr>
        <w:t>营业执照</w:t>
      </w:r>
      <w:bookmarkEnd w:id="574"/>
      <w:bookmarkEnd w:id="575"/>
      <w:bookmarkEnd w:id="576"/>
      <w:bookmarkEnd w:id="577"/>
      <w:bookmarkEnd w:id="578"/>
    </w:p>
    <w:p w14:paraId="021996AB">
      <w:pPr>
        <w:shd w:val="clea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3A25E2AE">
      <w:pPr>
        <w:pStyle w:val="5"/>
        <w:widowControl w:val="0"/>
        <w:shd w:val="clear"/>
        <w:overflowPunct w:val="0"/>
        <w:spacing w:line="240" w:lineRule="auto"/>
        <w:rPr>
          <w:rFonts w:hint="eastAsia" w:ascii="宋体" w:hAnsi="宋体" w:eastAsia="宋体" w:cs="宋体"/>
          <w:color w:val="auto"/>
          <w:sz w:val="21"/>
          <w:szCs w:val="21"/>
          <w:highlight w:val="none"/>
        </w:rPr>
      </w:pPr>
      <w:bookmarkStart w:id="579" w:name="_Toc17478"/>
      <w:bookmarkStart w:id="580" w:name="_Toc30095"/>
      <w:bookmarkStart w:id="581" w:name="_Toc12826"/>
      <w:bookmarkStart w:id="582" w:name="_Toc28446"/>
      <w:bookmarkStart w:id="583" w:name="_Toc11101"/>
      <w:bookmarkStart w:id="584" w:name="_Toc30816"/>
      <w:bookmarkStart w:id="585" w:name="_Toc23210"/>
      <w:bookmarkStart w:id="586" w:name="_Toc24481"/>
      <w:r>
        <w:rPr>
          <w:rFonts w:hint="eastAsia" w:ascii="宋体" w:hAnsi="宋体" w:eastAsia="宋体" w:cs="宋体"/>
          <w:color w:val="auto"/>
          <w:sz w:val="21"/>
          <w:szCs w:val="21"/>
          <w:highlight w:val="none"/>
        </w:rPr>
        <w:t>附件</w:t>
      </w: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rPr>
        <w:t>.相关资质证明文件</w:t>
      </w:r>
      <w:bookmarkEnd w:id="579"/>
      <w:bookmarkEnd w:id="580"/>
      <w:bookmarkEnd w:id="581"/>
      <w:bookmarkEnd w:id="582"/>
      <w:bookmarkEnd w:id="583"/>
      <w:bookmarkEnd w:id="584"/>
      <w:bookmarkEnd w:id="585"/>
      <w:bookmarkEnd w:id="586"/>
    </w:p>
    <w:p w14:paraId="34A1A38F">
      <w:pPr>
        <w:shd w:val="clear"/>
        <w:rPr>
          <w:rFonts w:hint="eastAsia" w:ascii="宋体" w:hAnsi="宋体" w:eastAsia="宋体" w:cs="宋体"/>
          <w:color w:val="auto"/>
          <w:highlight w:val="none"/>
        </w:rPr>
      </w:pPr>
    </w:p>
    <w:p w14:paraId="389AB3FC">
      <w:pPr>
        <w:shd w:val="clear"/>
        <w:jc w:val="center"/>
        <w:rPr>
          <w:rFonts w:hint="eastAsia" w:ascii="宋体" w:hAnsi="宋体" w:eastAsia="宋体" w:cs="宋体"/>
          <w:color w:val="auto"/>
          <w:sz w:val="28"/>
          <w:szCs w:val="28"/>
          <w:highlight w:val="none"/>
        </w:rPr>
      </w:pPr>
      <w:bookmarkStart w:id="587" w:name="_Toc30307"/>
      <w:bookmarkStart w:id="588" w:name="_Toc16233"/>
      <w:bookmarkStart w:id="589" w:name="_Toc13458"/>
      <w:bookmarkStart w:id="590" w:name="_Toc16698"/>
      <w:bookmarkStart w:id="591" w:name="_Toc9592"/>
      <w:r>
        <w:rPr>
          <w:rFonts w:hint="eastAsia" w:ascii="宋体" w:hAnsi="宋体" w:eastAsia="宋体" w:cs="宋体"/>
          <w:color w:val="auto"/>
          <w:sz w:val="28"/>
          <w:szCs w:val="28"/>
          <w:highlight w:val="none"/>
        </w:rPr>
        <w:t>相关资质证明文件</w:t>
      </w:r>
      <w:bookmarkEnd w:id="557"/>
      <w:bookmarkEnd w:id="587"/>
      <w:bookmarkEnd w:id="588"/>
      <w:bookmarkEnd w:id="589"/>
      <w:bookmarkEnd w:id="590"/>
      <w:bookmarkEnd w:id="591"/>
    </w:p>
    <w:p w14:paraId="6D843C2A">
      <w:pPr>
        <w:numPr>
          <w:ilvl w:val="0"/>
          <w:numId w:val="13"/>
        </w:numPr>
        <w:shd w:val="clear"/>
        <w:tabs>
          <w:tab w:val="left" w:pos="1680"/>
        </w:tabs>
        <w:jc w:val="both"/>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符合投标邀请书“投标人资格要求”其他要求对应的证明文件；</w:t>
      </w:r>
    </w:p>
    <w:p w14:paraId="52B8330E">
      <w:pPr>
        <w:numPr>
          <w:ilvl w:val="0"/>
          <w:numId w:val="13"/>
        </w:numPr>
        <w:shd w:val="clear"/>
        <w:tabs>
          <w:tab w:val="left" w:pos="1680"/>
        </w:tabs>
        <w:jc w:val="both"/>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投标人认为必要的文件。</w:t>
      </w:r>
      <w:r>
        <w:rPr>
          <w:rFonts w:hint="eastAsia" w:ascii="宋体" w:hAnsi="宋体" w:eastAsia="宋体" w:cs="宋体"/>
          <w:b/>
          <w:bCs/>
          <w:color w:val="auto"/>
          <w:szCs w:val="21"/>
          <w:highlight w:val="none"/>
        </w:rPr>
        <w:br w:type="page"/>
      </w:r>
    </w:p>
    <w:p w14:paraId="4C9C4A40">
      <w:pPr>
        <w:pStyle w:val="5"/>
        <w:widowControl w:val="0"/>
        <w:shd w:val="clear"/>
        <w:overflowPunct w:val="0"/>
        <w:spacing w:line="240" w:lineRule="auto"/>
        <w:rPr>
          <w:rFonts w:hint="eastAsia" w:ascii="宋体" w:hAnsi="宋体" w:eastAsia="宋体" w:cs="宋体"/>
          <w:color w:val="auto"/>
          <w:highlight w:val="none"/>
        </w:rPr>
      </w:pPr>
      <w:bookmarkStart w:id="592" w:name="_Toc12636"/>
      <w:bookmarkStart w:id="593" w:name="_Toc24021"/>
      <w:bookmarkStart w:id="594" w:name="_Toc29247"/>
      <w:bookmarkStart w:id="595" w:name="_Toc3466"/>
      <w:bookmarkStart w:id="596" w:name="_Toc3824"/>
      <w:bookmarkStart w:id="597" w:name="_Toc29288"/>
      <w:bookmarkStart w:id="598" w:name="_Toc29870"/>
      <w:bookmarkStart w:id="599" w:name="_Toc3091"/>
      <w:r>
        <w:rPr>
          <w:rFonts w:hint="eastAsia" w:ascii="宋体" w:hAnsi="宋体" w:eastAsia="宋体" w:cs="宋体"/>
          <w:color w:val="auto"/>
          <w:sz w:val="21"/>
          <w:szCs w:val="21"/>
          <w:highlight w:val="none"/>
        </w:rPr>
        <w:t>附件</w:t>
      </w:r>
      <w:r>
        <w:rPr>
          <w:rFonts w:hint="eastAsia" w:ascii="宋体" w:hAnsi="宋体" w:cs="宋体"/>
          <w:color w:val="auto"/>
          <w:sz w:val="21"/>
          <w:szCs w:val="21"/>
          <w:highlight w:val="none"/>
          <w:lang w:val="en-US" w:eastAsia="zh-CN"/>
        </w:rPr>
        <w:t>9</w:t>
      </w:r>
      <w:r>
        <w:rPr>
          <w:rFonts w:hint="eastAsia" w:ascii="宋体" w:hAnsi="宋体" w:eastAsia="宋体" w:cs="宋体"/>
          <w:color w:val="auto"/>
          <w:sz w:val="21"/>
          <w:szCs w:val="21"/>
          <w:highlight w:val="none"/>
        </w:rPr>
        <w:t>.在经营活动中没有重大违法记录的书面声明格式</w:t>
      </w:r>
      <w:bookmarkEnd w:id="592"/>
      <w:bookmarkEnd w:id="593"/>
      <w:bookmarkEnd w:id="594"/>
      <w:bookmarkEnd w:id="595"/>
      <w:bookmarkEnd w:id="596"/>
      <w:bookmarkEnd w:id="597"/>
      <w:bookmarkEnd w:id="598"/>
      <w:bookmarkEnd w:id="599"/>
    </w:p>
    <w:p w14:paraId="058062C0">
      <w:pPr>
        <w:shd w:val="clear"/>
        <w:rPr>
          <w:rFonts w:hint="eastAsia" w:ascii="宋体" w:hAnsi="宋体" w:eastAsia="宋体" w:cs="宋体"/>
          <w:color w:val="auto"/>
          <w:highlight w:val="none"/>
        </w:rPr>
      </w:pPr>
    </w:p>
    <w:p w14:paraId="689A3809">
      <w:pPr>
        <w:shd w:val="clea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投标人在经营活动中前三年内未有重大违法记录、没有不良信用记录的声明函</w:t>
      </w:r>
    </w:p>
    <w:p w14:paraId="233F5E69">
      <w:pPr>
        <w:shd w:val="clear"/>
        <w:ind w:firstLine="420" w:firstLineChars="200"/>
        <w:rPr>
          <w:rFonts w:hint="eastAsia" w:ascii="宋体" w:hAnsi="宋体" w:eastAsia="宋体" w:cs="宋体"/>
          <w:color w:val="auto"/>
          <w:szCs w:val="21"/>
          <w:highlight w:val="none"/>
        </w:rPr>
      </w:pPr>
    </w:p>
    <w:p w14:paraId="5F42D88D">
      <w:pPr>
        <w:shd w:val="clear"/>
        <w:spacing w:line="480" w:lineRule="auto"/>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eastAsia="zh-CN"/>
        </w:rPr>
        <w:t>广州宏达工程顾问集团有限公司</w:t>
      </w:r>
      <w:r>
        <w:rPr>
          <w:rFonts w:hint="eastAsia" w:ascii="宋体" w:hAnsi="宋体" w:eastAsia="宋体" w:cs="宋体"/>
          <w:color w:val="auto"/>
          <w:szCs w:val="21"/>
          <w:highlight w:val="none"/>
        </w:rPr>
        <w:t>：</w:t>
      </w:r>
    </w:p>
    <w:p w14:paraId="389A5A37">
      <w:pPr>
        <w:shd w:val="clear"/>
        <w:spacing w:line="48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我公司郑重承诺：在参加“</w:t>
      </w:r>
      <w:r>
        <w:rPr>
          <w:rFonts w:hint="eastAsia" w:ascii="宋体" w:hAnsi="宋体" w:eastAsia="宋体" w:cs="宋体"/>
          <w:color w:val="auto"/>
          <w:szCs w:val="21"/>
          <w:highlight w:val="none"/>
          <w:u w:val="single"/>
        </w:rPr>
        <w:t xml:space="preserve">       （采购项目名称）</w:t>
      </w:r>
      <w:r>
        <w:rPr>
          <w:rFonts w:hint="eastAsia" w:ascii="宋体" w:hAnsi="宋体" w:eastAsia="宋体" w:cs="宋体"/>
          <w:color w:val="auto"/>
          <w:szCs w:val="21"/>
          <w:highlight w:val="none"/>
        </w:rPr>
        <w:t>” （项目编号:XX）采购活动前三年内（设立不满三年的从设立之日计算），在经营活动中没有重大违法记录；至本项目提交投标文件截止时间止未被列入“信用中国”网站失信被执行人、重大税收违法失信主体、政府采购严重违法失信行为记录名单。</w:t>
      </w:r>
    </w:p>
    <w:p w14:paraId="3AD3B752">
      <w:pPr>
        <w:shd w:val="clear"/>
        <w:spacing w:line="48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我公司以上承诺均为真实有效，绝无任何虚假、伪造的成份，否则，愿承担相应的后果和法律责任。</w:t>
      </w:r>
    </w:p>
    <w:p w14:paraId="5F138034">
      <w:pPr>
        <w:shd w:val="clear"/>
        <w:ind w:firstLine="420" w:firstLineChars="200"/>
        <w:rPr>
          <w:rFonts w:hint="eastAsia" w:ascii="宋体" w:hAnsi="宋体" w:eastAsia="宋体" w:cs="宋体"/>
          <w:color w:val="auto"/>
          <w:szCs w:val="21"/>
          <w:highlight w:val="none"/>
        </w:rPr>
      </w:pPr>
    </w:p>
    <w:p w14:paraId="31EF821F">
      <w:pPr>
        <w:shd w:val="clear"/>
        <w:rPr>
          <w:rFonts w:hint="eastAsia" w:ascii="宋体" w:hAnsi="宋体" w:eastAsia="宋体" w:cs="宋体"/>
          <w:color w:val="auto"/>
          <w:szCs w:val="21"/>
          <w:highlight w:val="none"/>
        </w:rPr>
      </w:pPr>
    </w:p>
    <w:p w14:paraId="7A5FE46C">
      <w:pPr>
        <w:shd w:val="clear"/>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投标人名称（盖章）：</w:t>
      </w:r>
    </w:p>
    <w:p w14:paraId="3AD574C9">
      <w:pPr>
        <w:shd w:val="clear"/>
        <w:rPr>
          <w:rFonts w:hint="eastAsia" w:ascii="宋体" w:hAnsi="宋体" w:eastAsia="宋体" w:cs="宋体"/>
          <w:color w:val="auto"/>
          <w:szCs w:val="21"/>
          <w:highlight w:val="none"/>
        </w:rPr>
      </w:pPr>
    </w:p>
    <w:p w14:paraId="66DAC06B">
      <w:pPr>
        <w:shd w:val="clear"/>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p>
    <w:p w14:paraId="0FBD0489">
      <w:pPr>
        <w:shd w:val="clear"/>
        <w:rPr>
          <w:rFonts w:hint="eastAsia" w:ascii="宋体" w:hAnsi="宋体" w:eastAsia="宋体" w:cs="宋体"/>
          <w:color w:val="auto"/>
          <w:highlight w:val="none"/>
        </w:rPr>
      </w:pPr>
    </w:p>
    <w:p w14:paraId="785C99EC">
      <w:pPr>
        <w:shd w:val="clear"/>
        <w:rPr>
          <w:rFonts w:hint="eastAsia" w:ascii="宋体" w:hAnsi="宋体" w:eastAsia="宋体" w:cs="宋体"/>
          <w:color w:val="auto"/>
          <w:szCs w:val="21"/>
          <w:highlight w:val="none"/>
        </w:rPr>
      </w:pPr>
    </w:p>
    <w:p w14:paraId="6AC913D4">
      <w:pPr>
        <w:pStyle w:val="13"/>
        <w:shd w:val="clear"/>
        <w:rPr>
          <w:rFonts w:hint="eastAsia" w:ascii="宋体" w:hAnsi="宋体" w:eastAsia="宋体" w:cs="宋体"/>
          <w:color w:val="auto"/>
          <w:sz w:val="21"/>
          <w:szCs w:val="21"/>
          <w:highlight w:val="none"/>
        </w:rPr>
      </w:pPr>
    </w:p>
    <w:p w14:paraId="3D36F389">
      <w:pPr>
        <w:shd w:val="clear"/>
        <w:rPr>
          <w:rFonts w:hint="eastAsia" w:ascii="宋体" w:hAnsi="宋体" w:eastAsia="宋体" w:cs="宋体"/>
          <w:color w:val="auto"/>
          <w:szCs w:val="21"/>
          <w:highlight w:val="none"/>
        </w:rPr>
      </w:pPr>
    </w:p>
    <w:p w14:paraId="7AB9333D">
      <w:pPr>
        <w:pStyle w:val="13"/>
        <w:shd w:val="clear"/>
        <w:rPr>
          <w:rFonts w:hint="eastAsia" w:ascii="宋体" w:hAnsi="宋体" w:eastAsia="宋体" w:cs="宋体"/>
          <w:color w:val="auto"/>
          <w:sz w:val="21"/>
          <w:szCs w:val="21"/>
          <w:highlight w:val="none"/>
        </w:rPr>
      </w:pPr>
    </w:p>
    <w:p w14:paraId="2001A348">
      <w:pPr>
        <w:shd w:val="clear"/>
        <w:rPr>
          <w:rFonts w:hint="eastAsia" w:ascii="宋体" w:hAnsi="宋体" w:eastAsia="宋体" w:cs="宋体"/>
          <w:color w:val="auto"/>
          <w:szCs w:val="21"/>
          <w:highlight w:val="none"/>
        </w:rPr>
      </w:pPr>
    </w:p>
    <w:p w14:paraId="2B5CDAA9">
      <w:pPr>
        <w:pStyle w:val="13"/>
        <w:shd w:val="clear"/>
        <w:rPr>
          <w:rFonts w:hint="eastAsia" w:ascii="宋体" w:hAnsi="宋体" w:eastAsia="宋体" w:cs="宋体"/>
          <w:color w:val="auto"/>
          <w:sz w:val="21"/>
          <w:szCs w:val="21"/>
          <w:highlight w:val="none"/>
        </w:rPr>
      </w:pPr>
    </w:p>
    <w:p w14:paraId="0CA1B06B">
      <w:pPr>
        <w:shd w:val="clear"/>
        <w:rPr>
          <w:rFonts w:hint="eastAsia" w:ascii="宋体" w:hAnsi="宋体" w:eastAsia="宋体" w:cs="宋体"/>
          <w:color w:val="auto"/>
          <w:szCs w:val="21"/>
          <w:highlight w:val="none"/>
        </w:rPr>
      </w:pPr>
    </w:p>
    <w:p w14:paraId="57A01CD9">
      <w:pPr>
        <w:pStyle w:val="13"/>
        <w:shd w:val="clear"/>
        <w:rPr>
          <w:rFonts w:hint="eastAsia" w:ascii="宋体" w:hAnsi="宋体" w:eastAsia="宋体" w:cs="宋体"/>
          <w:color w:val="auto"/>
          <w:sz w:val="21"/>
          <w:szCs w:val="21"/>
          <w:highlight w:val="none"/>
        </w:rPr>
      </w:pPr>
    </w:p>
    <w:p w14:paraId="45C2B576">
      <w:pPr>
        <w:shd w:val="clear"/>
        <w:rPr>
          <w:rFonts w:hint="eastAsia" w:ascii="宋体" w:hAnsi="宋体" w:eastAsia="宋体" w:cs="宋体"/>
          <w:color w:val="auto"/>
          <w:szCs w:val="21"/>
          <w:highlight w:val="none"/>
        </w:rPr>
      </w:pPr>
    </w:p>
    <w:p w14:paraId="2B5FCE94">
      <w:pPr>
        <w:pStyle w:val="13"/>
        <w:shd w:val="clear"/>
        <w:rPr>
          <w:rFonts w:hint="eastAsia" w:ascii="宋体" w:hAnsi="宋体" w:eastAsia="宋体" w:cs="宋体"/>
          <w:color w:val="auto"/>
          <w:sz w:val="21"/>
          <w:szCs w:val="21"/>
          <w:highlight w:val="none"/>
        </w:rPr>
      </w:pPr>
    </w:p>
    <w:p w14:paraId="111B5BB3">
      <w:pPr>
        <w:shd w:val="clear"/>
        <w:rPr>
          <w:rFonts w:hint="eastAsia" w:ascii="宋体" w:hAnsi="宋体" w:eastAsia="宋体" w:cs="宋体"/>
          <w:color w:val="auto"/>
          <w:highlight w:val="none"/>
        </w:rPr>
      </w:pPr>
    </w:p>
    <w:p w14:paraId="587B7384">
      <w:pPr>
        <w:pStyle w:val="5"/>
        <w:widowControl w:val="0"/>
        <w:shd w:val="clear"/>
        <w:overflowPunct w:val="0"/>
        <w:spacing w:line="240" w:lineRule="auto"/>
        <w:rPr>
          <w:rFonts w:hint="eastAsia" w:ascii="宋体" w:hAnsi="宋体" w:eastAsia="宋体" w:cs="宋体"/>
          <w:color w:val="auto"/>
          <w:highlight w:val="none"/>
        </w:rPr>
      </w:pPr>
      <w:bookmarkStart w:id="600" w:name="_Toc2338"/>
      <w:bookmarkStart w:id="601" w:name="_Toc30518"/>
      <w:bookmarkStart w:id="602" w:name="_Toc1557"/>
      <w:bookmarkStart w:id="603" w:name="_Toc20398"/>
      <w:bookmarkStart w:id="604" w:name="_Toc25085"/>
      <w:bookmarkStart w:id="605" w:name="_Toc20064"/>
      <w:bookmarkStart w:id="606" w:name="_Toc18616"/>
      <w:bookmarkStart w:id="607" w:name="_Toc31558"/>
      <w:r>
        <w:rPr>
          <w:rFonts w:hint="eastAsia" w:ascii="宋体" w:hAnsi="宋体" w:eastAsia="宋体" w:cs="宋体"/>
          <w:color w:val="auto"/>
          <w:sz w:val="21"/>
          <w:szCs w:val="21"/>
          <w:highlight w:val="none"/>
        </w:rPr>
        <w:t>附件</w:t>
      </w: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rPr>
        <w:t>.承诺书格式</w:t>
      </w:r>
      <w:bookmarkEnd w:id="600"/>
      <w:bookmarkEnd w:id="601"/>
      <w:bookmarkEnd w:id="602"/>
      <w:bookmarkEnd w:id="603"/>
      <w:bookmarkEnd w:id="604"/>
      <w:bookmarkEnd w:id="605"/>
      <w:bookmarkEnd w:id="606"/>
      <w:bookmarkEnd w:id="607"/>
    </w:p>
    <w:p w14:paraId="3872E410">
      <w:pPr>
        <w:shd w:val="clea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承诺书</w:t>
      </w:r>
    </w:p>
    <w:p w14:paraId="1CEAC444">
      <w:pPr>
        <w:pStyle w:val="50"/>
        <w:shd w:val="clear"/>
        <w:spacing w:line="420" w:lineRule="atLeast"/>
        <w:ind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致</w:t>
      </w:r>
      <w:r>
        <w:rPr>
          <w:rFonts w:hint="eastAsia" w:ascii="宋体" w:eastAsia="宋体" w:cs="宋体"/>
          <w:color w:val="auto"/>
          <w:sz w:val="21"/>
          <w:szCs w:val="21"/>
          <w:highlight w:val="none"/>
          <w:lang w:eastAsia="zh-CN"/>
        </w:rPr>
        <w:t>广州宏达工程顾问集团有限公司</w:t>
      </w:r>
      <w:r>
        <w:rPr>
          <w:rFonts w:hint="eastAsia" w:ascii="宋体" w:hAnsi="宋体" w:eastAsia="宋体" w:cs="宋体"/>
          <w:color w:val="auto"/>
          <w:sz w:val="21"/>
          <w:szCs w:val="21"/>
          <w:highlight w:val="none"/>
        </w:rPr>
        <w:t>：</w:t>
      </w:r>
    </w:p>
    <w:p w14:paraId="676135BB">
      <w:pPr>
        <w:shd w:val="clear"/>
        <w:jc w:val="center"/>
        <w:rPr>
          <w:rFonts w:hint="eastAsia" w:ascii="宋体" w:hAnsi="宋体" w:eastAsia="宋体" w:cs="宋体"/>
          <w:color w:val="auto"/>
          <w:szCs w:val="21"/>
          <w:highlight w:val="none"/>
        </w:rPr>
      </w:pPr>
    </w:p>
    <w:p w14:paraId="09D9DFD9">
      <w:pPr>
        <w:pStyle w:val="50"/>
        <w:shd w:val="clear"/>
        <w:spacing w:line="420" w:lineRule="exact"/>
        <w:ind w:firstLine="43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我方已完整阅读了</w:t>
      </w:r>
      <w:r>
        <w:rPr>
          <w:rFonts w:hint="eastAsia" w:ascii="宋体" w:hAnsi="宋体" w:eastAsia="宋体" w:cs="宋体"/>
          <w:color w:val="auto"/>
          <w:sz w:val="21"/>
          <w:szCs w:val="21"/>
          <w:highlight w:val="none"/>
          <w:u w:val="single"/>
        </w:rPr>
        <w:t xml:space="preserve">  （项目名称）     </w:t>
      </w:r>
      <w:r>
        <w:rPr>
          <w:rFonts w:hint="eastAsia" w:ascii="宋体" w:hAnsi="宋体" w:eastAsia="宋体" w:cs="宋体"/>
          <w:color w:val="auto"/>
          <w:sz w:val="21"/>
          <w:szCs w:val="21"/>
          <w:highlight w:val="none"/>
        </w:rPr>
        <w:t>项目（项目编号：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）采购文件的所有内容（包括澄清，以及所有已提供的参考资料和有关附件），并完全理解上述文件所表达的意思，该项目递交投标文件时间截止后，我方承诺不再对上述文件内容有异议。</w:t>
      </w:r>
      <w:r>
        <w:rPr>
          <w:rFonts w:hint="eastAsia" w:ascii="宋体" w:hAnsi="宋体" w:eastAsia="宋体" w:cs="宋体"/>
          <w:color w:val="auto"/>
          <w:sz w:val="21"/>
          <w:szCs w:val="21"/>
          <w:highlight w:val="none"/>
        </w:rPr>
        <w:cr/>
      </w:r>
    </w:p>
    <w:p w14:paraId="6540D4AE">
      <w:pPr>
        <w:pStyle w:val="50"/>
        <w:shd w:val="clear"/>
        <w:spacing w:line="420" w:lineRule="exact"/>
        <w:ind w:firstLine="433"/>
        <w:rPr>
          <w:rFonts w:hint="eastAsia" w:ascii="宋体" w:hAnsi="宋体" w:eastAsia="宋体" w:cs="宋体"/>
          <w:color w:val="auto"/>
          <w:sz w:val="21"/>
          <w:szCs w:val="21"/>
          <w:highlight w:val="none"/>
        </w:rPr>
      </w:pPr>
    </w:p>
    <w:p w14:paraId="3A264EF1">
      <w:pPr>
        <w:shd w:val="clear"/>
        <w:ind w:right="561"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投标人名称（加盖公章）：</w:t>
      </w:r>
    </w:p>
    <w:p w14:paraId="5B5941F1">
      <w:pPr>
        <w:shd w:val="clear"/>
        <w:ind w:right="561"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法定代表人或被授权人（签名或盖私章）：</w:t>
      </w:r>
    </w:p>
    <w:p w14:paraId="2DAB7B9A">
      <w:pPr>
        <w:shd w:val="clear"/>
        <w:ind w:right="561"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      期：</w:t>
      </w:r>
    </w:p>
    <w:p w14:paraId="66A5A772">
      <w:pPr>
        <w:shd w:val="clear"/>
        <w:rPr>
          <w:rFonts w:hint="eastAsia" w:ascii="宋体" w:hAnsi="宋体" w:eastAsia="宋体" w:cs="宋体"/>
          <w:color w:val="auto"/>
          <w:highlight w:val="none"/>
        </w:rPr>
      </w:pPr>
    </w:p>
    <w:p w14:paraId="508BB0C2">
      <w:pPr>
        <w:shd w:val="clear"/>
        <w:rPr>
          <w:rFonts w:hint="eastAsia" w:ascii="宋体" w:hAnsi="宋体" w:eastAsia="宋体" w:cs="宋体"/>
          <w:color w:val="auto"/>
          <w:szCs w:val="21"/>
          <w:highlight w:val="none"/>
        </w:rPr>
      </w:pPr>
    </w:p>
    <w:p w14:paraId="751621D4">
      <w:pPr>
        <w:pStyle w:val="13"/>
        <w:shd w:val="clear"/>
        <w:rPr>
          <w:rFonts w:hint="eastAsia" w:ascii="宋体" w:hAnsi="宋体" w:eastAsia="宋体" w:cs="宋体"/>
          <w:color w:val="auto"/>
          <w:sz w:val="21"/>
          <w:szCs w:val="21"/>
          <w:highlight w:val="none"/>
        </w:rPr>
      </w:pPr>
    </w:p>
    <w:p w14:paraId="3CA1DDED">
      <w:pPr>
        <w:shd w:val="clear"/>
        <w:rPr>
          <w:rFonts w:hint="eastAsia" w:ascii="宋体" w:hAnsi="宋体" w:eastAsia="宋体" w:cs="宋体"/>
          <w:color w:val="auto"/>
          <w:szCs w:val="21"/>
          <w:highlight w:val="none"/>
        </w:rPr>
      </w:pPr>
    </w:p>
    <w:p w14:paraId="0210FEE2">
      <w:pPr>
        <w:pStyle w:val="13"/>
        <w:shd w:val="clear"/>
        <w:rPr>
          <w:rFonts w:hint="eastAsia" w:ascii="宋体" w:hAnsi="宋体" w:eastAsia="宋体" w:cs="宋体"/>
          <w:color w:val="auto"/>
          <w:sz w:val="21"/>
          <w:szCs w:val="21"/>
          <w:highlight w:val="none"/>
        </w:rPr>
      </w:pPr>
    </w:p>
    <w:p w14:paraId="7E710804">
      <w:pPr>
        <w:shd w:val="clear"/>
        <w:rPr>
          <w:rFonts w:hint="eastAsia" w:ascii="宋体" w:hAnsi="宋体" w:eastAsia="宋体" w:cs="宋体"/>
          <w:color w:val="auto"/>
          <w:szCs w:val="21"/>
          <w:highlight w:val="none"/>
        </w:rPr>
      </w:pPr>
    </w:p>
    <w:p w14:paraId="177B9E8C">
      <w:pPr>
        <w:pStyle w:val="13"/>
        <w:shd w:val="clear"/>
        <w:rPr>
          <w:rFonts w:hint="eastAsia" w:ascii="宋体" w:hAnsi="宋体" w:eastAsia="宋体" w:cs="宋体"/>
          <w:color w:val="auto"/>
          <w:sz w:val="21"/>
          <w:szCs w:val="21"/>
          <w:highlight w:val="none"/>
        </w:rPr>
      </w:pPr>
    </w:p>
    <w:p w14:paraId="6A2639C6">
      <w:pPr>
        <w:shd w:val="clear"/>
        <w:rPr>
          <w:rFonts w:hint="eastAsia" w:ascii="宋体" w:hAnsi="宋体" w:eastAsia="宋体" w:cs="宋体"/>
          <w:color w:val="auto"/>
          <w:szCs w:val="21"/>
          <w:highlight w:val="none"/>
        </w:rPr>
      </w:pPr>
    </w:p>
    <w:p w14:paraId="6EDEA947">
      <w:pPr>
        <w:pStyle w:val="13"/>
        <w:shd w:val="clear"/>
        <w:rPr>
          <w:rFonts w:hint="eastAsia" w:ascii="宋体" w:hAnsi="宋体" w:eastAsia="宋体" w:cs="宋体"/>
          <w:color w:val="auto"/>
          <w:sz w:val="21"/>
          <w:szCs w:val="21"/>
          <w:highlight w:val="none"/>
        </w:rPr>
      </w:pPr>
    </w:p>
    <w:p w14:paraId="56351097">
      <w:pPr>
        <w:shd w:val="clear"/>
        <w:rPr>
          <w:rFonts w:hint="eastAsia" w:ascii="宋体" w:hAnsi="宋体" w:eastAsia="宋体" w:cs="宋体"/>
          <w:color w:val="auto"/>
          <w:szCs w:val="21"/>
          <w:highlight w:val="none"/>
        </w:rPr>
      </w:pPr>
    </w:p>
    <w:p w14:paraId="3892C090">
      <w:pPr>
        <w:pStyle w:val="13"/>
        <w:shd w:val="clear"/>
        <w:rPr>
          <w:rFonts w:hint="eastAsia" w:ascii="宋体" w:hAnsi="宋体" w:eastAsia="宋体" w:cs="宋体"/>
          <w:color w:val="auto"/>
          <w:sz w:val="21"/>
          <w:szCs w:val="21"/>
          <w:highlight w:val="none"/>
        </w:rPr>
      </w:pPr>
    </w:p>
    <w:p w14:paraId="79A05D6C">
      <w:pPr>
        <w:shd w:val="clear"/>
        <w:rPr>
          <w:rFonts w:hint="eastAsia" w:ascii="宋体" w:hAnsi="宋体" w:eastAsia="宋体" w:cs="宋体"/>
          <w:color w:val="auto"/>
          <w:szCs w:val="21"/>
          <w:highlight w:val="none"/>
        </w:rPr>
      </w:pPr>
    </w:p>
    <w:p w14:paraId="62632A4B">
      <w:pPr>
        <w:pStyle w:val="13"/>
        <w:shd w:val="clear"/>
        <w:rPr>
          <w:rFonts w:hint="eastAsia" w:ascii="宋体" w:hAnsi="宋体" w:eastAsia="宋体" w:cs="宋体"/>
          <w:color w:val="auto"/>
          <w:sz w:val="21"/>
          <w:szCs w:val="21"/>
          <w:highlight w:val="none"/>
        </w:rPr>
      </w:pPr>
    </w:p>
    <w:p w14:paraId="277C70F1">
      <w:pPr>
        <w:shd w:val="clear"/>
        <w:rPr>
          <w:rFonts w:hint="eastAsia" w:ascii="宋体" w:hAnsi="宋体" w:eastAsia="宋体" w:cs="宋体"/>
          <w:color w:val="auto"/>
          <w:szCs w:val="21"/>
          <w:highlight w:val="none"/>
        </w:rPr>
      </w:pPr>
    </w:p>
    <w:p w14:paraId="5135D899">
      <w:pPr>
        <w:pStyle w:val="13"/>
        <w:shd w:val="clear"/>
        <w:rPr>
          <w:rFonts w:hint="eastAsia" w:ascii="宋体" w:hAnsi="宋体" w:eastAsia="宋体" w:cs="宋体"/>
          <w:color w:val="auto"/>
          <w:sz w:val="21"/>
          <w:szCs w:val="21"/>
          <w:highlight w:val="none"/>
        </w:rPr>
      </w:pPr>
    </w:p>
    <w:p w14:paraId="7624D108">
      <w:pPr>
        <w:shd w:val="clear"/>
        <w:rPr>
          <w:rFonts w:hint="eastAsia" w:ascii="宋体" w:hAnsi="宋体" w:eastAsia="宋体" w:cs="宋体"/>
          <w:color w:val="auto"/>
          <w:szCs w:val="21"/>
          <w:highlight w:val="none"/>
        </w:rPr>
      </w:pPr>
    </w:p>
    <w:p w14:paraId="16B7EFCC">
      <w:pPr>
        <w:pStyle w:val="13"/>
        <w:shd w:val="clear"/>
        <w:rPr>
          <w:rFonts w:hint="eastAsia" w:ascii="宋体" w:hAnsi="宋体" w:eastAsia="宋体" w:cs="宋体"/>
          <w:color w:val="auto"/>
          <w:sz w:val="21"/>
          <w:szCs w:val="21"/>
          <w:highlight w:val="none"/>
        </w:rPr>
      </w:pPr>
    </w:p>
    <w:p w14:paraId="7C56F2C2">
      <w:pPr>
        <w:shd w:val="clear"/>
        <w:rPr>
          <w:rFonts w:hint="eastAsia" w:ascii="宋体" w:hAnsi="宋体" w:eastAsia="宋体" w:cs="宋体"/>
          <w:color w:val="auto"/>
          <w:highlight w:val="none"/>
        </w:rPr>
      </w:pPr>
    </w:p>
    <w:p w14:paraId="251275E0">
      <w:pPr>
        <w:pStyle w:val="5"/>
        <w:widowControl w:val="0"/>
        <w:shd w:val="clear"/>
        <w:overflowPunct w:val="0"/>
        <w:spacing w:line="240" w:lineRule="auto"/>
        <w:rPr>
          <w:rFonts w:hint="eastAsia" w:ascii="宋体" w:hAnsi="宋体" w:eastAsia="宋体" w:cs="宋体"/>
          <w:color w:val="auto"/>
          <w:sz w:val="21"/>
          <w:szCs w:val="21"/>
          <w:highlight w:val="none"/>
        </w:rPr>
      </w:pPr>
      <w:bookmarkStart w:id="608" w:name="_Toc6325"/>
      <w:bookmarkStart w:id="609" w:name="_Toc4399"/>
      <w:bookmarkStart w:id="610" w:name="_Toc2878"/>
      <w:bookmarkStart w:id="611" w:name="_Toc24507"/>
      <w:bookmarkStart w:id="612" w:name="_Toc7152"/>
      <w:bookmarkStart w:id="613" w:name="_Toc30041"/>
      <w:bookmarkStart w:id="614" w:name="_Toc25613"/>
      <w:bookmarkStart w:id="615" w:name="_Toc14344"/>
      <w:r>
        <w:rPr>
          <w:rFonts w:hint="eastAsia" w:ascii="宋体" w:hAnsi="宋体" w:eastAsia="宋体" w:cs="宋体"/>
          <w:color w:val="auto"/>
          <w:sz w:val="21"/>
          <w:szCs w:val="21"/>
          <w:highlight w:val="none"/>
        </w:rPr>
        <w:t>附件</w:t>
      </w:r>
      <w:r>
        <w:rPr>
          <w:rFonts w:hint="eastAsia" w:ascii="宋体" w:hAnsi="宋体" w:cs="宋体"/>
          <w:color w:val="auto"/>
          <w:sz w:val="21"/>
          <w:szCs w:val="21"/>
          <w:highlight w:val="none"/>
          <w:lang w:val="en-US" w:eastAsia="zh-CN"/>
        </w:rPr>
        <w:t>11</w:t>
      </w:r>
      <w:r>
        <w:rPr>
          <w:rFonts w:hint="eastAsia" w:ascii="宋体" w:hAnsi="宋体" w:eastAsia="宋体" w:cs="宋体"/>
          <w:color w:val="auto"/>
          <w:sz w:val="21"/>
          <w:szCs w:val="21"/>
          <w:highlight w:val="none"/>
        </w:rPr>
        <w:t>.商务需求条款偏离表格式</w:t>
      </w:r>
      <w:bookmarkEnd w:id="608"/>
      <w:bookmarkEnd w:id="609"/>
      <w:bookmarkEnd w:id="610"/>
      <w:bookmarkEnd w:id="611"/>
      <w:bookmarkEnd w:id="612"/>
      <w:bookmarkEnd w:id="613"/>
      <w:bookmarkEnd w:id="614"/>
      <w:bookmarkEnd w:id="615"/>
    </w:p>
    <w:p w14:paraId="5468AD21">
      <w:pPr>
        <w:shd w:val="clear"/>
        <w:jc w:val="center"/>
        <w:rPr>
          <w:rFonts w:hint="eastAsia" w:ascii="宋体" w:hAnsi="宋体" w:eastAsia="宋体" w:cs="宋体"/>
          <w:color w:val="auto"/>
          <w:sz w:val="28"/>
          <w:szCs w:val="28"/>
          <w:highlight w:val="none"/>
        </w:rPr>
      </w:pPr>
    </w:p>
    <w:p w14:paraId="7C93DCB1">
      <w:pPr>
        <w:shd w:val="clea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商务需求条款偏离表</w:t>
      </w:r>
    </w:p>
    <w:tbl>
      <w:tblPr>
        <w:tblStyle w:val="34"/>
        <w:tblW w:w="84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620"/>
        <w:gridCol w:w="1360"/>
        <w:gridCol w:w="1587"/>
        <w:gridCol w:w="1133"/>
        <w:gridCol w:w="1730"/>
      </w:tblGrid>
      <w:tr w14:paraId="45902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1008" w:type="dxa"/>
            <w:vAlign w:val="center"/>
          </w:tcPr>
          <w:p w14:paraId="34810FAE">
            <w:pPr>
              <w:shd w:val="clea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1620" w:type="dxa"/>
            <w:vAlign w:val="center"/>
          </w:tcPr>
          <w:p w14:paraId="55673368">
            <w:pPr>
              <w:shd w:val="clea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服务项目名称</w:t>
            </w:r>
          </w:p>
        </w:tc>
        <w:tc>
          <w:tcPr>
            <w:tcW w:w="1360" w:type="dxa"/>
            <w:vAlign w:val="center"/>
          </w:tcPr>
          <w:p w14:paraId="7B8D3362">
            <w:pPr>
              <w:shd w:val="clea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采购要求</w:t>
            </w:r>
          </w:p>
        </w:tc>
        <w:tc>
          <w:tcPr>
            <w:tcW w:w="1587" w:type="dxa"/>
            <w:vAlign w:val="center"/>
          </w:tcPr>
          <w:p w14:paraId="5384C436">
            <w:pPr>
              <w:shd w:val="clea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投标实际响应</w:t>
            </w:r>
          </w:p>
        </w:tc>
        <w:tc>
          <w:tcPr>
            <w:tcW w:w="1133" w:type="dxa"/>
            <w:vAlign w:val="center"/>
          </w:tcPr>
          <w:p w14:paraId="3CFA87DA">
            <w:pPr>
              <w:shd w:val="clea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是否偏离</w:t>
            </w:r>
          </w:p>
        </w:tc>
        <w:tc>
          <w:tcPr>
            <w:tcW w:w="1730" w:type="dxa"/>
            <w:vAlign w:val="center"/>
          </w:tcPr>
          <w:p w14:paraId="36B9B169">
            <w:pPr>
              <w:shd w:val="clea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w:t>
            </w:r>
          </w:p>
        </w:tc>
      </w:tr>
      <w:tr w14:paraId="4550B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424E3C7">
            <w:pPr>
              <w:shd w:val="clear"/>
              <w:jc w:val="center"/>
              <w:rPr>
                <w:rFonts w:hint="eastAsia" w:ascii="宋体" w:hAnsi="宋体" w:eastAsia="宋体" w:cs="宋体"/>
                <w:color w:val="auto"/>
                <w:szCs w:val="21"/>
                <w:highlight w:val="none"/>
              </w:rPr>
            </w:pPr>
          </w:p>
        </w:tc>
        <w:tc>
          <w:tcPr>
            <w:tcW w:w="1620" w:type="dxa"/>
            <w:vAlign w:val="center"/>
          </w:tcPr>
          <w:p w14:paraId="4BBE9EBF">
            <w:pPr>
              <w:shd w:val="clear"/>
              <w:jc w:val="center"/>
              <w:rPr>
                <w:rFonts w:hint="eastAsia" w:ascii="宋体" w:hAnsi="宋体" w:eastAsia="宋体" w:cs="宋体"/>
                <w:color w:val="auto"/>
                <w:szCs w:val="21"/>
                <w:highlight w:val="none"/>
              </w:rPr>
            </w:pPr>
          </w:p>
        </w:tc>
        <w:tc>
          <w:tcPr>
            <w:tcW w:w="1360" w:type="dxa"/>
            <w:vAlign w:val="center"/>
          </w:tcPr>
          <w:p w14:paraId="4A865D4A">
            <w:pPr>
              <w:shd w:val="clear"/>
              <w:jc w:val="center"/>
              <w:rPr>
                <w:rFonts w:hint="eastAsia" w:ascii="宋体" w:hAnsi="宋体" w:eastAsia="宋体" w:cs="宋体"/>
                <w:color w:val="auto"/>
                <w:szCs w:val="21"/>
                <w:highlight w:val="none"/>
              </w:rPr>
            </w:pPr>
          </w:p>
        </w:tc>
        <w:tc>
          <w:tcPr>
            <w:tcW w:w="1587" w:type="dxa"/>
            <w:vAlign w:val="center"/>
          </w:tcPr>
          <w:p w14:paraId="22599038">
            <w:pPr>
              <w:shd w:val="clear"/>
              <w:jc w:val="center"/>
              <w:rPr>
                <w:rFonts w:hint="eastAsia" w:ascii="宋体" w:hAnsi="宋体" w:eastAsia="宋体" w:cs="宋体"/>
                <w:color w:val="auto"/>
                <w:szCs w:val="21"/>
                <w:highlight w:val="none"/>
              </w:rPr>
            </w:pPr>
          </w:p>
        </w:tc>
        <w:tc>
          <w:tcPr>
            <w:tcW w:w="1133" w:type="dxa"/>
            <w:vAlign w:val="center"/>
          </w:tcPr>
          <w:p w14:paraId="4DFFCAB1">
            <w:pPr>
              <w:shd w:val="clear"/>
              <w:jc w:val="center"/>
              <w:rPr>
                <w:rFonts w:hint="eastAsia" w:ascii="宋体" w:hAnsi="宋体" w:eastAsia="宋体" w:cs="宋体"/>
                <w:color w:val="auto"/>
                <w:szCs w:val="21"/>
                <w:highlight w:val="none"/>
              </w:rPr>
            </w:pPr>
          </w:p>
        </w:tc>
        <w:tc>
          <w:tcPr>
            <w:tcW w:w="1730" w:type="dxa"/>
            <w:vAlign w:val="center"/>
          </w:tcPr>
          <w:p w14:paraId="47830152">
            <w:pPr>
              <w:shd w:val="clear"/>
              <w:jc w:val="center"/>
              <w:rPr>
                <w:rFonts w:hint="eastAsia" w:ascii="宋体" w:hAnsi="宋体" w:eastAsia="宋体" w:cs="宋体"/>
                <w:color w:val="auto"/>
                <w:szCs w:val="21"/>
                <w:highlight w:val="none"/>
              </w:rPr>
            </w:pPr>
          </w:p>
        </w:tc>
      </w:tr>
      <w:tr w14:paraId="14217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F0BA57A">
            <w:pPr>
              <w:shd w:val="clear"/>
              <w:jc w:val="center"/>
              <w:rPr>
                <w:rFonts w:hint="eastAsia" w:ascii="宋体" w:hAnsi="宋体" w:eastAsia="宋体" w:cs="宋体"/>
                <w:color w:val="auto"/>
                <w:szCs w:val="21"/>
                <w:highlight w:val="none"/>
              </w:rPr>
            </w:pPr>
          </w:p>
        </w:tc>
        <w:tc>
          <w:tcPr>
            <w:tcW w:w="1620" w:type="dxa"/>
            <w:vAlign w:val="center"/>
          </w:tcPr>
          <w:p w14:paraId="64F730F7">
            <w:pPr>
              <w:shd w:val="clear"/>
              <w:jc w:val="center"/>
              <w:rPr>
                <w:rFonts w:hint="eastAsia" w:ascii="宋体" w:hAnsi="宋体" w:eastAsia="宋体" w:cs="宋体"/>
                <w:color w:val="auto"/>
                <w:szCs w:val="21"/>
                <w:highlight w:val="none"/>
              </w:rPr>
            </w:pPr>
          </w:p>
        </w:tc>
        <w:tc>
          <w:tcPr>
            <w:tcW w:w="1360" w:type="dxa"/>
            <w:vAlign w:val="center"/>
          </w:tcPr>
          <w:p w14:paraId="55AE8A68">
            <w:pPr>
              <w:shd w:val="clear"/>
              <w:jc w:val="center"/>
              <w:rPr>
                <w:rFonts w:hint="eastAsia" w:ascii="宋体" w:hAnsi="宋体" w:eastAsia="宋体" w:cs="宋体"/>
                <w:color w:val="auto"/>
                <w:szCs w:val="21"/>
                <w:highlight w:val="none"/>
              </w:rPr>
            </w:pPr>
          </w:p>
        </w:tc>
        <w:tc>
          <w:tcPr>
            <w:tcW w:w="1587" w:type="dxa"/>
            <w:vAlign w:val="center"/>
          </w:tcPr>
          <w:p w14:paraId="5D06D737">
            <w:pPr>
              <w:shd w:val="clear"/>
              <w:jc w:val="center"/>
              <w:rPr>
                <w:rFonts w:hint="eastAsia" w:ascii="宋体" w:hAnsi="宋体" w:eastAsia="宋体" w:cs="宋体"/>
                <w:color w:val="auto"/>
                <w:szCs w:val="21"/>
                <w:highlight w:val="none"/>
              </w:rPr>
            </w:pPr>
          </w:p>
        </w:tc>
        <w:tc>
          <w:tcPr>
            <w:tcW w:w="1133" w:type="dxa"/>
            <w:vAlign w:val="center"/>
          </w:tcPr>
          <w:p w14:paraId="4553A355">
            <w:pPr>
              <w:shd w:val="clear"/>
              <w:jc w:val="center"/>
              <w:rPr>
                <w:rFonts w:hint="eastAsia" w:ascii="宋体" w:hAnsi="宋体" w:eastAsia="宋体" w:cs="宋体"/>
                <w:color w:val="auto"/>
                <w:szCs w:val="21"/>
                <w:highlight w:val="none"/>
              </w:rPr>
            </w:pPr>
          </w:p>
        </w:tc>
        <w:tc>
          <w:tcPr>
            <w:tcW w:w="1730" w:type="dxa"/>
            <w:vAlign w:val="center"/>
          </w:tcPr>
          <w:p w14:paraId="0E2814AE">
            <w:pPr>
              <w:shd w:val="clear"/>
              <w:jc w:val="center"/>
              <w:rPr>
                <w:rFonts w:hint="eastAsia" w:ascii="宋体" w:hAnsi="宋体" w:eastAsia="宋体" w:cs="宋体"/>
                <w:color w:val="auto"/>
                <w:szCs w:val="21"/>
                <w:highlight w:val="none"/>
              </w:rPr>
            </w:pPr>
          </w:p>
        </w:tc>
      </w:tr>
      <w:tr w14:paraId="0D528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8C0F1AF">
            <w:pPr>
              <w:shd w:val="clear"/>
              <w:jc w:val="center"/>
              <w:rPr>
                <w:rFonts w:hint="eastAsia" w:ascii="宋体" w:hAnsi="宋体" w:eastAsia="宋体" w:cs="宋体"/>
                <w:color w:val="auto"/>
                <w:szCs w:val="21"/>
                <w:highlight w:val="none"/>
              </w:rPr>
            </w:pPr>
          </w:p>
        </w:tc>
        <w:tc>
          <w:tcPr>
            <w:tcW w:w="1620" w:type="dxa"/>
            <w:vAlign w:val="center"/>
          </w:tcPr>
          <w:p w14:paraId="5645EF53">
            <w:pPr>
              <w:shd w:val="clear"/>
              <w:jc w:val="center"/>
              <w:rPr>
                <w:rFonts w:hint="eastAsia" w:ascii="宋体" w:hAnsi="宋体" w:eastAsia="宋体" w:cs="宋体"/>
                <w:color w:val="auto"/>
                <w:szCs w:val="21"/>
                <w:highlight w:val="none"/>
              </w:rPr>
            </w:pPr>
          </w:p>
        </w:tc>
        <w:tc>
          <w:tcPr>
            <w:tcW w:w="1360" w:type="dxa"/>
            <w:vAlign w:val="center"/>
          </w:tcPr>
          <w:p w14:paraId="1F2EAE5C">
            <w:pPr>
              <w:shd w:val="clear"/>
              <w:jc w:val="center"/>
              <w:rPr>
                <w:rFonts w:hint="eastAsia" w:ascii="宋体" w:hAnsi="宋体" w:eastAsia="宋体" w:cs="宋体"/>
                <w:color w:val="auto"/>
                <w:szCs w:val="21"/>
                <w:highlight w:val="none"/>
              </w:rPr>
            </w:pPr>
          </w:p>
        </w:tc>
        <w:tc>
          <w:tcPr>
            <w:tcW w:w="1587" w:type="dxa"/>
            <w:vAlign w:val="center"/>
          </w:tcPr>
          <w:p w14:paraId="026CE246">
            <w:pPr>
              <w:shd w:val="clear"/>
              <w:jc w:val="center"/>
              <w:rPr>
                <w:rFonts w:hint="eastAsia" w:ascii="宋体" w:hAnsi="宋体" w:eastAsia="宋体" w:cs="宋体"/>
                <w:color w:val="auto"/>
                <w:szCs w:val="21"/>
                <w:highlight w:val="none"/>
              </w:rPr>
            </w:pPr>
          </w:p>
        </w:tc>
        <w:tc>
          <w:tcPr>
            <w:tcW w:w="1133" w:type="dxa"/>
            <w:vAlign w:val="center"/>
          </w:tcPr>
          <w:p w14:paraId="7D597C0E">
            <w:pPr>
              <w:shd w:val="clear"/>
              <w:jc w:val="center"/>
              <w:rPr>
                <w:rFonts w:hint="eastAsia" w:ascii="宋体" w:hAnsi="宋体" w:eastAsia="宋体" w:cs="宋体"/>
                <w:color w:val="auto"/>
                <w:szCs w:val="21"/>
                <w:highlight w:val="none"/>
              </w:rPr>
            </w:pPr>
          </w:p>
        </w:tc>
        <w:tc>
          <w:tcPr>
            <w:tcW w:w="1730" w:type="dxa"/>
            <w:vAlign w:val="center"/>
          </w:tcPr>
          <w:p w14:paraId="23103AA9">
            <w:pPr>
              <w:shd w:val="clear"/>
              <w:jc w:val="center"/>
              <w:rPr>
                <w:rFonts w:hint="eastAsia" w:ascii="宋体" w:hAnsi="宋体" w:eastAsia="宋体" w:cs="宋体"/>
                <w:color w:val="auto"/>
                <w:szCs w:val="21"/>
                <w:highlight w:val="none"/>
              </w:rPr>
            </w:pPr>
          </w:p>
        </w:tc>
      </w:tr>
      <w:tr w14:paraId="2BCE0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AA29BC2">
            <w:pPr>
              <w:shd w:val="clear"/>
              <w:jc w:val="center"/>
              <w:rPr>
                <w:rFonts w:hint="eastAsia" w:ascii="宋体" w:hAnsi="宋体" w:eastAsia="宋体" w:cs="宋体"/>
                <w:color w:val="auto"/>
                <w:szCs w:val="21"/>
                <w:highlight w:val="none"/>
              </w:rPr>
            </w:pPr>
          </w:p>
        </w:tc>
        <w:tc>
          <w:tcPr>
            <w:tcW w:w="1620" w:type="dxa"/>
            <w:vAlign w:val="center"/>
          </w:tcPr>
          <w:p w14:paraId="4995E966">
            <w:pPr>
              <w:shd w:val="clear"/>
              <w:jc w:val="center"/>
              <w:rPr>
                <w:rFonts w:hint="eastAsia" w:ascii="宋体" w:hAnsi="宋体" w:eastAsia="宋体" w:cs="宋体"/>
                <w:color w:val="auto"/>
                <w:szCs w:val="21"/>
                <w:highlight w:val="none"/>
              </w:rPr>
            </w:pPr>
          </w:p>
        </w:tc>
        <w:tc>
          <w:tcPr>
            <w:tcW w:w="1360" w:type="dxa"/>
            <w:vAlign w:val="center"/>
          </w:tcPr>
          <w:p w14:paraId="61904A53">
            <w:pPr>
              <w:shd w:val="clear"/>
              <w:jc w:val="center"/>
              <w:rPr>
                <w:rFonts w:hint="eastAsia" w:ascii="宋体" w:hAnsi="宋体" w:eastAsia="宋体" w:cs="宋体"/>
                <w:color w:val="auto"/>
                <w:szCs w:val="21"/>
                <w:highlight w:val="none"/>
              </w:rPr>
            </w:pPr>
          </w:p>
        </w:tc>
        <w:tc>
          <w:tcPr>
            <w:tcW w:w="1587" w:type="dxa"/>
            <w:vAlign w:val="center"/>
          </w:tcPr>
          <w:p w14:paraId="08CEA4A5">
            <w:pPr>
              <w:shd w:val="clear"/>
              <w:jc w:val="center"/>
              <w:rPr>
                <w:rFonts w:hint="eastAsia" w:ascii="宋体" w:hAnsi="宋体" w:eastAsia="宋体" w:cs="宋体"/>
                <w:color w:val="auto"/>
                <w:szCs w:val="21"/>
                <w:highlight w:val="none"/>
              </w:rPr>
            </w:pPr>
          </w:p>
        </w:tc>
        <w:tc>
          <w:tcPr>
            <w:tcW w:w="1133" w:type="dxa"/>
            <w:vAlign w:val="center"/>
          </w:tcPr>
          <w:p w14:paraId="53725617">
            <w:pPr>
              <w:shd w:val="clear"/>
              <w:jc w:val="center"/>
              <w:rPr>
                <w:rFonts w:hint="eastAsia" w:ascii="宋体" w:hAnsi="宋体" w:eastAsia="宋体" w:cs="宋体"/>
                <w:color w:val="auto"/>
                <w:szCs w:val="21"/>
                <w:highlight w:val="none"/>
              </w:rPr>
            </w:pPr>
          </w:p>
        </w:tc>
        <w:tc>
          <w:tcPr>
            <w:tcW w:w="1730" w:type="dxa"/>
            <w:vAlign w:val="center"/>
          </w:tcPr>
          <w:p w14:paraId="6B854566">
            <w:pPr>
              <w:shd w:val="clear"/>
              <w:jc w:val="center"/>
              <w:rPr>
                <w:rFonts w:hint="eastAsia" w:ascii="宋体" w:hAnsi="宋体" w:eastAsia="宋体" w:cs="宋体"/>
                <w:color w:val="auto"/>
                <w:szCs w:val="21"/>
                <w:highlight w:val="none"/>
              </w:rPr>
            </w:pPr>
          </w:p>
        </w:tc>
      </w:tr>
      <w:tr w14:paraId="5BADF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286BFF5">
            <w:pPr>
              <w:shd w:val="clear"/>
              <w:jc w:val="center"/>
              <w:rPr>
                <w:rFonts w:hint="eastAsia" w:ascii="宋体" w:hAnsi="宋体" w:eastAsia="宋体" w:cs="宋体"/>
                <w:color w:val="auto"/>
                <w:szCs w:val="21"/>
                <w:highlight w:val="none"/>
              </w:rPr>
            </w:pPr>
          </w:p>
        </w:tc>
        <w:tc>
          <w:tcPr>
            <w:tcW w:w="1620" w:type="dxa"/>
            <w:vAlign w:val="center"/>
          </w:tcPr>
          <w:p w14:paraId="0C49E0E8">
            <w:pPr>
              <w:shd w:val="clear"/>
              <w:jc w:val="center"/>
              <w:rPr>
                <w:rFonts w:hint="eastAsia" w:ascii="宋体" w:hAnsi="宋体" w:eastAsia="宋体" w:cs="宋体"/>
                <w:color w:val="auto"/>
                <w:szCs w:val="21"/>
                <w:highlight w:val="none"/>
              </w:rPr>
            </w:pPr>
          </w:p>
        </w:tc>
        <w:tc>
          <w:tcPr>
            <w:tcW w:w="1360" w:type="dxa"/>
            <w:vAlign w:val="center"/>
          </w:tcPr>
          <w:p w14:paraId="132CC690">
            <w:pPr>
              <w:shd w:val="clear"/>
              <w:jc w:val="center"/>
              <w:rPr>
                <w:rFonts w:hint="eastAsia" w:ascii="宋体" w:hAnsi="宋体" w:eastAsia="宋体" w:cs="宋体"/>
                <w:color w:val="auto"/>
                <w:szCs w:val="21"/>
                <w:highlight w:val="none"/>
              </w:rPr>
            </w:pPr>
          </w:p>
        </w:tc>
        <w:tc>
          <w:tcPr>
            <w:tcW w:w="1587" w:type="dxa"/>
            <w:vAlign w:val="center"/>
          </w:tcPr>
          <w:p w14:paraId="0AC93C90">
            <w:pPr>
              <w:shd w:val="clear"/>
              <w:jc w:val="center"/>
              <w:rPr>
                <w:rFonts w:hint="eastAsia" w:ascii="宋体" w:hAnsi="宋体" w:eastAsia="宋体" w:cs="宋体"/>
                <w:color w:val="auto"/>
                <w:szCs w:val="21"/>
                <w:highlight w:val="none"/>
              </w:rPr>
            </w:pPr>
          </w:p>
        </w:tc>
        <w:tc>
          <w:tcPr>
            <w:tcW w:w="1133" w:type="dxa"/>
            <w:vAlign w:val="center"/>
          </w:tcPr>
          <w:p w14:paraId="109B8DC5">
            <w:pPr>
              <w:shd w:val="clear"/>
              <w:jc w:val="center"/>
              <w:rPr>
                <w:rFonts w:hint="eastAsia" w:ascii="宋体" w:hAnsi="宋体" w:eastAsia="宋体" w:cs="宋体"/>
                <w:color w:val="auto"/>
                <w:szCs w:val="21"/>
                <w:highlight w:val="none"/>
              </w:rPr>
            </w:pPr>
          </w:p>
        </w:tc>
        <w:tc>
          <w:tcPr>
            <w:tcW w:w="1730" w:type="dxa"/>
            <w:vAlign w:val="center"/>
          </w:tcPr>
          <w:p w14:paraId="4F939417">
            <w:pPr>
              <w:shd w:val="clear"/>
              <w:jc w:val="center"/>
              <w:rPr>
                <w:rFonts w:hint="eastAsia" w:ascii="宋体" w:hAnsi="宋体" w:eastAsia="宋体" w:cs="宋体"/>
                <w:color w:val="auto"/>
                <w:szCs w:val="21"/>
                <w:highlight w:val="none"/>
              </w:rPr>
            </w:pPr>
          </w:p>
        </w:tc>
      </w:tr>
      <w:tr w14:paraId="01721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DA1016B">
            <w:pPr>
              <w:shd w:val="clear"/>
              <w:jc w:val="center"/>
              <w:rPr>
                <w:rFonts w:hint="eastAsia" w:ascii="宋体" w:hAnsi="宋体" w:eastAsia="宋体" w:cs="宋体"/>
                <w:color w:val="auto"/>
                <w:szCs w:val="21"/>
                <w:highlight w:val="none"/>
              </w:rPr>
            </w:pPr>
          </w:p>
        </w:tc>
        <w:tc>
          <w:tcPr>
            <w:tcW w:w="1620" w:type="dxa"/>
            <w:vAlign w:val="center"/>
          </w:tcPr>
          <w:p w14:paraId="177248CA">
            <w:pPr>
              <w:shd w:val="clear"/>
              <w:jc w:val="center"/>
              <w:rPr>
                <w:rFonts w:hint="eastAsia" w:ascii="宋体" w:hAnsi="宋体" w:eastAsia="宋体" w:cs="宋体"/>
                <w:color w:val="auto"/>
                <w:szCs w:val="21"/>
                <w:highlight w:val="none"/>
              </w:rPr>
            </w:pPr>
          </w:p>
        </w:tc>
        <w:tc>
          <w:tcPr>
            <w:tcW w:w="1360" w:type="dxa"/>
            <w:vAlign w:val="center"/>
          </w:tcPr>
          <w:p w14:paraId="7DFD28F6">
            <w:pPr>
              <w:shd w:val="clear"/>
              <w:jc w:val="center"/>
              <w:rPr>
                <w:rFonts w:hint="eastAsia" w:ascii="宋体" w:hAnsi="宋体" w:eastAsia="宋体" w:cs="宋体"/>
                <w:color w:val="auto"/>
                <w:szCs w:val="21"/>
                <w:highlight w:val="none"/>
              </w:rPr>
            </w:pPr>
          </w:p>
        </w:tc>
        <w:tc>
          <w:tcPr>
            <w:tcW w:w="1587" w:type="dxa"/>
            <w:vAlign w:val="center"/>
          </w:tcPr>
          <w:p w14:paraId="35328623">
            <w:pPr>
              <w:shd w:val="clear"/>
              <w:jc w:val="center"/>
              <w:rPr>
                <w:rFonts w:hint="eastAsia" w:ascii="宋体" w:hAnsi="宋体" w:eastAsia="宋体" w:cs="宋体"/>
                <w:color w:val="auto"/>
                <w:szCs w:val="21"/>
                <w:highlight w:val="none"/>
              </w:rPr>
            </w:pPr>
          </w:p>
        </w:tc>
        <w:tc>
          <w:tcPr>
            <w:tcW w:w="1133" w:type="dxa"/>
            <w:vAlign w:val="center"/>
          </w:tcPr>
          <w:p w14:paraId="1CDE29A7">
            <w:pPr>
              <w:shd w:val="clear"/>
              <w:jc w:val="center"/>
              <w:rPr>
                <w:rFonts w:hint="eastAsia" w:ascii="宋体" w:hAnsi="宋体" w:eastAsia="宋体" w:cs="宋体"/>
                <w:color w:val="auto"/>
                <w:szCs w:val="21"/>
                <w:highlight w:val="none"/>
              </w:rPr>
            </w:pPr>
          </w:p>
        </w:tc>
        <w:tc>
          <w:tcPr>
            <w:tcW w:w="1730" w:type="dxa"/>
            <w:vAlign w:val="center"/>
          </w:tcPr>
          <w:p w14:paraId="55124527">
            <w:pPr>
              <w:shd w:val="clear"/>
              <w:jc w:val="center"/>
              <w:rPr>
                <w:rFonts w:hint="eastAsia" w:ascii="宋体" w:hAnsi="宋体" w:eastAsia="宋体" w:cs="宋体"/>
                <w:color w:val="auto"/>
                <w:szCs w:val="21"/>
                <w:highlight w:val="none"/>
              </w:rPr>
            </w:pPr>
          </w:p>
        </w:tc>
      </w:tr>
      <w:tr w14:paraId="22EC6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A766557">
            <w:pPr>
              <w:shd w:val="clear"/>
              <w:jc w:val="center"/>
              <w:rPr>
                <w:rFonts w:hint="eastAsia" w:ascii="宋体" w:hAnsi="宋体" w:eastAsia="宋体" w:cs="宋体"/>
                <w:color w:val="auto"/>
                <w:szCs w:val="21"/>
                <w:highlight w:val="none"/>
              </w:rPr>
            </w:pPr>
          </w:p>
        </w:tc>
        <w:tc>
          <w:tcPr>
            <w:tcW w:w="1620" w:type="dxa"/>
            <w:vAlign w:val="center"/>
          </w:tcPr>
          <w:p w14:paraId="2CBFE610">
            <w:pPr>
              <w:shd w:val="clear"/>
              <w:jc w:val="center"/>
              <w:rPr>
                <w:rFonts w:hint="eastAsia" w:ascii="宋体" w:hAnsi="宋体" w:eastAsia="宋体" w:cs="宋体"/>
                <w:color w:val="auto"/>
                <w:szCs w:val="21"/>
                <w:highlight w:val="none"/>
              </w:rPr>
            </w:pPr>
          </w:p>
        </w:tc>
        <w:tc>
          <w:tcPr>
            <w:tcW w:w="1360" w:type="dxa"/>
            <w:vAlign w:val="center"/>
          </w:tcPr>
          <w:p w14:paraId="219B954A">
            <w:pPr>
              <w:shd w:val="clear"/>
              <w:jc w:val="center"/>
              <w:rPr>
                <w:rFonts w:hint="eastAsia" w:ascii="宋体" w:hAnsi="宋体" w:eastAsia="宋体" w:cs="宋体"/>
                <w:color w:val="auto"/>
                <w:szCs w:val="21"/>
                <w:highlight w:val="none"/>
              </w:rPr>
            </w:pPr>
          </w:p>
        </w:tc>
        <w:tc>
          <w:tcPr>
            <w:tcW w:w="1587" w:type="dxa"/>
            <w:vAlign w:val="center"/>
          </w:tcPr>
          <w:p w14:paraId="17169315">
            <w:pPr>
              <w:shd w:val="clear"/>
              <w:jc w:val="center"/>
              <w:rPr>
                <w:rFonts w:hint="eastAsia" w:ascii="宋体" w:hAnsi="宋体" w:eastAsia="宋体" w:cs="宋体"/>
                <w:color w:val="auto"/>
                <w:szCs w:val="21"/>
                <w:highlight w:val="none"/>
              </w:rPr>
            </w:pPr>
          </w:p>
        </w:tc>
        <w:tc>
          <w:tcPr>
            <w:tcW w:w="1133" w:type="dxa"/>
            <w:vAlign w:val="center"/>
          </w:tcPr>
          <w:p w14:paraId="662CFE2D">
            <w:pPr>
              <w:shd w:val="clear"/>
              <w:jc w:val="center"/>
              <w:rPr>
                <w:rFonts w:hint="eastAsia" w:ascii="宋体" w:hAnsi="宋体" w:eastAsia="宋体" w:cs="宋体"/>
                <w:color w:val="auto"/>
                <w:szCs w:val="21"/>
                <w:highlight w:val="none"/>
              </w:rPr>
            </w:pPr>
          </w:p>
        </w:tc>
        <w:tc>
          <w:tcPr>
            <w:tcW w:w="1730" w:type="dxa"/>
            <w:vAlign w:val="center"/>
          </w:tcPr>
          <w:p w14:paraId="5AB3F922">
            <w:pPr>
              <w:shd w:val="clear"/>
              <w:jc w:val="center"/>
              <w:rPr>
                <w:rFonts w:hint="eastAsia" w:ascii="宋体" w:hAnsi="宋体" w:eastAsia="宋体" w:cs="宋体"/>
                <w:color w:val="auto"/>
                <w:szCs w:val="21"/>
                <w:highlight w:val="none"/>
              </w:rPr>
            </w:pPr>
          </w:p>
        </w:tc>
      </w:tr>
      <w:tr w14:paraId="5FC5C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9D3EB3D">
            <w:pPr>
              <w:shd w:val="clear"/>
              <w:jc w:val="center"/>
              <w:rPr>
                <w:rFonts w:hint="eastAsia" w:ascii="宋体" w:hAnsi="宋体" w:eastAsia="宋体" w:cs="宋体"/>
                <w:color w:val="auto"/>
                <w:szCs w:val="21"/>
                <w:highlight w:val="none"/>
              </w:rPr>
            </w:pPr>
          </w:p>
        </w:tc>
        <w:tc>
          <w:tcPr>
            <w:tcW w:w="1620" w:type="dxa"/>
            <w:vAlign w:val="center"/>
          </w:tcPr>
          <w:p w14:paraId="584380B4">
            <w:pPr>
              <w:shd w:val="clear"/>
              <w:jc w:val="center"/>
              <w:rPr>
                <w:rFonts w:hint="eastAsia" w:ascii="宋体" w:hAnsi="宋体" w:eastAsia="宋体" w:cs="宋体"/>
                <w:color w:val="auto"/>
                <w:szCs w:val="21"/>
                <w:highlight w:val="none"/>
              </w:rPr>
            </w:pPr>
          </w:p>
        </w:tc>
        <w:tc>
          <w:tcPr>
            <w:tcW w:w="1360" w:type="dxa"/>
            <w:vAlign w:val="center"/>
          </w:tcPr>
          <w:p w14:paraId="1DE54709">
            <w:pPr>
              <w:shd w:val="clear"/>
              <w:jc w:val="center"/>
              <w:rPr>
                <w:rFonts w:hint="eastAsia" w:ascii="宋体" w:hAnsi="宋体" w:eastAsia="宋体" w:cs="宋体"/>
                <w:color w:val="auto"/>
                <w:szCs w:val="21"/>
                <w:highlight w:val="none"/>
              </w:rPr>
            </w:pPr>
          </w:p>
        </w:tc>
        <w:tc>
          <w:tcPr>
            <w:tcW w:w="1587" w:type="dxa"/>
            <w:vAlign w:val="center"/>
          </w:tcPr>
          <w:p w14:paraId="6D10731E">
            <w:pPr>
              <w:shd w:val="clear"/>
              <w:jc w:val="center"/>
              <w:rPr>
                <w:rFonts w:hint="eastAsia" w:ascii="宋体" w:hAnsi="宋体" w:eastAsia="宋体" w:cs="宋体"/>
                <w:color w:val="auto"/>
                <w:szCs w:val="21"/>
                <w:highlight w:val="none"/>
              </w:rPr>
            </w:pPr>
          </w:p>
        </w:tc>
        <w:tc>
          <w:tcPr>
            <w:tcW w:w="1133" w:type="dxa"/>
            <w:vAlign w:val="center"/>
          </w:tcPr>
          <w:p w14:paraId="30DFCFA4">
            <w:pPr>
              <w:shd w:val="clear"/>
              <w:jc w:val="center"/>
              <w:rPr>
                <w:rFonts w:hint="eastAsia" w:ascii="宋体" w:hAnsi="宋体" w:eastAsia="宋体" w:cs="宋体"/>
                <w:color w:val="auto"/>
                <w:szCs w:val="21"/>
                <w:highlight w:val="none"/>
              </w:rPr>
            </w:pPr>
          </w:p>
        </w:tc>
        <w:tc>
          <w:tcPr>
            <w:tcW w:w="1730" w:type="dxa"/>
            <w:vAlign w:val="center"/>
          </w:tcPr>
          <w:p w14:paraId="3A8FD1E8">
            <w:pPr>
              <w:shd w:val="clear"/>
              <w:jc w:val="center"/>
              <w:rPr>
                <w:rFonts w:hint="eastAsia" w:ascii="宋体" w:hAnsi="宋体" w:eastAsia="宋体" w:cs="宋体"/>
                <w:color w:val="auto"/>
                <w:szCs w:val="21"/>
                <w:highlight w:val="none"/>
              </w:rPr>
            </w:pPr>
          </w:p>
        </w:tc>
      </w:tr>
      <w:tr w14:paraId="5E395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AB2D02D">
            <w:pPr>
              <w:shd w:val="clear"/>
              <w:jc w:val="center"/>
              <w:rPr>
                <w:rFonts w:hint="eastAsia" w:ascii="宋体" w:hAnsi="宋体" w:eastAsia="宋体" w:cs="宋体"/>
                <w:color w:val="auto"/>
                <w:szCs w:val="21"/>
                <w:highlight w:val="none"/>
              </w:rPr>
            </w:pPr>
          </w:p>
        </w:tc>
        <w:tc>
          <w:tcPr>
            <w:tcW w:w="1620" w:type="dxa"/>
            <w:vAlign w:val="center"/>
          </w:tcPr>
          <w:p w14:paraId="23F3A1BA">
            <w:pPr>
              <w:shd w:val="clear"/>
              <w:jc w:val="center"/>
              <w:rPr>
                <w:rFonts w:hint="eastAsia" w:ascii="宋体" w:hAnsi="宋体" w:eastAsia="宋体" w:cs="宋体"/>
                <w:color w:val="auto"/>
                <w:szCs w:val="21"/>
                <w:highlight w:val="none"/>
              </w:rPr>
            </w:pPr>
          </w:p>
        </w:tc>
        <w:tc>
          <w:tcPr>
            <w:tcW w:w="1360" w:type="dxa"/>
            <w:vAlign w:val="center"/>
          </w:tcPr>
          <w:p w14:paraId="62A1D891">
            <w:pPr>
              <w:shd w:val="clear"/>
              <w:jc w:val="center"/>
              <w:rPr>
                <w:rFonts w:hint="eastAsia" w:ascii="宋体" w:hAnsi="宋体" w:eastAsia="宋体" w:cs="宋体"/>
                <w:color w:val="auto"/>
                <w:szCs w:val="21"/>
                <w:highlight w:val="none"/>
              </w:rPr>
            </w:pPr>
          </w:p>
        </w:tc>
        <w:tc>
          <w:tcPr>
            <w:tcW w:w="1587" w:type="dxa"/>
            <w:vAlign w:val="center"/>
          </w:tcPr>
          <w:p w14:paraId="54055864">
            <w:pPr>
              <w:shd w:val="clear"/>
              <w:jc w:val="center"/>
              <w:rPr>
                <w:rFonts w:hint="eastAsia" w:ascii="宋体" w:hAnsi="宋体" w:eastAsia="宋体" w:cs="宋体"/>
                <w:color w:val="auto"/>
                <w:szCs w:val="21"/>
                <w:highlight w:val="none"/>
              </w:rPr>
            </w:pPr>
          </w:p>
        </w:tc>
        <w:tc>
          <w:tcPr>
            <w:tcW w:w="1133" w:type="dxa"/>
            <w:vAlign w:val="center"/>
          </w:tcPr>
          <w:p w14:paraId="6BE6B36C">
            <w:pPr>
              <w:shd w:val="clear"/>
              <w:jc w:val="center"/>
              <w:rPr>
                <w:rFonts w:hint="eastAsia" w:ascii="宋体" w:hAnsi="宋体" w:eastAsia="宋体" w:cs="宋体"/>
                <w:color w:val="auto"/>
                <w:szCs w:val="21"/>
                <w:highlight w:val="none"/>
              </w:rPr>
            </w:pPr>
          </w:p>
        </w:tc>
        <w:tc>
          <w:tcPr>
            <w:tcW w:w="1730" w:type="dxa"/>
            <w:vAlign w:val="center"/>
          </w:tcPr>
          <w:p w14:paraId="74C21D2F">
            <w:pPr>
              <w:shd w:val="clear"/>
              <w:jc w:val="center"/>
              <w:rPr>
                <w:rFonts w:hint="eastAsia" w:ascii="宋体" w:hAnsi="宋体" w:eastAsia="宋体" w:cs="宋体"/>
                <w:color w:val="auto"/>
                <w:szCs w:val="21"/>
                <w:highlight w:val="none"/>
              </w:rPr>
            </w:pPr>
          </w:p>
        </w:tc>
      </w:tr>
      <w:tr w14:paraId="7E668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C557C95">
            <w:pPr>
              <w:shd w:val="clear"/>
              <w:jc w:val="center"/>
              <w:rPr>
                <w:rFonts w:hint="eastAsia" w:ascii="宋体" w:hAnsi="宋体" w:eastAsia="宋体" w:cs="宋体"/>
                <w:color w:val="auto"/>
                <w:szCs w:val="21"/>
                <w:highlight w:val="none"/>
              </w:rPr>
            </w:pPr>
          </w:p>
        </w:tc>
        <w:tc>
          <w:tcPr>
            <w:tcW w:w="1620" w:type="dxa"/>
            <w:vAlign w:val="center"/>
          </w:tcPr>
          <w:p w14:paraId="026E30AC">
            <w:pPr>
              <w:shd w:val="clear"/>
              <w:jc w:val="center"/>
              <w:rPr>
                <w:rFonts w:hint="eastAsia" w:ascii="宋体" w:hAnsi="宋体" w:eastAsia="宋体" w:cs="宋体"/>
                <w:color w:val="auto"/>
                <w:szCs w:val="21"/>
                <w:highlight w:val="none"/>
              </w:rPr>
            </w:pPr>
          </w:p>
        </w:tc>
        <w:tc>
          <w:tcPr>
            <w:tcW w:w="1360" w:type="dxa"/>
            <w:vAlign w:val="center"/>
          </w:tcPr>
          <w:p w14:paraId="7CC80DCD">
            <w:pPr>
              <w:shd w:val="clear"/>
              <w:jc w:val="center"/>
              <w:rPr>
                <w:rFonts w:hint="eastAsia" w:ascii="宋体" w:hAnsi="宋体" w:eastAsia="宋体" w:cs="宋体"/>
                <w:color w:val="auto"/>
                <w:szCs w:val="21"/>
                <w:highlight w:val="none"/>
              </w:rPr>
            </w:pPr>
          </w:p>
        </w:tc>
        <w:tc>
          <w:tcPr>
            <w:tcW w:w="1587" w:type="dxa"/>
            <w:vAlign w:val="center"/>
          </w:tcPr>
          <w:p w14:paraId="5BB9141C">
            <w:pPr>
              <w:shd w:val="clear"/>
              <w:jc w:val="center"/>
              <w:rPr>
                <w:rFonts w:hint="eastAsia" w:ascii="宋体" w:hAnsi="宋体" w:eastAsia="宋体" w:cs="宋体"/>
                <w:color w:val="auto"/>
                <w:szCs w:val="21"/>
                <w:highlight w:val="none"/>
              </w:rPr>
            </w:pPr>
          </w:p>
        </w:tc>
        <w:tc>
          <w:tcPr>
            <w:tcW w:w="1133" w:type="dxa"/>
            <w:vAlign w:val="center"/>
          </w:tcPr>
          <w:p w14:paraId="481FCD74">
            <w:pPr>
              <w:shd w:val="clear"/>
              <w:jc w:val="center"/>
              <w:rPr>
                <w:rFonts w:hint="eastAsia" w:ascii="宋体" w:hAnsi="宋体" w:eastAsia="宋体" w:cs="宋体"/>
                <w:color w:val="auto"/>
                <w:szCs w:val="21"/>
                <w:highlight w:val="none"/>
              </w:rPr>
            </w:pPr>
          </w:p>
        </w:tc>
        <w:tc>
          <w:tcPr>
            <w:tcW w:w="1730" w:type="dxa"/>
            <w:vAlign w:val="center"/>
          </w:tcPr>
          <w:p w14:paraId="7161D167">
            <w:pPr>
              <w:shd w:val="clear"/>
              <w:jc w:val="center"/>
              <w:rPr>
                <w:rFonts w:hint="eastAsia" w:ascii="宋体" w:hAnsi="宋体" w:eastAsia="宋体" w:cs="宋体"/>
                <w:color w:val="auto"/>
                <w:szCs w:val="21"/>
                <w:highlight w:val="none"/>
              </w:rPr>
            </w:pPr>
          </w:p>
        </w:tc>
      </w:tr>
    </w:tbl>
    <w:p w14:paraId="192E503C">
      <w:pPr>
        <w:shd w:val="clear"/>
        <w:rPr>
          <w:rFonts w:hint="eastAsia" w:ascii="宋体" w:hAnsi="宋体" w:eastAsia="宋体" w:cs="宋体"/>
          <w:color w:val="auto"/>
          <w:szCs w:val="21"/>
          <w:highlight w:val="none"/>
        </w:rPr>
      </w:pPr>
    </w:p>
    <w:p w14:paraId="476C90FE">
      <w:pPr>
        <w:shd w:val="clea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投标人代表签字：</w:t>
      </w:r>
    </w:p>
    <w:p w14:paraId="453B9BB3">
      <w:pPr>
        <w:shd w:val="clea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投标人盖章：</w:t>
      </w:r>
    </w:p>
    <w:p w14:paraId="0C572DC2">
      <w:pPr>
        <w:shd w:val="clear"/>
        <w:rPr>
          <w:rFonts w:hint="eastAsia" w:ascii="宋体" w:hAnsi="宋体" w:eastAsia="宋体" w:cs="宋体"/>
          <w:color w:val="auto"/>
          <w:szCs w:val="21"/>
          <w:highlight w:val="none"/>
        </w:rPr>
      </w:pPr>
    </w:p>
    <w:p w14:paraId="41D02C56">
      <w:pPr>
        <w:shd w:val="clear"/>
        <w:ind w:left="718" w:hanging="718" w:hangingChars="342"/>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w:t>
      </w:r>
    </w:p>
    <w:p w14:paraId="6776B353">
      <w:pPr>
        <w:shd w:val="clear"/>
        <w:rPr>
          <w:rFonts w:hint="eastAsia" w:ascii="宋体" w:hAnsi="宋体" w:eastAsia="宋体" w:cs="宋体"/>
          <w:color w:val="auto"/>
          <w:szCs w:val="21"/>
          <w:highlight w:val="none"/>
        </w:rPr>
      </w:pPr>
      <w:r>
        <w:rPr>
          <w:rFonts w:hint="eastAsia" w:ascii="宋体" w:hAnsi="宋体" w:eastAsia="宋体" w:cs="宋体"/>
          <w:color w:val="auto"/>
          <w:szCs w:val="21"/>
          <w:highlight w:val="none"/>
        </w:rPr>
        <w:t>1、投标人应对照采购文件商务需求书中商务要求，说明已对采购文件的商务内容做出了实质性的响应。</w:t>
      </w:r>
    </w:p>
    <w:p w14:paraId="573A1D7F">
      <w:pPr>
        <w:shd w:val="clear"/>
        <w:rPr>
          <w:rFonts w:hint="eastAsia" w:ascii="宋体" w:hAnsi="宋体" w:eastAsia="宋体" w:cs="宋体"/>
          <w:color w:val="auto"/>
          <w:szCs w:val="21"/>
          <w:highlight w:val="none"/>
        </w:rPr>
      </w:pPr>
      <w:r>
        <w:rPr>
          <w:rFonts w:hint="eastAsia" w:ascii="宋体" w:hAnsi="宋体" w:eastAsia="宋体" w:cs="宋体"/>
          <w:color w:val="auto"/>
          <w:szCs w:val="21"/>
          <w:highlight w:val="none"/>
        </w:rPr>
        <w:t>2、不论出于何种原因此表未填写完整，投标人都被认为已清楚了解采购文件“商务需求书”的内容并对采购人所需的服务要求作全面响应，投标人必须承担完成“商务需求书”所描述内容的义务，因此对投标人投标产生负面影响的，投标人自行承担后果。</w:t>
      </w:r>
    </w:p>
    <w:p w14:paraId="57CFB22E">
      <w:pPr>
        <w:shd w:val="clear"/>
        <w:rPr>
          <w:rFonts w:hint="eastAsia" w:ascii="宋体" w:hAnsi="宋体" w:eastAsia="宋体" w:cs="宋体"/>
          <w:color w:val="auto"/>
          <w:szCs w:val="21"/>
          <w:highlight w:val="none"/>
        </w:rPr>
      </w:pPr>
      <w:r>
        <w:rPr>
          <w:rFonts w:hint="eastAsia" w:ascii="宋体" w:hAnsi="宋体" w:eastAsia="宋体" w:cs="宋体"/>
          <w:color w:val="auto"/>
          <w:szCs w:val="21"/>
          <w:highlight w:val="none"/>
        </w:rPr>
        <w:t>3、如有偏离，应在“偏离情况”栏内注明“正”、“负”或“无”，并在“说明”栏内予以说明。</w:t>
      </w:r>
    </w:p>
    <w:p w14:paraId="4E164503">
      <w:pPr>
        <w:shd w:val="clear"/>
        <w:rPr>
          <w:rFonts w:hint="eastAsia" w:ascii="宋体" w:hAnsi="宋体" w:eastAsia="宋体" w:cs="宋体"/>
          <w:color w:val="auto"/>
          <w:szCs w:val="21"/>
          <w:highlight w:val="none"/>
        </w:rPr>
      </w:pPr>
      <w:r>
        <w:rPr>
          <w:rFonts w:hint="eastAsia" w:ascii="宋体" w:hAnsi="宋体" w:eastAsia="宋体" w:cs="宋体"/>
          <w:color w:val="auto"/>
          <w:szCs w:val="21"/>
          <w:highlight w:val="none"/>
        </w:rPr>
        <w:t>4、如投标人差异内容较多可另附页说明。</w:t>
      </w:r>
    </w:p>
    <w:p w14:paraId="0D4C03D3">
      <w:pPr>
        <w:shd w:val="clear"/>
        <w:rPr>
          <w:rFonts w:hint="eastAsia" w:ascii="宋体" w:hAnsi="宋体" w:eastAsia="宋体" w:cs="宋体"/>
          <w:color w:val="auto"/>
          <w:szCs w:val="21"/>
          <w:highlight w:val="none"/>
        </w:rPr>
      </w:pPr>
      <w:r>
        <w:rPr>
          <w:rFonts w:hint="eastAsia" w:ascii="宋体" w:hAnsi="宋体" w:eastAsia="宋体" w:cs="宋体"/>
          <w:color w:val="auto"/>
          <w:szCs w:val="21"/>
          <w:highlight w:val="none"/>
        </w:rPr>
        <w:t>5、如投标人对用户需求书商务要求的条款全部响应的，也可以在表格下面用文字总括性的说明。</w:t>
      </w:r>
    </w:p>
    <w:p w14:paraId="04FF0797">
      <w:pPr>
        <w:shd w:val="clear"/>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376A7F11">
      <w:pPr>
        <w:pStyle w:val="5"/>
        <w:widowControl w:val="0"/>
        <w:shd w:val="clear"/>
        <w:overflowPunct w:val="0"/>
        <w:spacing w:line="240" w:lineRule="auto"/>
        <w:rPr>
          <w:rFonts w:hint="eastAsia" w:ascii="宋体" w:hAnsi="宋体" w:eastAsia="宋体" w:cs="宋体"/>
          <w:color w:val="auto"/>
          <w:sz w:val="30"/>
          <w:szCs w:val="30"/>
          <w:highlight w:val="none"/>
        </w:rPr>
      </w:pPr>
      <w:bookmarkStart w:id="616" w:name="_Toc11477"/>
      <w:bookmarkStart w:id="617" w:name="_Toc30809"/>
      <w:bookmarkStart w:id="618" w:name="_Toc25280"/>
      <w:bookmarkStart w:id="619" w:name="_Toc27641"/>
      <w:bookmarkStart w:id="620" w:name="_Toc22808"/>
      <w:bookmarkStart w:id="621" w:name="_Toc22347"/>
      <w:bookmarkStart w:id="622" w:name="_Toc26314"/>
      <w:bookmarkStart w:id="623" w:name="_Toc11265"/>
      <w:r>
        <w:rPr>
          <w:rFonts w:hint="eastAsia" w:ascii="宋体" w:hAnsi="宋体" w:eastAsia="宋体" w:cs="宋体"/>
          <w:color w:val="auto"/>
          <w:sz w:val="21"/>
          <w:szCs w:val="21"/>
          <w:highlight w:val="none"/>
        </w:rPr>
        <w:t>附件</w:t>
      </w:r>
      <w:r>
        <w:rPr>
          <w:rFonts w:hint="eastAsia" w:ascii="宋体" w:hAnsi="宋体" w:cs="宋体"/>
          <w:color w:val="auto"/>
          <w:sz w:val="21"/>
          <w:szCs w:val="21"/>
          <w:highlight w:val="none"/>
          <w:lang w:val="en-US" w:eastAsia="zh-CN"/>
        </w:rPr>
        <w:t>12</w:t>
      </w:r>
      <w:r>
        <w:rPr>
          <w:rFonts w:hint="eastAsia" w:ascii="宋体" w:hAnsi="宋体" w:eastAsia="宋体" w:cs="宋体"/>
          <w:color w:val="auto"/>
          <w:sz w:val="21"/>
          <w:szCs w:val="21"/>
          <w:highlight w:val="none"/>
        </w:rPr>
        <w:t>.业绩表</w:t>
      </w:r>
      <w:bookmarkEnd w:id="616"/>
      <w:bookmarkEnd w:id="617"/>
      <w:bookmarkEnd w:id="618"/>
      <w:bookmarkEnd w:id="619"/>
      <w:bookmarkEnd w:id="620"/>
      <w:bookmarkEnd w:id="621"/>
      <w:bookmarkEnd w:id="622"/>
      <w:bookmarkEnd w:id="623"/>
    </w:p>
    <w:p w14:paraId="34221331">
      <w:pPr>
        <w:shd w:val="clea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业绩表</w:t>
      </w:r>
    </w:p>
    <w:tbl>
      <w:tblPr>
        <w:tblStyle w:val="35"/>
        <w:tblW w:w="85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5"/>
        <w:gridCol w:w="1705"/>
        <w:gridCol w:w="1706"/>
        <w:gridCol w:w="1705"/>
        <w:gridCol w:w="1697"/>
      </w:tblGrid>
      <w:tr w14:paraId="55344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705" w:type="dxa"/>
            <w:vAlign w:val="center"/>
          </w:tcPr>
          <w:p w14:paraId="47D7C860">
            <w:pPr>
              <w:shd w:val="clear"/>
              <w:adjustRightInd/>
              <w:snapToGrid/>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1705" w:type="dxa"/>
            <w:vAlign w:val="center"/>
          </w:tcPr>
          <w:p w14:paraId="5CFD13F6">
            <w:pPr>
              <w:shd w:val="clear"/>
              <w:adjustRightInd/>
              <w:snapToGrid/>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项目名称</w:t>
            </w:r>
          </w:p>
        </w:tc>
        <w:tc>
          <w:tcPr>
            <w:tcW w:w="1706" w:type="dxa"/>
            <w:vAlign w:val="center"/>
          </w:tcPr>
          <w:p w14:paraId="38D23741">
            <w:pPr>
              <w:shd w:val="clear"/>
              <w:adjustRightInd/>
              <w:snapToGrid/>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项目金额</w:t>
            </w:r>
          </w:p>
        </w:tc>
        <w:tc>
          <w:tcPr>
            <w:tcW w:w="1705" w:type="dxa"/>
            <w:vAlign w:val="center"/>
          </w:tcPr>
          <w:p w14:paraId="146AEE52">
            <w:pPr>
              <w:shd w:val="clear"/>
              <w:adjustRightInd/>
              <w:snapToGrid/>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项目合同签订时间</w:t>
            </w:r>
          </w:p>
        </w:tc>
        <w:tc>
          <w:tcPr>
            <w:tcW w:w="1697" w:type="dxa"/>
            <w:vAlign w:val="center"/>
          </w:tcPr>
          <w:p w14:paraId="4CFA26EC">
            <w:pPr>
              <w:shd w:val="clear"/>
              <w:adjustRightInd/>
              <w:snapToGrid/>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p>
        </w:tc>
      </w:tr>
      <w:tr w14:paraId="128BE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705" w:type="dxa"/>
            <w:vAlign w:val="center"/>
          </w:tcPr>
          <w:p w14:paraId="711757AF">
            <w:pPr>
              <w:shd w:val="clear"/>
              <w:adjustRightInd/>
              <w:snapToGrid/>
              <w:jc w:val="center"/>
              <w:rPr>
                <w:rFonts w:hint="eastAsia" w:ascii="宋体" w:hAnsi="宋体" w:eastAsia="宋体" w:cs="宋体"/>
                <w:color w:val="auto"/>
                <w:szCs w:val="21"/>
                <w:highlight w:val="none"/>
              </w:rPr>
            </w:pPr>
          </w:p>
        </w:tc>
        <w:tc>
          <w:tcPr>
            <w:tcW w:w="1705" w:type="dxa"/>
            <w:vAlign w:val="center"/>
          </w:tcPr>
          <w:p w14:paraId="07FAB53E">
            <w:pPr>
              <w:shd w:val="clear"/>
              <w:adjustRightInd/>
              <w:snapToGrid/>
              <w:jc w:val="center"/>
              <w:rPr>
                <w:rFonts w:hint="eastAsia" w:ascii="宋体" w:hAnsi="宋体" w:eastAsia="宋体" w:cs="宋体"/>
                <w:color w:val="auto"/>
                <w:szCs w:val="21"/>
                <w:highlight w:val="none"/>
              </w:rPr>
            </w:pPr>
          </w:p>
        </w:tc>
        <w:tc>
          <w:tcPr>
            <w:tcW w:w="1706" w:type="dxa"/>
            <w:vAlign w:val="center"/>
          </w:tcPr>
          <w:p w14:paraId="2FA00091">
            <w:pPr>
              <w:shd w:val="clear"/>
              <w:adjustRightInd/>
              <w:snapToGrid/>
              <w:jc w:val="center"/>
              <w:rPr>
                <w:rFonts w:hint="eastAsia" w:ascii="宋体" w:hAnsi="宋体" w:eastAsia="宋体" w:cs="宋体"/>
                <w:color w:val="auto"/>
                <w:szCs w:val="21"/>
                <w:highlight w:val="none"/>
              </w:rPr>
            </w:pPr>
          </w:p>
        </w:tc>
        <w:tc>
          <w:tcPr>
            <w:tcW w:w="1705" w:type="dxa"/>
            <w:vAlign w:val="center"/>
          </w:tcPr>
          <w:p w14:paraId="751558FB">
            <w:pPr>
              <w:shd w:val="clear"/>
              <w:adjustRightInd/>
              <w:snapToGrid/>
              <w:jc w:val="center"/>
              <w:rPr>
                <w:rFonts w:hint="eastAsia" w:ascii="宋体" w:hAnsi="宋体" w:eastAsia="宋体" w:cs="宋体"/>
                <w:color w:val="auto"/>
                <w:szCs w:val="21"/>
                <w:highlight w:val="none"/>
              </w:rPr>
            </w:pPr>
          </w:p>
        </w:tc>
        <w:tc>
          <w:tcPr>
            <w:tcW w:w="1697" w:type="dxa"/>
            <w:vAlign w:val="center"/>
          </w:tcPr>
          <w:p w14:paraId="667EDA0D">
            <w:pPr>
              <w:shd w:val="clear"/>
              <w:adjustRightInd/>
              <w:snapToGrid/>
              <w:jc w:val="center"/>
              <w:rPr>
                <w:rFonts w:hint="eastAsia" w:ascii="宋体" w:hAnsi="宋体" w:eastAsia="宋体" w:cs="宋体"/>
                <w:color w:val="auto"/>
                <w:szCs w:val="21"/>
                <w:highlight w:val="none"/>
              </w:rPr>
            </w:pPr>
          </w:p>
        </w:tc>
      </w:tr>
      <w:tr w14:paraId="38266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705" w:type="dxa"/>
          </w:tcPr>
          <w:p w14:paraId="2F05C2ED">
            <w:pPr>
              <w:shd w:val="clear"/>
              <w:adjustRightInd/>
              <w:snapToGrid/>
              <w:rPr>
                <w:rFonts w:hint="eastAsia" w:ascii="宋体" w:hAnsi="宋体" w:eastAsia="宋体" w:cs="宋体"/>
                <w:color w:val="auto"/>
                <w:szCs w:val="21"/>
                <w:highlight w:val="none"/>
              </w:rPr>
            </w:pPr>
          </w:p>
        </w:tc>
        <w:tc>
          <w:tcPr>
            <w:tcW w:w="1705" w:type="dxa"/>
          </w:tcPr>
          <w:p w14:paraId="5D9315AF">
            <w:pPr>
              <w:shd w:val="clear"/>
              <w:adjustRightInd/>
              <w:snapToGrid/>
              <w:rPr>
                <w:rFonts w:hint="eastAsia" w:ascii="宋体" w:hAnsi="宋体" w:eastAsia="宋体" w:cs="宋体"/>
                <w:color w:val="auto"/>
                <w:szCs w:val="21"/>
                <w:highlight w:val="none"/>
              </w:rPr>
            </w:pPr>
          </w:p>
        </w:tc>
        <w:tc>
          <w:tcPr>
            <w:tcW w:w="1706" w:type="dxa"/>
          </w:tcPr>
          <w:p w14:paraId="1D09046D">
            <w:pPr>
              <w:shd w:val="clear"/>
              <w:adjustRightInd/>
              <w:snapToGrid/>
              <w:rPr>
                <w:rFonts w:hint="eastAsia" w:ascii="宋体" w:hAnsi="宋体" w:eastAsia="宋体" w:cs="宋体"/>
                <w:color w:val="auto"/>
                <w:szCs w:val="21"/>
                <w:highlight w:val="none"/>
              </w:rPr>
            </w:pPr>
          </w:p>
        </w:tc>
        <w:tc>
          <w:tcPr>
            <w:tcW w:w="1705" w:type="dxa"/>
          </w:tcPr>
          <w:p w14:paraId="04A76B7D">
            <w:pPr>
              <w:shd w:val="clear"/>
              <w:adjustRightInd/>
              <w:snapToGrid/>
              <w:rPr>
                <w:rFonts w:hint="eastAsia" w:ascii="宋体" w:hAnsi="宋体" w:eastAsia="宋体" w:cs="宋体"/>
                <w:color w:val="auto"/>
                <w:szCs w:val="21"/>
                <w:highlight w:val="none"/>
              </w:rPr>
            </w:pPr>
          </w:p>
        </w:tc>
        <w:tc>
          <w:tcPr>
            <w:tcW w:w="1697" w:type="dxa"/>
          </w:tcPr>
          <w:p w14:paraId="3C3E57A6">
            <w:pPr>
              <w:shd w:val="clear"/>
              <w:adjustRightInd/>
              <w:snapToGrid/>
              <w:rPr>
                <w:rFonts w:hint="eastAsia" w:ascii="宋体" w:hAnsi="宋体" w:eastAsia="宋体" w:cs="宋体"/>
                <w:color w:val="auto"/>
                <w:szCs w:val="21"/>
                <w:highlight w:val="none"/>
              </w:rPr>
            </w:pPr>
          </w:p>
        </w:tc>
      </w:tr>
      <w:tr w14:paraId="52725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705" w:type="dxa"/>
          </w:tcPr>
          <w:p w14:paraId="1200FCFB">
            <w:pPr>
              <w:shd w:val="clear"/>
              <w:adjustRightInd/>
              <w:snapToGrid/>
              <w:rPr>
                <w:rFonts w:hint="eastAsia" w:ascii="宋体" w:hAnsi="宋体" w:eastAsia="宋体" w:cs="宋体"/>
                <w:color w:val="auto"/>
                <w:szCs w:val="21"/>
                <w:highlight w:val="none"/>
              </w:rPr>
            </w:pPr>
          </w:p>
        </w:tc>
        <w:tc>
          <w:tcPr>
            <w:tcW w:w="1705" w:type="dxa"/>
          </w:tcPr>
          <w:p w14:paraId="07C94598">
            <w:pPr>
              <w:shd w:val="clear"/>
              <w:adjustRightInd/>
              <w:snapToGrid/>
              <w:rPr>
                <w:rFonts w:hint="eastAsia" w:ascii="宋体" w:hAnsi="宋体" w:eastAsia="宋体" w:cs="宋体"/>
                <w:color w:val="auto"/>
                <w:szCs w:val="21"/>
                <w:highlight w:val="none"/>
              </w:rPr>
            </w:pPr>
          </w:p>
        </w:tc>
        <w:tc>
          <w:tcPr>
            <w:tcW w:w="1706" w:type="dxa"/>
          </w:tcPr>
          <w:p w14:paraId="64813142">
            <w:pPr>
              <w:shd w:val="clear"/>
              <w:adjustRightInd/>
              <w:snapToGrid/>
              <w:rPr>
                <w:rFonts w:hint="eastAsia" w:ascii="宋体" w:hAnsi="宋体" w:eastAsia="宋体" w:cs="宋体"/>
                <w:color w:val="auto"/>
                <w:szCs w:val="21"/>
                <w:highlight w:val="none"/>
              </w:rPr>
            </w:pPr>
          </w:p>
        </w:tc>
        <w:tc>
          <w:tcPr>
            <w:tcW w:w="1705" w:type="dxa"/>
          </w:tcPr>
          <w:p w14:paraId="3DCA5523">
            <w:pPr>
              <w:shd w:val="clear"/>
              <w:adjustRightInd/>
              <w:snapToGrid/>
              <w:rPr>
                <w:rFonts w:hint="eastAsia" w:ascii="宋体" w:hAnsi="宋体" w:eastAsia="宋体" w:cs="宋体"/>
                <w:color w:val="auto"/>
                <w:szCs w:val="21"/>
                <w:highlight w:val="none"/>
              </w:rPr>
            </w:pPr>
          </w:p>
        </w:tc>
        <w:tc>
          <w:tcPr>
            <w:tcW w:w="1697" w:type="dxa"/>
          </w:tcPr>
          <w:p w14:paraId="7FB33D67">
            <w:pPr>
              <w:shd w:val="clear"/>
              <w:adjustRightInd/>
              <w:snapToGrid/>
              <w:rPr>
                <w:rFonts w:hint="eastAsia" w:ascii="宋体" w:hAnsi="宋体" w:eastAsia="宋体" w:cs="宋体"/>
                <w:color w:val="auto"/>
                <w:szCs w:val="21"/>
                <w:highlight w:val="none"/>
              </w:rPr>
            </w:pPr>
          </w:p>
        </w:tc>
      </w:tr>
      <w:tr w14:paraId="7DB86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705" w:type="dxa"/>
          </w:tcPr>
          <w:p w14:paraId="7A6E12F9">
            <w:pPr>
              <w:shd w:val="clear"/>
              <w:adjustRightInd/>
              <w:snapToGrid/>
              <w:rPr>
                <w:rFonts w:hint="eastAsia" w:ascii="宋体" w:hAnsi="宋体" w:eastAsia="宋体" w:cs="宋体"/>
                <w:color w:val="auto"/>
                <w:szCs w:val="21"/>
                <w:highlight w:val="none"/>
              </w:rPr>
            </w:pPr>
          </w:p>
        </w:tc>
        <w:tc>
          <w:tcPr>
            <w:tcW w:w="1705" w:type="dxa"/>
          </w:tcPr>
          <w:p w14:paraId="38DCAD90">
            <w:pPr>
              <w:shd w:val="clear"/>
              <w:adjustRightInd/>
              <w:snapToGrid/>
              <w:rPr>
                <w:rFonts w:hint="eastAsia" w:ascii="宋体" w:hAnsi="宋体" w:eastAsia="宋体" w:cs="宋体"/>
                <w:color w:val="auto"/>
                <w:szCs w:val="21"/>
                <w:highlight w:val="none"/>
              </w:rPr>
            </w:pPr>
          </w:p>
        </w:tc>
        <w:tc>
          <w:tcPr>
            <w:tcW w:w="1706" w:type="dxa"/>
          </w:tcPr>
          <w:p w14:paraId="1AA6DBDD">
            <w:pPr>
              <w:shd w:val="clear"/>
              <w:adjustRightInd/>
              <w:snapToGrid/>
              <w:rPr>
                <w:rFonts w:hint="eastAsia" w:ascii="宋体" w:hAnsi="宋体" w:eastAsia="宋体" w:cs="宋体"/>
                <w:color w:val="auto"/>
                <w:szCs w:val="21"/>
                <w:highlight w:val="none"/>
              </w:rPr>
            </w:pPr>
          </w:p>
        </w:tc>
        <w:tc>
          <w:tcPr>
            <w:tcW w:w="1705" w:type="dxa"/>
          </w:tcPr>
          <w:p w14:paraId="19A986E2">
            <w:pPr>
              <w:shd w:val="clear"/>
              <w:adjustRightInd/>
              <w:snapToGrid/>
              <w:rPr>
                <w:rFonts w:hint="eastAsia" w:ascii="宋体" w:hAnsi="宋体" w:eastAsia="宋体" w:cs="宋体"/>
                <w:color w:val="auto"/>
                <w:szCs w:val="21"/>
                <w:highlight w:val="none"/>
              </w:rPr>
            </w:pPr>
          </w:p>
        </w:tc>
        <w:tc>
          <w:tcPr>
            <w:tcW w:w="1697" w:type="dxa"/>
          </w:tcPr>
          <w:p w14:paraId="435C7EA2">
            <w:pPr>
              <w:shd w:val="clear"/>
              <w:adjustRightInd/>
              <w:snapToGrid/>
              <w:rPr>
                <w:rFonts w:hint="eastAsia" w:ascii="宋体" w:hAnsi="宋体" w:eastAsia="宋体" w:cs="宋体"/>
                <w:color w:val="auto"/>
                <w:szCs w:val="21"/>
                <w:highlight w:val="none"/>
              </w:rPr>
            </w:pPr>
          </w:p>
        </w:tc>
      </w:tr>
      <w:tr w14:paraId="07C26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705" w:type="dxa"/>
          </w:tcPr>
          <w:p w14:paraId="25751970">
            <w:pPr>
              <w:shd w:val="clear"/>
              <w:adjustRightInd/>
              <w:snapToGrid/>
              <w:rPr>
                <w:rFonts w:hint="eastAsia" w:ascii="宋体" w:hAnsi="宋体" w:eastAsia="宋体" w:cs="宋体"/>
                <w:color w:val="auto"/>
                <w:szCs w:val="21"/>
                <w:highlight w:val="none"/>
              </w:rPr>
            </w:pPr>
          </w:p>
        </w:tc>
        <w:tc>
          <w:tcPr>
            <w:tcW w:w="1705" w:type="dxa"/>
          </w:tcPr>
          <w:p w14:paraId="323293F4">
            <w:pPr>
              <w:shd w:val="clear"/>
              <w:adjustRightInd/>
              <w:snapToGrid/>
              <w:rPr>
                <w:rFonts w:hint="eastAsia" w:ascii="宋体" w:hAnsi="宋体" w:eastAsia="宋体" w:cs="宋体"/>
                <w:color w:val="auto"/>
                <w:szCs w:val="21"/>
                <w:highlight w:val="none"/>
              </w:rPr>
            </w:pPr>
          </w:p>
        </w:tc>
        <w:tc>
          <w:tcPr>
            <w:tcW w:w="1706" w:type="dxa"/>
          </w:tcPr>
          <w:p w14:paraId="4AE67A0C">
            <w:pPr>
              <w:shd w:val="clear"/>
              <w:adjustRightInd/>
              <w:snapToGrid/>
              <w:rPr>
                <w:rFonts w:hint="eastAsia" w:ascii="宋体" w:hAnsi="宋体" w:eastAsia="宋体" w:cs="宋体"/>
                <w:color w:val="auto"/>
                <w:szCs w:val="21"/>
                <w:highlight w:val="none"/>
              </w:rPr>
            </w:pPr>
          </w:p>
        </w:tc>
        <w:tc>
          <w:tcPr>
            <w:tcW w:w="1705" w:type="dxa"/>
          </w:tcPr>
          <w:p w14:paraId="3AEB0ED0">
            <w:pPr>
              <w:shd w:val="clear"/>
              <w:adjustRightInd/>
              <w:snapToGrid/>
              <w:rPr>
                <w:rFonts w:hint="eastAsia" w:ascii="宋体" w:hAnsi="宋体" w:eastAsia="宋体" w:cs="宋体"/>
                <w:color w:val="auto"/>
                <w:szCs w:val="21"/>
                <w:highlight w:val="none"/>
              </w:rPr>
            </w:pPr>
          </w:p>
        </w:tc>
        <w:tc>
          <w:tcPr>
            <w:tcW w:w="1697" w:type="dxa"/>
          </w:tcPr>
          <w:p w14:paraId="02DE554E">
            <w:pPr>
              <w:shd w:val="clear"/>
              <w:adjustRightInd/>
              <w:snapToGrid/>
              <w:rPr>
                <w:rFonts w:hint="eastAsia" w:ascii="宋体" w:hAnsi="宋体" w:eastAsia="宋体" w:cs="宋体"/>
                <w:color w:val="auto"/>
                <w:szCs w:val="21"/>
                <w:highlight w:val="none"/>
              </w:rPr>
            </w:pPr>
          </w:p>
        </w:tc>
      </w:tr>
      <w:tr w14:paraId="6C410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705" w:type="dxa"/>
          </w:tcPr>
          <w:p w14:paraId="507F78DC">
            <w:pPr>
              <w:shd w:val="clear"/>
              <w:adjustRightInd/>
              <w:snapToGrid/>
              <w:rPr>
                <w:rFonts w:hint="eastAsia" w:ascii="宋体" w:hAnsi="宋体" w:eastAsia="宋体" w:cs="宋体"/>
                <w:color w:val="auto"/>
                <w:szCs w:val="21"/>
                <w:highlight w:val="none"/>
              </w:rPr>
            </w:pPr>
          </w:p>
        </w:tc>
        <w:tc>
          <w:tcPr>
            <w:tcW w:w="1705" w:type="dxa"/>
          </w:tcPr>
          <w:p w14:paraId="33F7E74A">
            <w:pPr>
              <w:shd w:val="clear"/>
              <w:adjustRightInd/>
              <w:snapToGrid/>
              <w:rPr>
                <w:rFonts w:hint="eastAsia" w:ascii="宋体" w:hAnsi="宋体" w:eastAsia="宋体" w:cs="宋体"/>
                <w:color w:val="auto"/>
                <w:szCs w:val="21"/>
                <w:highlight w:val="none"/>
              </w:rPr>
            </w:pPr>
          </w:p>
        </w:tc>
        <w:tc>
          <w:tcPr>
            <w:tcW w:w="1706" w:type="dxa"/>
          </w:tcPr>
          <w:p w14:paraId="1FA50668">
            <w:pPr>
              <w:shd w:val="clear"/>
              <w:adjustRightInd/>
              <w:snapToGrid/>
              <w:rPr>
                <w:rFonts w:hint="eastAsia" w:ascii="宋体" w:hAnsi="宋体" w:eastAsia="宋体" w:cs="宋体"/>
                <w:color w:val="auto"/>
                <w:szCs w:val="21"/>
                <w:highlight w:val="none"/>
              </w:rPr>
            </w:pPr>
          </w:p>
        </w:tc>
        <w:tc>
          <w:tcPr>
            <w:tcW w:w="1705" w:type="dxa"/>
          </w:tcPr>
          <w:p w14:paraId="634BEFBE">
            <w:pPr>
              <w:shd w:val="clear"/>
              <w:adjustRightInd/>
              <w:snapToGrid/>
              <w:rPr>
                <w:rFonts w:hint="eastAsia" w:ascii="宋体" w:hAnsi="宋体" w:eastAsia="宋体" w:cs="宋体"/>
                <w:color w:val="auto"/>
                <w:szCs w:val="21"/>
                <w:highlight w:val="none"/>
              </w:rPr>
            </w:pPr>
          </w:p>
        </w:tc>
        <w:tc>
          <w:tcPr>
            <w:tcW w:w="1697" w:type="dxa"/>
          </w:tcPr>
          <w:p w14:paraId="30976834">
            <w:pPr>
              <w:shd w:val="clear"/>
              <w:adjustRightInd/>
              <w:snapToGrid/>
              <w:rPr>
                <w:rFonts w:hint="eastAsia" w:ascii="宋体" w:hAnsi="宋体" w:eastAsia="宋体" w:cs="宋体"/>
                <w:color w:val="auto"/>
                <w:szCs w:val="21"/>
                <w:highlight w:val="none"/>
              </w:rPr>
            </w:pPr>
          </w:p>
        </w:tc>
      </w:tr>
    </w:tbl>
    <w:p w14:paraId="39F2820F">
      <w:pPr>
        <w:pStyle w:val="47"/>
        <w:shd w:val="clear"/>
        <w:rPr>
          <w:rFonts w:hint="eastAsia" w:ascii="宋体" w:hAnsi="宋体" w:eastAsia="宋体" w:cs="宋体"/>
          <w:color w:val="auto"/>
          <w:szCs w:val="21"/>
          <w:highlight w:val="none"/>
        </w:rPr>
      </w:pPr>
    </w:p>
    <w:p w14:paraId="54DCBC29">
      <w:pPr>
        <w:pStyle w:val="47"/>
        <w:shd w:val="clea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w:t>
      </w:r>
    </w:p>
    <w:p w14:paraId="69DAF21A">
      <w:pPr>
        <w:pStyle w:val="47"/>
        <w:numPr>
          <w:ilvl w:val="0"/>
          <w:numId w:val="14"/>
        </w:numPr>
        <w:shd w:val="clear"/>
        <w:rPr>
          <w:rFonts w:hint="eastAsia" w:ascii="宋体" w:hAnsi="宋体" w:eastAsia="宋体" w:cs="宋体"/>
          <w:color w:val="auto"/>
          <w:szCs w:val="21"/>
          <w:highlight w:val="none"/>
        </w:rPr>
      </w:pPr>
      <w:r>
        <w:rPr>
          <w:rFonts w:hint="eastAsia" w:ascii="宋体" w:hAnsi="宋体" w:eastAsia="宋体" w:cs="宋体"/>
          <w:color w:val="auto"/>
          <w:szCs w:val="21"/>
          <w:highlight w:val="none"/>
        </w:rPr>
        <w:t>该表格为参考格式，投标人可按实际情况自行制订。</w:t>
      </w:r>
    </w:p>
    <w:p w14:paraId="396CB23C">
      <w:pPr>
        <w:pStyle w:val="47"/>
        <w:numPr>
          <w:ilvl w:val="0"/>
          <w:numId w:val="14"/>
        </w:numPr>
        <w:shd w:val="clea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业绩表所列出的材料应为真实准确的，并应提供相关证明材料复印件加盖公章。请勿提供虚假、过期材料，否则将依据相关规定严肃处理。</w:t>
      </w:r>
    </w:p>
    <w:p w14:paraId="330A7A65">
      <w:pPr>
        <w:shd w:val="clear"/>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08FFFE82">
      <w:pPr>
        <w:pStyle w:val="13"/>
        <w:shd w:val="clear"/>
        <w:rPr>
          <w:rFonts w:hint="eastAsia" w:ascii="宋体" w:hAnsi="宋体" w:eastAsia="宋体" w:cs="宋体"/>
          <w:color w:val="auto"/>
          <w:szCs w:val="21"/>
          <w:highlight w:val="none"/>
        </w:rPr>
        <w:sectPr>
          <w:headerReference r:id="rId11" w:type="first"/>
          <w:footerReference r:id="rId13" w:type="first"/>
          <w:headerReference r:id="rId9" w:type="default"/>
          <w:footerReference r:id="rId12" w:type="default"/>
          <w:headerReference r:id="rId10" w:type="even"/>
          <w:pgSz w:w="11906" w:h="16838"/>
          <w:pgMar w:top="1440" w:right="1800" w:bottom="1440" w:left="1800" w:header="708" w:footer="708" w:gutter="0"/>
          <w:cols w:space="708" w:num="1"/>
          <w:titlePg/>
          <w:docGrid w:type="lines" w:linePitch="360" w:charSpace="0"/>
        </w:sectPr>
      </w:pPr>
    </w:p>
    <w:p w14:paraId="4A547EBD">
      <w:pPr>
        <w:pStyle w:val="5"/>
        <w:widowControl w:val="0"/>
        <w:shd w:val="clear"/>
        <w:overflowPunct w:val="0"/>
        <w:spacing w:line="240" w:lineRule="auto"/>
        <w:rPr>
          <w:rFonts w:hint="eastAsia" w:ascii="宋体" w:hAnsi="宋体" w:eastAsia="宋体" w:cs="宋体"/>
          <w:color w:val="auto"/>
          <w:highlight w:val="none"/>
        </w:rPr>
      </w:pPr>
      <w:bookmarkStart w:id="624" w:name="_Toc2055"/>
      <w:bookmarkStart w:id="625" w:name="_Toc2271"/>
      <w:bookmarkStart w:id="626" w:name="_Toc23287"/>
      <w:bookmarkStart w:id="627" w:name="_Toc9877"/>
      <w:bookmarkStart w:id="628" w:name="_Toc4222"/>
      <w:bookmarkStart w:id="629" w:name="_Toc1298"/>
      <w:bookmarkStart w:id="630" w:name="_Toc22045"/>
      <w:bookmarkStart w:id="631" w:name="_Toc28136"/>
      <w:r>
        <w:rPr>
          <w:rFonts w:hint="eastAsia" w:ascii="宋体" w:hAnsi="宋体" w:eastAsia="宋体" w:cs="宋体"/>
          <w:color w:val="auto"/>
          <w:sz w:val="21"/>
          <w:szCs w:val="21"/>
          <w:highlight w:val="none"/>
        </w:rPr>
        <w:t>附件</w:t>
      </w:r>
      <w:r>
        <w:rPr>
          <w:rFonts w:hint="eastAsia" w:ascii="宋体" w:hAnsi="宋体" w:cs="宋体"/>
          <w:color w:val="auto"/>
          <w:sz w:val="21"/>
          <w:szCs w:val="21"/>
          <w:highlight w:val="none"/>
          <w:lang w:val="en-US" w:eastAsia="zh-CN"/>
        </w:rPr>
        <w:t>13</w:t>
      </w:r>
      <w:r>
        <w:rPr>
          <w:rFonts w:hint="eastAsia" w:ascii="宋体" w:hAnsi="宋体" w:eastAsia="宋体" w:cs="宋体"/>
          <w:color w:val="auto"/>
          <w:sz w:val="21"/>
          <w:szCs w:val="21"/>
          <w:highlight w:val="none"/>
        </w:rPr>
        <w:t>.联合体协议书</w:t>
      </w:r>
      <w:r>
        <w:rPr>
          <w:rFonts w:hint="eastAsia" w:ascii="宋体" w:hAnsi="宋体" w:eastAsia="宋体" w:cs="宋体"/>
          <w:color w:val="auto"/>
          <w:highlight w:val="none"/>
        </w:rPr>
        <w:t>（如有）</w:t>
      </w:r>
      <w:bookmarkEnd w:id="624"/>
      <w:bookmarkEnd w:id="625"/>
      <w:bookmarkEnd w:id="626"/>
      <w:bookmarkEnd w:id="627"/>
      <w:bookmarkEnd w:id="628"/>
      <w:bookmarkEnd w:id="629"/>
      <w:bookmarkEnd w:id="630"/>
      <w:bookmarkEnd w:id="631"/>
    </w:p>
    <w:p w14:paraId="10D258CF">
      <w:pPr>
        <w:shd w:val="clear"/>
        <w:rPr>
          <w:rFonts w:hint="eastAsia" w:ascii="宋体" w:hAnsi="宋体" w:eastAsia="宋体" w:cs="宋体"/>
          <w:color w:val="auto"/>
          <w:highlight w:val="none"/>
        </w:rPr>
      </w:pPr>
    </w:p>
    <w:p w14:paraId="6A096F4D">
      <w:pPr>
        <w:shd w:val="clear"/>
        <w:jc w:val="center"/>
        <w:rPr>
          <w:rFonts w:hint="eastAsia" w:ascii="宋体" w:hAnsi="宋体" w:eastAsia="宋体" w:cs="宋体"/>
          <w:color w:val="auto"/>
          <w:highlight w:val="none"/>
        </w:rPr>
      </w:pPr>
      <w:r>
        <w:rPr>
          <w:rFonts w:hint="eastAsia" w:ascii="宋体" w:hAnsi="宋体" w:eastAsia="宋体" w:cs="宋体"/>
          <w:b/>
          <w:bCs/>
          <w:color w:val="auto"/>
          <w:highlight w:val="none"/>
        </w:rPr>
        <w:t>联合体共同投标协议书</w:t>
      </w:r>
    </w:p>
    <w:p w14:paraId="66F45BF3">
      <w:pPr>
        <w:shd w:val="clear"/>
        <w:jc w:val="center"/>
        <w:rPr>
          <w:rFonts w:hint="eastAsia" w:ascii="宋体" w:hAnsi="宋体" w:eastAsia="宋体" w:cs="宋体"/>
          <w:color w:val="auto"/>
          <w:highlight w:val="none"/>
        </w:rPr>
      </w:pPr>
    </w:p>
    <w:p w14:paraId="0C31C50F">
      <w:pPr>
        <w:shd w:val="clear"/>
        <w:rPr>
          <w:rFonts w:hint="eastAsia" w:ascii="宋体" w:hAnsi="宋体" w:eastAsia="宋体" w:cs="宋体"/>
          <w:color w:val="auto"/>
          <w:szCs w:val="21"/>
          <w:highlight w:val="none"/>
        </w:rPr>
      </w:pPr>
      <w:r>
        <w:rPr>
          <w:rFonts w:hint="eastAsia" w:ascii="宋体" w:hAnsi="宋体" w:eastAsia="宋体" w:cs="宋体"/>
          <w:color w:val="auto"/>
          <w:szCs w:val="21"/>
          <w:highlight w:val="none"/>
        </w:rPr>
        <w:t>立约方：（甲公司全称）</w:t>
      </w:r>
    </w:p>
    <w:p w14:paraId="3D13CE4C">
      <w:pPr>
        <w:shd w:val="clear"/>
        <w:rPr>
          <w:rFonts w:hint="eastAsia" w:ascii="宋体" w:hAnsi="宋体" w:eastAsia="宋体" w:cs="宋体"/>
          <w:color w:val="auto"/>
          <w:szCs w:val="21"/>
          <w:highlight w:val="none"/>
        </w:rPr>
      </w:pPr>
      <w:r>
        <w:rPr>
          <w:rFonts w:hint="eastAsia" w:ascii="宋体" w:hAnsi="宋体" w:eastAsia="宋体" w:cs="宋体"/>
          <w:color w:val="auto"/>
          <w:szCs w:val="21"/>
          <w:highlight w:val="none"/>
        </w:rPr>
        <w:t>（乙公司全称）</w:t>
      </w:r>
    </w:p>
    <w:p w14:paraId="529EB314">
      <w:pPr>
        <w:shd w:val="clea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（……公司全称）</w:t>
      </w:r>
    </w:p>
    <w:p w14:paraId="0031ED7F">
      <w:pPr>
        <w:shd w:val="clear"/>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（甲公司全称）、（乙公司全称）、（……公司全称）</w:t>
      </w:r>
      <w:r>
        <w:rPr>
          <w:rFonts w:hint="eastAsia" w:ascii="宋体" w:hAnsi="宋体" w:eastAsia="宋体" w:cs="宋体"/>
          <w:color w:val="auto"/>
          <w:szCs w:val="21"/>
          <w:highlight w:val="none"/>
        </w:rPr>
        <w:t>自愿组成联合体，以一个投标人的身份共同参加</w:t>
      </w:r>
      <w:r>
        <w:rPr>
          <w:rFonts w:hint="eastAsia" w:ascii="宋体" w:hAnsi="宋体" w:eastAsia="宋体" w:cs="宋体"/>
          <w:color w:val="auto"/>
          <w:szCs w:val="21"/>
          <w:highlight w:val="none"/>
          <w:u w:val="single"/>
        </w:rPr>
        <w:t>（xxxx项目） （项目编号：xxxx）</w:t>
      </w:r>
      <w:r>
        <w:rPr>
          <w:rFonts w:hint="eastAsia" w:ascii="宋体" w:hAnsi="宋体" w:eastAsia="宋体" w:cs="宋体"/>
          <w:color w:val="auto"/>
          <w:szCs w:val="21"/>
          <w:highlight w:val="none"/>
        </w:rPr>
        <w:t>的</w:t>
      </w:r>
      <w:r>
        <w:rPr>
          <w:rFonts w:hint="eastAsia" w:ascii="宋体" w:hAnsi="宋体" w:eastAsia="宋体" w:cs="宋体"/>
          <w:color w:val="auto"/>
          <w:szCs w:val="21"/>
          <w:highlight w:val="none"/>
          <w:lang w:eastAsia="zh-CN"/>
        </w:rPr>
        <w:t>采购</w:t>
      </w:r>
      <w:r>
        <w:rPr>
          <w:rFonts w:hint="eastAsia" w:ascii="宋体" w:hAnsi="宋体" w:eastAsia="宋体" w:cs="宋体"/>
          <w:color w:val="auto"/>
          <w:szCs w:val="21"/>
          <w:highlight w:val="none"/>
        </w:rPr>
        <w:t>活动。经各方充分协商一致，就项目的投标和合同实施阶段的有关事务协商一致订立协议如下：</w:t>
      </w:r>
    </w:p>
    <w:p w14:paraId="08F8F789">
      <w:pPr>
        <w:shd w:val="clea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一、联合体各方关系</w:t>
      </w:r>
    </w:p>
    <w:p w14:paraId="5971BCED">
      <w:pPr>
        <w:shd w:val="clear"/>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1.（甲公司全称）、（乙公司全称）、（……公司全称）</w:t>
      </w:r>
      <w:r>
        <w:rPr>
          <w:rFonts w:hint="eastAsia" w:ascii="宋体" w:hAnsi="宋体" w:eastAsia="宋体" w:cs="宋体"/>
          <w:color w:val="auto"/>
          <w:szCs w:val="21"/>
          <w:highlight w:val="none"/>
        </w:rPr>
        <w:t>共同组成一个联合体，以一个投标人的身份共同参加本项目的投标。</w:t>
      </w:r>
      <w:r>
        <w:rPr>
          <w:rFonts w:hint="eastAsia" w:ascii="宋体" w:hAnsi="宋体" w:eastAsia="宋体" w:cs="宋体"/>
          <w:color w:val="auto"/>
          <w:szCs w:val="21"/>
          <w:highlight w:val="none"/>
          <w:u w:val="single"/>
        </w:rPr>
        <w:t>（甲公司全称）、（乙公司全称）、（……公司全称）</w:t>
      </w:r>
      <w:r>
        <w:rPr>
          <w:rFonts w:hint="eastAsia" w:ascii="宋体" w:hAnsi="宋体" w:eastAsia="宋体" w:cs="宋体"/>
          <w:color w:val="auto"/>
          <w:szCs w:val="21"/>
          <w:highlight w:val="none"/>
        </w:rPr>
        <w:t>作为联合体成员，若中标，联合体各方共同与</w:t>
      </w:r>
      <w:r>
        <w:rPr>
          <w:rFonts w:hint="eastAsia" w:ascii="宋体" w:hAnsi="宋体" w:eastAsia="宋体" w:cs="宋体"/>
          <w:color w:val="auto"/>
          <w:szCs w:val="21"/>
          <w:highlight w:val="none"/>
          <w:u w:val="single"/>
        </w:rPr>
        <w:t>（采购人）</w:t>
      </w:r>
      <w:r>
        <w:rPr>
          <w:rFonts w:hint="eastAsia" w:ascii="宋体" w:hAnsi="宋体" w:eastAsia="宋体" w:cs="宋体"/>
          <w:color w:val="auto"/>
          <w:szCs w:val="21"/>
          <w:highlight w:val="none"/>
        </w:rPr>
        <w:t>签订合同。</w:t>
      </w:r>
    </w:p>
    <w:p w14:paraId="5ABA75A1">
      <w:pPr>
        <w:shd w:val="clear"/>
        <w:rPr>
          <w:rFonts w:hint="eastAsia" w:ascii="宋体" w:hAnsi="宋体" w:eastAsia="宋体" w:cs="宋体"/>
          <w:color w:val="auto"/>
          <w:szCs w:val="21"/>
          <w:highlight w:val="none"/>
        </w:rPr>
      </w:pPr>
      <w:r>
        <w:rPr>
          <w:rFonts w:hint="eastAsia" w:ascii="宋体" w:hAnsi="宋体" w:eastAsia="宋体" w:cs="宋体"/>
          <w:color w:val="auto"/>
          <w:szCs w:val="21"/>
          <w:highlight w:val="none"/>
        </w:rPr>
        <w:t>2.本次投标中，以</w:t>
      </w:r>
      <w:r>
        <w:rPr>
          <w:rFonts w:hint="eastAsia" w:ascii="宋体" w:hAnsi="宋体" w:eastAsia="宋体" w:cs="宋体"/>
          <w:color w:val="auto"/>
          <w:szCs w:val="21"/>
          <w:highlight w:val="none"/>
          <w:u w:val="single"/>
        </w:rPr>
        <w:t>（公司全称）</w:t>
      </w:r>
      <w:r>
        <w:rPr>
          <w:rFonts w:hint="eastAsia" w:ascii="宋体" w:hAnsi="宋体" w:eastAsia="宋体" w:cs="宋体"/>
          <w:color w:val="auto"/>
          <w:szCs w:val="21"/>
          <w:highlight w:val="none"/>
        </w:rPr>
        <w:t>为联合体牵头人。</w:t>
      </w:r>
    </w:p>
    <w:p w14:paraId="4C1F790D">
      <w:pPr>
        <w:shd w:val="clear"/>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二、联合体内部有关事项约定如下：</w:t>
      </w:r>
    </w:p>
    <w:p w14:paraId="3CEEE7F4">
      <w:pPr>
        <w:shd w:val="clear"/>
        <w:rPr>
          <w:rFonts w:hint="eastAsia" w:ascii="宋体" w:hAnsi="宋体" w:eastAsia="宋体" w:cs="宋体"/>
          <w:color w:val="auto"/>
          <w:szCs w:val="21"/>
          <w:highlight w:val="none"/>
        </w:rPr>
      </w:pPr>
      <w:r>
        <w:rPr>
          <w:rFonts w:hint="eastAsia" w:ascii="宋体" w:hAnsi="宋体" w:eastAsia="宋体" w:cs="宋体"/>
          <w:color w:val="auto"/>
          <w:szCs w:val="21"/>
          <w:highlight w:val="none"/>
        </w:rPr>
        <w:t>1.联合体牵头人合法代表联合体各成员，负责本项目投标文件编制和投标工作，并代表联合体成员递交和接受相关的资料、信息及指示，并处理与之有关的一切事务，负责合同实施阶段的主办、组织和协调工作。</w:t>
      </w:r>
    </w:p>
    <w:p w14:paraId="36C5F288">
      <w:pPr>
        <w:shd w:val="clear"/>
        <w:rPr>
          <w:rFonts w:hint="eastAsia" w:ascii="宋体" w:hAnsi="宋体" w:eastAsia="宋体" w:cs="宋体"/>
          <w:color w:val="auto"/>
          <w:szCs w:val="21"/>
          <w:highlight w:val="none"/>
        </w:rPr>
      </w:pPr>
      <w:r>
        <w:rPr>
          <w:rFonts w:hint="eastAsia" w:ascii="宋体" w:hAnsi="宋体" w:eastAsia="宋体" w:cs="宋体"/>
          <w:color w:val="auto"/>
          <w:szCs w:val="21"/>
          <w:highlight w:val="none"/>
        </w:rPr>
        <w:t>2.联合体将严格按照文件的各项要求，递交投标文件，切实执行一切合同文件，共同承担合同规定的一切义务和责任，同时按照内部职责的划分，承担自身所负的责任和风险，在法律上承担连带责任。</w:t>
      </w:r>
    </w:p>
    <w:p w14:paraId="2E9AB2EE">
      <w:pPr>
        <w:shd w:val="clear"/>
        <w:rPr>
          <w:rFonts w:hint="eastAsia" w:ascii="宋体" w:hAnsi="宋体" w:eastAsia="宋体" w:cs="宋体"/>
          <w:color w:val="auto"/>
          <w:szCs w:val="21"/>
          <w:highlight w:val="none"/>
        </w:rPr>
      </w:pPr>
      <w:r>
        <w:rPr>
          <w:rFonts w:hint="eastAsia" w:ascii="宋体" w:hAnsi="宋体" w:eastAsia="宋体" w:cs="宋体"/>
          <w:color w:val="auto"/>
          <w:szCs w:val="21"/>
          <w:highlight w:val="none"/>
        </w:rPr>
        <w:t>3.如中标，联合体各方共同与（采购人）签订合同书，并就中标项目向采购人负有连带的和各自的法律责任；</w:t>
      </w:r>
    </w:p>
    <w:p w14:paraId="7FFC6C8C">
      <w:pPr>
        <w:shd w:val="clear"/>
        <w:rPr>
          <w:rFonts w:hint="eastAsia" w:ascii="宋体" w:hAnsi="宋体" w:eastAsia="宋体" w:cs="宋体"/>
          <w:color w:val="auto"/>
          <w:szCs w:val="21"/>
          <w:highlight w:val="none"/>
        </w:rPr>
      </w:pPr>
      <w:r>
        <w:rPr>
          <w:rFonts w:hint="eastAsia" w:ascii="宋体" w:hAnsi="宋体" w:eastAsia="宋体" w:cs="宋体"/>
          <w:color w:val="auto"/>
          <w:szCs w:val="21"/>
          <w:highlight w:val="none"/>
        </w:rPr>
        <w:t>4.联合体各成员单位内部的职责分工如下：</w:t>
      </w:r>
    </w:p>
    <w:p w14:paraId="4AA79606">
      <w:pPr>
        <w:shd w:val="clea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p w14:paraId="04E2416A">
      <w:pPr>
        <w:shd w:val="clear"/>
        <w:rPr>
          <w:rFonts w:hint="eastAsia" w:ascii="宋体" w:hAnsi="宋体" w:eastAsia="宋体" w:cs="宋体"/>
          <w:color w:val="auto"/>
          <w:highlight w:val="none"/>
        </w:rPr>
      </w:pPr>
      <w:r>
        <w:rPr>
          <w:rFonts w:hint="eastAsia" w:ascii="宋体" w:hAnsi="宋体" w:eastAsia="宋体" w:cs="宋体"/>
          <w:color w:val="auto"/>
          <w:szCs w:val="21"/>
          <w:highlight w:val="none"/>
        </w:rPr>
        <w:t>（2）</w:t>
      </w:r>
    </w:p>
    <w:p w14:paraId="37FDAE26">
      <w:pPr>
        <w:shd w:val="clea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联合体各方不得再以自己名义参与本项目投标，联合体各方不能作为其它联合体或单独投标单位的项目组成员参加本项目投标。因发生上述问题导致联合体成为无效投标，联合体的其他成员可追究其违约责任和经济损失。</w:t>
      </w:r>
    </w:p>
    <w:p w14:paraId="0203D1EB">
      <w:pPr>
        <w:shd w:val="clear"/>
        <w:rPr>
          <w:rFonts w:hint="eastAsia" w:ascii="宋体" w:hAnsi="宋体" w:eastAsia="宋体" w:cs="宋体"/>
          <w:color w:val="auto"/>
          <w:szCs w:val="21"/>
          <w:highlight w:val="none"/>
        </w:rPr>
      </w:pPr>
      <w:r>
        <w:rPr>
          <w:rFonts w:hint="eastAsia" w:ascii="宋体" w:hAnsi="宋体" w:eastAsia="宋体" w:cs="宋体"/>
          <w:color w:val="auto"/>
          <w:szCs w:val="21"/>
          <w:highlight w:val="none"/>
        </w:rPr>
        <w:t>四、联合体如因违约过失责任而导致采购人经济损失或被索赔时，本联合体任何一方均同意无条件优先清偿采购人的一切债务和经济赔偿。</w:t>
      </w:r>
    </w:p>
    <w:p w14:paraId="11B10B5C">
      <w:pPr>
        <w:shd w:val="clear"/>
        <w:rPr>
          <w:rFonts w:hint="eastAsia" w:ascii="宋体" w:hAnsi="宋体" w:eastAsia="宋体" w:cs="宋体"/>
          <w:color w:val="auto"/>
          <w:szCs w:val="21"/>
          <w:highlight w:val="none"/>
        </w:rPr>
      </w:pPr>
      <w:r>
        <w:rPr>
          <w:rFonts w:hint="eastAsia" w:ascii="宋体" w:hAnsi="宋体" w:eastAsia="宋体" w:cs="宋体"/>
          <w:color w:val="auto"/>
          <w:szCs w:val="21"/>
          <w:highlight w:val="none"/>
        </w:rPr>
        <w:t>五、联合体中标后，本联合体协议是合同的附件，对联合体各成员单位有合同约束力。</w:t>
      </w:r>
    </w:p>
    <w:p w14:paraId="5EE7DBA3">
      <w:pPr>
        <w:shd w:val="clea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六、本协议在自签署之日起生效，投标有效期内有效，如获中标资格，本协议有效期延续至合同履行完毕之日。</w:t>
      </w:r>
    </w:p>
    <w:p w14:paraId="6612F592">
      <w:pPr>
        <w:shd w:val="clear"/>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七、本协议书一式____份，联合体成员和采购人各执一份。 </w:t>
      </w:r>
    </w:p>
    <w:p w14:paraId="79B67958">
      <w:pPr>
        <w:shd w:val="clear"/>
        <w:rPr>
          <w:rFonts w:hint="eastAsia" w:ascii="宋体" w:hAnsi="宋体" w:eastAsia="宋体" w:cs="宋体"/>
          <w:color w:val="auto"/>
          <w:szCs w:val="21"/>
          <w:highlight w:val="none"/>
        </w:rPr>
      </w:pPr>
    </w:p>
    <w:p w14:paraId="2A048C34">
      <w:pPr>
        <w:pStyle w:val="13"/>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注：本协议书由委托人签字的，应附法定代表人签字的授权委托书。</w:t>
      </w:r>
    </w:p>
    <w:p w14:paraId="7248B657">
      <w:pPr>
        <w:pStyle w:val="13"/>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牵头人名称：_______________________（盖单位公章）</w:t>
      </w:r>
    </w:p>
    <w:p w14:paraId="0C63D1E6">
      <w:pPr>
        <w:pStyle w:val="13"/>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法定代表人或其委托代理人：_____________（签字）</w:t>
      </w:r>
    </w:p>
    <w:p w14:paraId="3C07C1DE">
      <w:pPr>
        <w:pStyle w:val="13"/>
        <w:shd w:val="clear"/>
        <w:rPr>
          <w:rFonts w:hint="eastAsia" w:ascii="宋体" w:hAnsi="宋体" w:eastAsia="宋体" w:cs="宋体"/>
          <w:color w:val="auto"/>
          <w:sz w:val="21"/>
          <w:szCs w:val="21"/>
          <w:highlight w:val="none"/>
        </w:rPr>
      </w:pPr>
    </w:p>
    <w:p w14:paraId="55E53972">
      <w:pPr>
        <w:pStyle w:val="13"/>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成员一名称：_______________________（盖单位公章）</w:t>
      </w:r>
    </w:p>
    <w:p w14:paraId="6AF746CB">
      <w:pPr>
        <w:pStyle w:val="13"/>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法定代表人或其委托代理人：_____________（签字）</w:t>
      </w:r>
    </w:p>
    <w:p w14:paraId="185B40C7">
      <w:pPr>
        <w:pStyle w:val="13"/>
        <w:shd w:val="clear"/>
        <w:rPr>
          <w:rFonts w:hint="eastAsia" w:ascii="宋体" w:hAnsi="宋体" w:eastAsia="宋体" w:cs="宋体"/>
          <w:color w:val="auto"/>
          <w:sz w:val="21"/>
          <w:szCs w:val="21"/>
          <w:highlight w:val="none"/>
        </w:rPr>
      </w:pPr>
    </w:p>
    <w:p w14:paraId="6BD7E496">
      <w:pPr>
        <w:pStyle w:val="13"/>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成员二名称：_______________________（盖单位公章）</w:t>
      </w:r>
    </w:p>
    <w:p w14:paraId="677CA424">
      <w:pPr>
        <w:pStyle w:val="13"/>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法定代表人或其委托代理人：_____________（签字）</w:t>
      </w:r>
    </w:p>
    <w:p w14:paraId="75E02477">
      <w:pPr>
        <w:pStyle w:val="13"/>
        <w:shd w:val="clear"/>
        <w:ind w:firstLine="210" w:firstLineChars="1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p w14:paraId="55AB7133">
      <w:pPr>
        <w:pStyle w:val="13"/>
        <w:shd w:val="clear"/>
        <w:rPr>
          <w:rFonts w:hint="eastAsia" w:ascii="宋体" w:hAnsi="宋体" w:eastAsia="宋体" w:cs="宋体"/>
          <w:color w:val="auto"/>
          <w:highlight w:val="none"/>
          <w:lang w:val="en-US"/>
        </w:rPr>
        <w:sectPr>
          <w:pgSz w:w="11906" w:h="16838"/>
          <w:pgMar w:top="1440" w:right="1800" w:bottom="1440" w:left="1800" w:header="708" w:footer="708" w:gutter="0"/>
          <w:cols w:space="708" w:num="1"/>
          <w:titlePg/>
          <w:docGrid w:type="lines" w:linePitch="360" w:charSpace="0"/>
        </w:sectPr>
      </w:pPr>
      <w:r>
        <w:rPr>
          <w:rFonts w:hint="eastAsia" w:ascii="宋体" w:hAnsi="宋体" w:eastAsia="宋体" w:cs="宋体"/>
          <w:color w:val="auto"/>
          <w:sz w:val="21"/>
          <w:szCs w:val="21"/>
          <w:highlight w:val="none"/>
        </w:rPr>
        <w:t xml:space="preserve">        年     月     日</w:t>
      </w:r>
    </w:p>
    <w:p w14:paraId="0A9D2C16">
      <w:pPr>
        <w:pStyle w:val="13"/>
        <w:shd w:val="clear"/>
        <w:rPr>
          <w:rFonts w:hint="eastAsia" w:ascii="宋体" w:hAnsi="宋体" w:eastAsia="宋体" w:cs="宋体"/>
          <w:color w:val="auto"/>
          <w:highlight w:val="none"/>
        </w:rPr>
      </w:pPr>
    </w:p>
    <w:p w14:paraId="62B97765">
      <w:pPr>
        <w:pStyle w:val="3"/>
        <w:shd w:val="clear"/>
        <w:spacing w:before="0" w:after="0" w:line="360" w:lineRule="auto"/>
        <w:jc w:val="center"/>
        <w:rPr>
          <w:rFonts w:hint="eastAsia" w:ascii="宋体" w:hAnsi="宋体" w:eastAsia="宋体" w:cs="宋体"/>
          <w:color w:val="auto"/>
          <w:sz w:val="72"/>
          <w:szCs w:val="72"/>
          <w:highlight w:val="none"/>
        </w:rPr>
      </w:pPr>
      <w:bookmarkStart w:id="632" w:name="_Toc26525"/>
      <w:bookmarkStart w:id="633" w:name="_Toc22877"/>
      <w:bookmarkStart w:id="634" w:name="_Toc28876"/>
      <w:bookmarkStart w:id="635" w:name="_Toc25584"/>
      <w:bookmarkStart w:id="636" w:name="_Toc22538"/>
      <w:bookmarkStart w:id="637" w:name="_Toc14196"/>
      <w:bookmarkStart w:id="638" w:name="_Toc12620"/>
      <w:bookmarkStart w:id="639" w:name="_Toc17454"/>
      <w:r>
        <w:rPr>
          <w:rFonts w:hint="eastAsia" w:ascii="宋体" w:hAnsi="宋体" w:eastAsia="宋体" w:cs="宋体"/>
          <w:color w:val="auto"/>
          <w:sz w:val="72"/>
          <w:szCs w:val="72"/>
          <w:highlight w:val="none"/>
        </w:rPr>
        <w:t>技术文件</w:t>
      </w:r>
      <w:bookmarkEnd w:id="632"/>
      <w:bookmarkEnd w:id="633"/>
      <w:bookmarkEnd w:id="634"/>
      <w:bookmarkEnd w:id="635"/>
      <w:bookmarkEnd w:id="636"/>
      <w:bookmarkEnd w:id="637"/>
      <w:bookmarkEnd w:id="638"/>
      <w:bookmarkEnd w:id="639"/>
    </w:p>
    <w:p w14:paraId="55AFF454">
      <w:pPr>
        <w:shd w:val="clear"/>
        <w:jc w:val="center"/>
        <w:rPr>
          <w:rFonts w:hint="eastAsia" w:ascii="宋体" w:hAnsi="宋体" w:eastAsia="宋体" w:cs="宋体"/>
          <w:color w:val="auto"/>
          <w:sz w:val="72"/>
          <w:szCs w:val="72"/>
          <w:highlight w:val="none"/>
        </w:rPr>
      </w:pPr>
      <w:r>
        <w:rPr>
          <w:rFonts w:hint="eastAsia" w:ascii="宋体" w:hAnsi="宋体" w:eastAsia="宋体" w:cs="宋体"/>
          <w:color w:val="auto"/>
          <w:sz w:val="72"/>
          <w:szCs w:val="72"/>
          <w:highlight w:val="none"/>
        </w:rPr>
        <w:t>（单独装订成册）</w:t>
      </w:r>
    </w:p>
    <w:p w14:paraId="0C87CE34">
      <w:pPr>
        <w:shd w:val="clear"/>
        <w:rPr>
          <w:rFonts w:hint="eastAsia" w:ascii="宋体" w:hAnsi="宋体" w:eastAsia="宋体" w:cs="宋体"/>
          <w:color w:val="auto"/>
          <w:highlight w:val="none"/>
        </w:rPr>
      </w:pPr>
    </w:p>
    <w:p w14:paraId="4B548BAE">
      <w:pPr>
        <w:pStyle w:val="13"/>
        <w:shd w:val="clear"/>
        <w:rPr>
          <w:rFonts w:hint="eastAsia" w:ascii="宋体" w:hAnsi="宋体" w:eastAsia="宋体" w:cs="宋体"/>
          <w:color w:val="auto"/>
          <w:highlight w:val="none"/>
        </w:rPr>
      </w:pPr>
    </w:p>
    <w:p w14:paraId="01EBDA34">
      <w:pPr>
        <w:pStyle w:val="33"/>
        <w:shd w:val="clear"/>
        <w:ind w:firstLine="240"/>
        <w:rPr>
          <w:rFonts w:hint="eastAsia" w:ascii="宋体" w:hAnsi="宋体" w:eastAsia="宋体" w:cs="宋体"/>
          <w:color w:val="auto"/>
          <w:highlight w:val="none"/>
        </w:rPr>
      </w:pPr>
    </w:p>
    <w:p w14:paraId="10847A93">
      <w:pPr>
        <w:shd w:val="clear"/>
        <w:rPr>
          <w:rFonts w:hint="eastAsia" w:ascii="宋体" w:hAnsi="宋体" w:eastAsia="宋体" w:cs="宋体"/>
          <w:b/>
          <w:bCs/>
          <w:color w:val="auto"/>
          <w:spacing w:val="-6"/>
          <w:sz w:val="32"/>
          <w:szCs w:val="32"/>
          <w:highlight w:val="none"/>
        </w:rPr>
      </w:pPr>
      <w:r>
        <w:rPr>
          <w:rFonts w:hint="eastAsia" w:ascii="宋体" w:hAnsi="宋体" w:eastAsia="宋体" w:cs="宋体"/>
          <w:b/>
          <w:bCs/>
          <w:color w:val="auto"/>
          <w:spacing w:val="53"/>
          <w:kern w:val="0"/>
          <w:sz w:val="32"/>
          <w:szCs w:val="32"/>
          <w:highlight w:val="none"/>
          <w:fitText w:val="1600" w:id="8"/>
        </w:rPr>
        <w:t>项目名</w:t>
      </w:r>
      <w:r>
        <w:rPr>
          <w:rFonts w:hint="eastAsia" w:ascii="宋体" w:hAnsi="宋体" w:eastAsia="宋体" w:cs="宋体"/>
          <w:b/>
          <w:bCs/>
          <w:color w:val="auto"/>
          <w:spacing w:val="1"/>
          <w:kern w:val="0"/>
          <w:sz w:val="32"/>
          <w:szCs w:val="32"/>
          <w:highlight w:val="none"/>
          <w:fitText w:val="1600" w:id="8"/>
        </w:rPr>
        <w:t>称</w:t>
      </w:r>
      <w:r>
        <w:rPr>
          <w:rFonts w:hint="eastAsia" w:ascii="宋体" w:hAnsi="宋体" w:eastAsia="宋体" w:cs="宋体"/>
          <w:b/>
          <w:bCs/>
          <w:color w:val="auto"/>
          <w:spacing w:val="-6"/>
          <w:sz w:val="32"/>
          <w:szCs w:val="32"/>
          <w:highlight w:val="none"/>
        </w:rPr>
        <w:t>：</w:t>
      </w:r>
    </w:p>
    <w:p w14:paraId="11EE6570">
      <w:pPr>
        <w:shd w:val="clear"/>
        <w:rPr>
          <w:rFonts w:hint="eastAsia" w:ascii="宋体" w:hAnsi="宋体" w:eastAsia="宋体" w:cs="宋体"/>
          <w:b/>
          <w:bCs/>
          <w:color w:val="auto"/>
          <w:sz w:val="32"/>
          <w:szCs w:val="32"/>
          <w:highlight w:val="none"/>
        </w:rPr>
      </w:pPr>
      <w:r>
        <w:rPr>
          <w:rFonts w:hint="eastAsia" w:ascii="宋体" w:hAnsi="宋体" w:eastAsia="宋体" w:cs="宋体"/>
          <w:b/>
          <w:bCs/>
          <w:color w:val="auto"/>
          <w:spacing w:val="53"/>
          <w:kern w:val="0"/>
          <w:sz w:val="32"/>
          <w:szCs w:val="32"/>
          <w:highlight w:val="none"/>
          <w:fitText w:val="1600" w:id="9"/>
        </w:rPr>
        <w:t>项目编</w:t>
      </w:r>
      <w:r>
        <w:rPr>
          <w:rFonts w:hint="eastAsia" w:ascii="宋体" w:hAnsi="宋体" w:eastAsia="宋体" w:cs="宋体"/>
          <w:b/>
          <w:bCs/>
          <w:color w:val="auto"/>
          <w:spacing w:val="1"/>
          <w:kern w:val="0"/>
          <w:sz w:val="32"/>
          <w:szCs w:val="32"/>
          <w:highlight w:val="none"/>
          <w:fitText w:val="1600" w:id="9"/>
        </w:rPr>
        <w:t>号</w:t>
      </w:r>
      <w:r>
        <w:rPr>
          <w:rFonts w:hint="eastAsia" w:ascii="宋体" w:hAnsi="宋体" w:eastAsia="宋体" w:cs="宋体"/>
          <w:b/>
          <w:bCs/>
          <w:color w:val="auto"/>
          <w:sz w:val="32"/>
          <w:szCs w:val="32"/>
          <w:highlight w:val="none"/>
        </w:rPr>
        <w:t>：</w:t>
      </w:r>
    </w:p>
    <w:p w14:paraId="6FDF5079">
      <w:pPr>
        <w:pStyle w:val="13"/>
        <w:shd w:val="clear"/>
        <w:ind w:left="0"/>
        <w:rPr>
          <w:rFonts w:hint="eastAsia" w:ascii="宋体" w:hAnsi="宋体" w:eastAsia="宋体" w:cs="宋体"/>
          <w:b/>
          <w:color w:val="auto"/>
          <w:spacing w:val="1280"/>
          <w:sz w:val="32"/>
          <w:szCs w:val="32"/>
          <w:highlight w:val="none"/>
        </w:rPr>
      </w:pPr>
      <w:r>
        <w:rPr>
          <w:rFonts w:hint="eastAsia" w:ascii="宋体" w:hAnsi="宋体" w:eastAsia="宋体" w:cs="宋体"/>
          <w:b/>
          <w:color w:val="auto"/>
          <w:spacing w:val="106"/>
          <w:sz w:val="32"/>
          <w:szCs w:val="32"/>
          <w:highlight w:val="none"/>
          <w:lang w:val="en-US" w:bidi="ar-SA"/>
        </w:rPr>
        <w:t>包组号（如有）：</w:t>
      </w:r>
    </w:p>
    <w:p w14:paraId="38DD9AEC">
      <w:pPr>
        <w:shd w:val="clear"/>
        <w:rPr>
          <w:rFonts w:hint="eastAsia" w:ascii="宋体" w:hAnsi="宋体" w:eastAsia="宋体" w:cs="宋体"/>
          <w:b/>
          <w:color w:val="auto"/>
          <w:sz w:val="32"/>
          <w:szCs w:val="32"/>
          <w:highlight w:val="none"/>
        </w:rPr>
      </w:pPr>
      <w:r>
        <w:rPr>
          <w:rFonts w:hint="eastAsia" w:ascii="宋体" w:hAnsi="宋体" w:eastAsia="宋体" w:cs="宋体"/>
          <w:b/>
          <w:color w:val="auto"/>
          <w:spacing w:val="0"/>
          <w:kern w:val="0"/>
          <w:sz w:val="32"/>
          <w:szCs w:val="32"/>
          <w:highlight w:val="none"/>
          <w:fitText w:val="1600" w:id="10"/>
        </w:rPr>
        <w:t>投标人名称</w:t>
      </w:r>
      <w:r>
        <w:rPr>
          <w:rFonts w:hint="eastAsia" w:ascii="宋体" w:hAnsi="宋体" w:eastAsia="宋体" w:cs="宋体"/>
          <w:b/>
          <w:color w:val="auto"/>
          <w:sz w:val="32"/>
          <w:szCs w:val="32"/>
          <w:highlight w:val="none"/>
        </w:rPr>
        <w:t>：</w:t>
      </w:r>
    </w:p>
    <w:p w14:paraId="25AE4D3D">
      <w:pPr>
        <w:shd w:val="clear"/>
        <w:rPr>
          <w:rFonts w:hint="eastAsia" w:ascii="宋体" w:hAnsi="宋体" w:eastAsia="宋体" w:cs="宋体"/>
          <w:b/>
          <w:color w:val="auto"/>
          <w:sz w:val="32"/>
          <w:szCs w:val="32"/>
          <w:highlight w:val="none"/>
        </w:rPr>
      </w:pPr>
      <w:r>
        <w:rPr>
          <w:rFonts w:hint="eastAsia" w:ascii="宋体" w:hAnsi="宋体" w:eastAsia="宋体" w:cs="宋体"/>
          <w:b/>
          <w:color w:val="auto"/>
          <w:spacing w:val="32"/>
          <w:kern w:val="0"/>
          <w:sz w:val="32"/>
          <w:szCs w:val="32"/>
          <w:highlight w:val="none"/>
          <w:fitText w:val="1600" w:id="11"/>
        </w:rPr>
        <w:t xml:space="preserve">日    </w:t>
      </w:r>
      <w:r>
        <w:rPr>
          <w:rFonts w:hint="eastAsia" w:ascii="宋体" w:hAnsi="宋体" w:eastAsia="宋体" w:cs="宋体"/>
          <w:b/>
          <w:color w:val="auto"/>
          <w:spacing w:val="0"/>
          <w:kern w:val="0"/>
          <w:sz w:val="32"/>
          <w:szCs w:val="32"/>
          <w:highlight w:val="none"/>
          <w:fitText w:val="1600" w:id="11"/>
        </w:rPr>
        <w:t>期</w:t>
      </w:r>
      <w:r>
        <w:rPr>
          <w:rFonts w:hint="eastAsia" w:ascii="宋体" w:hAnsi="宋体" w:eastAsia="宋体" w:cs="宋体"/>
          <w:b/>
          <w:color w:val="auto"/>
          <w:sz w:val="32"/>
          <w:szCs w:val="32"/>
          <w:highlight w:val="none"/>
        </w:rPr>
        <w:t>：</w:t>
      </w:r>
    </w:p>
    <w:p w14:paraId="3A205A5C">
      <w:pPr>
        <w:shd w:val="clear"/>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55B6B87E">
      <w:pPr>
        <w:pStyle w:val="5"/>
        <w:widowControl w:val="0"/>
        <w:shd w:val="clear"/>
        <w:overflowPunct w:val="0"/>
        <w:spacing w:line="240" w:lineRule="auto"/>
        <w:rPr>
          <w:rFonts w:hint="eastAsia" w:ascii="宋体" w:hAnsi="宋体" w:eastAsia="宋体" w:cs="宋体"/>
          <w:color w:val="auto"/>
          <w:sz w:val="21"/>
          <w:szCs w:val="21"/>
          <w:highlight w:val="none"/>
        </w:rPr>
      </w:pPr>
      <w:bookmarkStart w:id="640" w:name="_Toc3704"/>
      <w:bookmarkStart w:id="641" w:name="_Toc32116"/>
      <w:bookmarkStart w:id="642" w:name="_Toc31528"/>
      <w:bookmarkStart w:id="643" w:name="_Toc24549"/>
      <w:bookmarkStart w:id="644" w:name="_Toc28058"/>
      <w:bookmarkStart w:id="645" w:name="_Toc30872"/>
      <w:bookmarkStart w:id="646" w:name="_Toc27582"/>
      <w:bookmarkStart w:id="647" w:name="_Toc21860"/>
      <w:r>
        <w:rPr>
          <w:rFonts w:hint="eastAsia" w:ascii="宋体" w:hAnsi="宋体" w:eastAsia="宋体" w:cs="宋体"/>
          <w:color w:val="auto"/>
          <w:sz w:val="21"/>
          <w:szCs w:val="21"/>
          <w:highlight w:val="none"/>
        </w:rPr>
        <w:t>附件</w:t>
      </w:r>
      <w:r>
        <w:rPr>
          <w:rFonts w:hint="eastAsia" w:ascii="宋体" w:hAnsi="宋体" w:cs="宋体"/>
          <w:color w:val="auto"/>
          <w:sz w:val="21"/>
          <w:szCs w:val="21"/>
          <w:highlight w:val="none"/>
          <w:lang w:val="en-US" w:eastAsia="zh-CN"/>
        </w:rPr>
        <w:t>14</w:t>
      </w:r>
      <w:r>
        <w:rPr>
          <w:rFonts w:hint="eastAsia" w:ascii="宋体" w:hAnsi="宋体" w:eastAsia="宋体" w:cs="宋体"/>
          <w:color w:val="auto"/>
          <w:sz w:val="21"/>
          <w:szCs w:val="21"/>
          <w:highlight w:val="none"/>
        </w:rPr>
        <w:t>. 技术规格偏离表格式</w:t>
      </w:r>
      <w:bookmarkEnd w:id="640"/>
      <w:bookmarkEnd w:id="641"/>
      <w:bookmarkEnd w:id="642"/>
      <w:bookmarkEnd w:id="643"/>
      <w:bookmarkEnd w:id="644"/>
      <w:bookmarkEnd w:id="645"/>
      <w:bookmarkEnd w:id="646"/>
      <w:bookmarkEnd w:id="647"/>
    </w:p>
    <w:p w14:paraId="7822A5F0">
      <w:pPr>
        <w:shd w:val="clear"/>
        <w:jc w:val="center"/>
        <w:rPr>
          <w:rFonts w:hint="eastAsia" w:ascii="宋体" w:hAnsi="宋体" w:eastAsia="宋体" w:cs="宋体"/>
          <w:color w:val="auto"/>
          <w:sz w:val="28"/>
          <w:szCs w:val="28"/>
          <w:highlight w:val="none"/>
        </w:rPr>
      </w:pPr>
    </w:p>
    <w:p w14:paraId="5F811ED8">
      <w:pPr>
        <w:shd w:val="clea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技术规格偏离表</w:t>
      </w:r>
    </w:p>
    <w:tbl>
      <w:tblPr>
        <w:tblStyle w:val="3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8"/>
        <w:gridCol w:w="1902"/>
        <w:gridCol w:w="1370"/>
        <w:gridCol w:w="1629"/>
        <w:gridCol w:w="1239"/>
        <w:gridCol w:w="1544"/>
      </w:tblGrid>
      <w:tr w14:paraId="74114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838" w:type="dxa"/>
            <w:vAlign w:val="center"/>
          </w:tcPr>
          <w:p w14:paraId="00F6C468">
            <w:pPr>
              <w:shd w:val="clea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1902" w:type="dxa"/>
            <w:vAlign w:val="center"/>
          </w:tcPr>
          <w:p w14:paraId="5B825DA7">
            <w:pPr>
              <w:shd w:val="clea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服务项目名称</w:t>
            </w:r>
          </w:p>
        </w:tc>
        <w:tc>
          <w:tcPr>
            <w:tcW w:w="1370" w:type="dxa"/>
            <w:vAlign w:val="center"/>
          </w:tcPr>
          <w:p w14:paraId="3A30E373">
            <w:pPr>
              <w:shd w:val="clea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采购要求</w:t>
            </w:r>
          </w:p>
        </w:tc>
        <w:tc>
          <w:tcPr>
            <w:tcW w:w="1629" w:type="dxa"/>
            <w:vAlign w:val="center"/>
          </w:tcPr>
          <w:p w14:paraId="09B508CC">
            <w:pPr>
              <w:shd w:val="clea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投标实际响应</w:t>
            </w:r>
          </w:p>
        </w:tc>
        <w:tc>
          <w:tcPr>
            <w:tcW w:w="1239" w:type="dxa"/>
            <w:vAlign w:val="center"/>
          </w:tcPr>
          <w:p w14:paraId="1CC41221">
            <w:pPr>
              <w:shd w:val="clea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是否偏离</w:t>
            </w:r>
          </w:p>
        </w:tc>
        <w:tc>
          <w:tcPr>
            <w:tcW w:w="1544" w:type="dxa"/>
            <w:vAlign w:val="center"/>
          </w:tcPr>
          <w:p w14:paraId="2CBB4362">
            <w:pPr>
              <w:shd w:val="clea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w:t>
            </w:r>
          </w:p>
        </w:tc>
      </w:tr>
      <w:tr w14:paraId="44108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14:paraId="361E466D">
            <w:pPr>
              <w:shd w:val="clear"/>
              <w:jc w:val="center"/>
              <w:rPr>
                <w:rFonts w:hint="eastAsia" w:ascii="宋体" w:hAnsi="宋体" w:eastAsia="宋体" w:cs="宋体"/>
                <w:color w:val="auto"/>
                <w:szCs w:val="21"/>
                <w:highlight w:val="none"/>
              </w:rPr>
            </w:pPr>
          </w:p>
        </w:tc>
        <w:tc>
          <w:tcPr>
            <w:tcW w:w="1902" w:type="dxa"/>
            <w:vAlign w:val="center"/>
          </w:tcPr>
          <w:p w14:paraId="6BC1D9AD">
            <w:pPr>
              <w:shd w:val="clear"/>
              <w:jc w:val="center"/>
              <w:rPr>
                <w:rFonts w:hint="eastAsia" w:ascii="宋体" w:hAnsi="宋体" w:eastAsia="宋体" w:cs="宋体"/>
                <w:color w:val="auto"/>
                <w:szCs w:val="21"/>
                <w:highlight w:val="none"/>
              </w:rPr>
            </w:pPr>
          </w:p>
        </w:tc>
        <w:tc>
          <w:tcPr>
            <w:tcW w:w="1370" w:type="dxa"/>
            <w:vAlign w:val="center"/>
          </w:tcPr>
          <w:p w14:paraId="6C28405B">
            <w:pPr>
              <w:shd w:val="clear"/>
              <w:jc w:val="center"/>
              <w:rPr>
                <w:rFonts w:hint="eastAsia" w:ascii="宋体" w:hAnsi="宋体" w:eastAsia="宋体" w:cs="宋体"/>
                <w:color w:val="auto"/>
                <w:szCs w:val="21"/>
                <w:highlight w:val="none"/>
              </w:rPr>
            </w:pPr>
          </w:p>
        </w:tc>
        <w:tc>
          <w:tcPr>
            <w:tcW w:w="1629" w:type="dxa"/>
            <w:vAlign w:val="center"/>
          </w:tcPr>
          <w:p w14:paraId="097BC876">
            <w:pPr>
              <w:shd w:val="clear"/>
              <w:jc w:val="center"/>
              <w:rPr>
                <w:rFonts w:hint="eastAsia" w:ascii="宋体" w:hAnsi="宋体" w:eastAsia="宋体" w:cs="宋体"/>
                <w:color w:val="auto"/>
                <w:szCs w:val="21"/>
                <w:highlight w:val="none"/>
              </w:rPr>
            </w:pPr>
          </w:p>
        </w:tc>
        <w:tc>
          <w:tcPr>
            <w:tcW w:w="1239" w:type="dxa"/>
            <w:vAlign w:val="center"/>
          </w:tcPr>
          <w:p w14:paraId="1E7A830E">
            <w:pPr>
              <w:shd w:val="clear"/>
              <w:jc w:val="center"/>
              <w:rPr>
                <w:rFonts w:hint="eastAsia" w:ascii="宋体" w:hAnsi="宋体" w:eastAsia="宋体" w:cs="宋体"/>
                <w:color w:val="auto"/>
                <w:szCs w:val="21"/>
                <w:highlight w:val="none"/>
              </w:rPr>
            </w:pPr>
          </w:p>
        </w:tc>
        <w:tc>
          <w:tcPr>
            <w:tcW w:w="1544" w:type="dxa"/>
            <w:vAlign w:val="center"/>
          </w:tcPr>
          <w:p w14:paraId="10C77F33">
            <w:pPr>
              <w:shd w:val="clear"/>
              <w:jc w:val="center"/>
              <w:rPr>
                <w:rFonts w:hint="eastAsia" w:ascii="宋体" w:hAnsi="宋体" w:eastAsia="宋体" w:cs="宋体"/>
                <w:color w:val="auto"/>
                <w:szCs w:val="21"/>
                <w:highlight w:val="none"/>
              </w:rPr>
            </w:pPr>
          </w:p>
        </w:tc>
      </w:tr>
      <w:tr w14:paraId="70F54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14:paraId="16EB29D7">
            <w:pPr>
              <w:shd w:val="clear"/>
              <w:jc w:val="center"/>
              <w:rPr>
                <w:rFonts w:hint="eastAsia" w:ascii="宋体" w:hAnsi="宋体" w:eastAsia="宋体" w:cs="宋体"/>
                <w:color w:val="auto"/>
                <w:szCs w:val="21"/>
                <w:highlight w:val="none"/>
              </w:rPr>
            </w:pPr>
          </w:p>
        </w:tc>
        <w:tc>
          <w:tcPr>
            <w:tcW w:w="1902" w:type="dxa"/>
            <w:vAlign w:val="center"/>
          </w:tcPr>
          <w:p w14:paraId="33ABC044">
            <w:pPr>
              <w:shd w:val="clear"/>
              <w:jc w:val="center"/>
              <w:rPr>
                <w:rFonts w:hint="eastAsia" w:ascii="宋体" w:hAnsi="宋体" w:eastAsia="宋体" w:cs="宋体"/>
                <w:color w:val="auto"/>
                <w:szCs w:val="21"/>
                <w:highlight w:val="none"/>
              </w:rPr>
            </w:pPr>
          </w:p>
        </w:tc>
        <w:tc>
          <w:tcPr>
            <w:tcW w:w="1370" w:type="dxa"/>
            <w:vAlign w:val="center"/>
          </w:tcPr>
          <w:p w14:paraId="0E7C1EA0">
            <w:pPr>
              <w:shd w:val="clear"/>
              <w:jc w:val="center"/>
              <w:rPr>
                <w:rFonts w:hint="eastAsia" w:ascii="宋体" w:hAnsi="宋体" w:eastAsia="宋体" w:cs="宋体"/>
                <w:color w:val="auto"/>
                <w:szCs w:val="21"/>
                <w:highlight w:val="none"/>
              </w:rPr>
            </w:pPr>
          </w:p>
        </w:tc>
        <w:tc>
          <w:tcPr>
            <w:tcW w:w="1629" w:type="dxa"/>
            <w:vAlign w:val="center"/>
          </w:tcPr>
          <w:p w14:paraId="47157629">
            <w:pPr>
              <w:shd w:val="clear"/>
              <w:jc w:val="center"/>
              <w:rPr>
                <w:rFonts w:hint="eastAsia" w:ascii="宋体" w:hAnsi="宋体" w:eastAsia="宋体" w:cs="宋体"/>
                <w:color w:val="auto"/>
                <w:szCs w:val="21"/>
                <w:highlight w:val="none"/>
              </w:rPr>
            </w:pPr>
          </w:p>
        </w:tc>
        <w:tc>
          <w:tcPr>
            <w:tcW w:w="1239" w:type="dxa"/>
            <w:vAlign w:val="center"/>
          </w:tcPr>
          <w:p w14:paraId="6B258DA7">
            <w:pPr>
              <w:shd w:val="clear"/>
              <w:jc w:val="center"/>
              <w:rPr>
                <w:rFonts w:hint="eastAsia" w:ascii="宋体" w:hAnsi="宋体" w:eastAsia="宋体" w:cs="宋体"/>
                <w:color w:val="auto"/>
                <w:szCs w:val="21"/>
                <w:highlight w:val="none"/>
              </w:rPr>
            </w:pPr>
          </w:p>
        </w:tc>
        <w:tc>
          <w:tcPr>
            <w:tcW w:w="1544" w:type="dxa"/>
            <w:vAlign w:val="center"/>
          </w:tcPr>
          <w:p w14:paraId="20D4C47D">
            <w:pPr>
              <w:shd w:val="clear"/>
              <w:jc w:val="center"/>
              <w:rPr>
                <w:rFonts w:hint="eastAsia" w:ascii="宋体" w:hAnsi="宋体" w:eastAsia="宋体" w:cs="宋体"/>
                <w:color w:val="auto"/>
                <w:szCs w:val="21"/>
                <w:highlight w:val="none"/>
              </w:rPr>
            </w:pPr>
          </w:p>
        </w:tc>
      </w:tr>
      <w:tr w14:paraId="3C2A0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14:paraId="01CC0AB7">
            <w:pPr>
              <w:shd w:val="clear"/>
              <w:jc w:val="center"/>
              <w:rPr>
                <w:rFonts w:hint="eastAsia" w:ascii="宋体" w:hAnsi="宋体" w:eastAsia="宋体" w:cs="宋体"/>
                <w:color w:val="auto"/>
                <w:szCs w:val="21"/>
                <w:highlight w:val="none"/>
              </w:rPr>
            </w:pPr>
          </w:p>
        </w:tc>
        <w:tc>
          <w:tcPr>
            <w:tcW w:w="1902" w:type="dxa"/>
            <w:vAlign w:val="center"/>
          </w:tcPr>
          <w:p w14:paraId="3EF9635A">
            <w:pPr>
              <w:shd w:val="clear"/>
              <w:jc w:val="center"/>
              <w:rPr>
                <w:rFonts w:hint="eastAsia" w:ascii="宋体" w:hAnsi="宋体" w:eastAsia="宋体" w:cs="宋体"/>
                <w:color w:val="auto"/>
                <w:szCs w:val="21"/>
                <w:highlight w:val="none"/>
              </w:rPr>
            </w:pPr>
          </w:p>
        </w:tc>
        <w:tc>
          <w:tcPr>
            <w:tcW w:w="1370" w:type="dxa"/>
            <w:vAlign w:val="center"/>
          </w:tcPr>
          <w:p w14:paraId="10EAA71C">
            <w:pPr>
              <w:shd w:val="clear"/>
              <w:jc w:val="center"/>
              <w:rPr>
                <w:rFonts w:hint="eastAsia" w:ascii="宋体" w:hAnsi="宋体" w:eastAsia="宋体" w:cs="宋体"/>
                <w:color w:val="auto"/>
                <w:szCs w:val="21"/>
                <w:highlight w:val="none"/>
              </w:rPr>
            </w:pPr>
          </w:p>
        </w:tc>
        <w:tc>
          <w:tcPr>
            <w:tcW w:w="1629" w:type="dxa"/>
            <w:vAlign w:val="center"/>
          </w:tcPr>
          <w:p w14:paraId="2E55FB95">
            <w:pPr>
              <w:shd w:val="clear"/>
              <w:jc w:val="center"/>
              <w:rPr>
                <w:rFonts w:hint="eastAsia" w:ascii="宋体" w:hAnsi="宋体" w:eastAsia="宋体" w:cs="宋体"/>
                <w:color w:val="auto"/>
                <w:szCs w:val="21"/>
                <w:highlight w:val="none"/>
              </w:rPr>
            </w:pPr>
          </w:p>
        </w:tc>
        <w:tc>
          <w:tcPr>
            <w:tcW w:w="1239" w:type="dxa"/>
            <w:vAlign w:val="center"/>
          </w:tcPr>
          <w:p w14:paraId="7ACD0EF9">
            <w:pPr>
              <w:shd w:val="clear"/>
              <w:jc w:val="center"/>
              <w:rPr>
                <w:rFonts w:hint="eastAsia" w:ascii="宋体" w:hAnsi="宋体" w:eastAsia="宋体" w:cs="宋体"/>
                <w:color w:val="auto"/>
                <w:szCs w:val="21"/>
                <w:highlight w:val="none"/>
              </w:rPr>
            </w:pPr>
          </w:p>
        </w:tc>
        <w:tc>
          <w:tcPr>
            <w:tcW w:w="1544" w:type="dxa"/>
            <w:vAlign w:val="center"/>
          </w:tcPr>
          <w:p w14:paraId="54416D2F">
            <w:pPr>
              <w:shd w:val="clear"/>
              <w:jc w:val="center"/>
              <w:rPr>
                <w:rFonts w:hint="eastAsia" w:ascii="宋体" w:hAnsi="宋体" w:eastAsia="宋体" w:cs="宋体"/>
                <w:color w:val="auto"/>
                <w:szCs w:val="21"/>
                <w:highlight w:val="none"/>
              </w:rPr>
            </w:pPr>
          </w:p>
        </w:tc>
      </w:tr>
      <w:tr w14:paraId="06509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14:paraId="29A780A9">
            <w:pPr>
              <w:shd w:val="clear"/>
              <w:jc w:val="center"/>
              <w:rPr>
                <w:rFonts w:hint="eastAsia" w:ascii="宋体" w:hAnsi="宋体" w:eastAsia="宋体" w:cs="宋体"/>
                <w:color w:val="auto"/>
                <w:szCs w:val="21"/>
                <w:highlight w:val="none"/>
              </w:rPr>
            </w:pPr>
          </w:p>
        </w:tc>
        <w:tc>
          <w:tcPr>
            <w:tcW w:w="1902" w:type="dxa"/>
            <w:vAlign w:val="center"/>
          </w:tcPr>
          <w:p w14:paraId="683A50AE">
            <w:pPr>
              <w:shd w:val="clear"/>
              <w:jc w:val="center"/>
              <w:rPr>
                <w:rFonts w:hint="eastAsia" w:ascii="宋体" w:hAnsi="宋体" w:eastAsia="宋体" w:cs="宋体"/>
                <w:color w:val="auto"/>
                <w:szCs w:val="21"/>
                <w:highlight w:val="none"/>
              </w:rPr>
            </w:pPr>
          </w:p>
        </w:tc>
        <w:tc>
          <w:tcPr>
            <w:tcW w:w="1370" w:type="dxa"/>
            <w:vAlign w:val="center"/>
          </w:tcPr>
          <w:p w14:paraId="380B8EBA">
            <w:pPr>
              <w:shd w:val="clear"/>
              <w:jc w:val="center"/>
              <w:rPr>
                <w:rFonts w:hint="eastAsia" w:ascii="宋体" w:hAnsi="宋体" w:eastAsia="宋体" w:cs="宋体"/>
                <w:color w:val="auto"/>
                <w:szCs w:val="21"/>
                <w:highlight w:val="none"/>
              </w:rPr>
            </w:pPr>
          </w:p>
        </w:tc>
        <w:tc>
          <w:tcPr>
            <w:tcW w:w="1629" w:type="dxa"/>
            <w:vAlign w:val="center"/>
          </w:tcPr>
          <w:p w14:paraId="6C5137B9">
            <w:pPr>
              <w:shd w:val="clear"/>
              <w:jc w:val="center"/>
              <w:rPr>
                <w:rFonts w:hint="eastAsia" w:ascii="宋体" w:hAnsi="宋体" w:eastAsia="宋体" w:cs="宋体"/>
                <w:color w:val="auto"/>
                <w:szCs w:val="21"/>
                <w:highlight w:val="none"/>
              </w:rPr>
            </w:pPr>
          </w:p>
        </w:tc>
        <w:tc>
          <w:tcPr>
            <w:tcW w:w="1239" w:type="dxa"/>
            <w:vAlign w:val="center"/>
          </w:tcPr>
          <w:p w14:paraId="57A4E686">
            <w:pPr>
              <w:shd w:val="clear"/>
              <w:jc w:val="center"/>
              <w:rPr>
                <w:rFonts w:hint="eastAsia" w:ascii="宋体" w:hAnsi="宋体" w:eastAsia="宋体" w:cs="宋体"/>
                <w:color w:val="auto"/>
                <w:szCs w:val="21"/>
                <w:highlight w:val="none"/>
              </w:rPr>
            </w:pPr>
          </w:p>
        </w:tc>
        <w:tc>
          <w:tcPr>
            <w:tcW w:w="1544" w:type="dxa"/>
            <w:vAlign w:val="center"/>
          </w:tcPr>
          <w:p w14:paraId="53536557">
            <w:pPr>
              <w:shd w:val="clear"/>
              <w:jc w:val="center"/>
              <w:rPr>
                <w:rFonts w:hint="eastAsia" w:ascii="宋体" w:hAnsi="宋体" w:eastAsia="宋体" w:cs="宋体"/>
                <w:color w:val="auto"/>
                <w:szCs w:val="21"/>
                <w:highlight w:val="none"/>
              </w:rPr>
            </w:pPr>
          </w:p>
        </w:tc>
      </w:tr>
      <w:tr w14:paraId="067C3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14:paraId="5D34D3EE">
            <w:pPr>
              <w:shd w:val="clear"/>
              <w:jc w:val="center"/>
              <w:rPr>
                <w:rFonts w:hint="eastAsia" w:ascii="宋体" w:hAnsi="宋体" w:eastAsia="宋体" w:cs="宋体"/>
                <w:color w:val="auto"/>
                <w:szCs w:val="21"/>
                <w:highlight w:val="none"/>
              </w:rPr>
            </w:pPr>
          </w:p>
        </w:tc>
        <w:tc>
          <w:tcPr>
            <w:tcW w:w="1902" w:type="dxa"/>
            <w:vAlign w:val="center"/>
          </w:tcPr>
          <w:p w14:paraId="4DA435C4">
            <w:pPr>
              <w:shd w:val="clear"/>
              <w:jc w:val="center"/>
              <w:rPr>
                <w:rFonts w:hint="eastAsia" w:ascii="宋体" w:hAnsi="宋体" w:eastAsia="宋体" w:cs="宋体"/>
                <w:color w:val="auto"/>
                <w:szCs w:val="21"/>
                <w:highlight w:val="none"/>
              </w:rPr>
            </w:pPr>
          </w:p>
        </w:tc>
        <w:tc>
          <w:tcPr>
            <w:tcW w:w="1370" w:type="dxa"/>
            <w:vAlign w:val="center"/>
          </w:tcPr>
          <w:p w14:paraId="319EEA27">
            <w:pPr>
              <w:shd w:val="clear"/>
              <w:jc w:val="center"/>
              <w:rPr>
                <w:rFonts w:hint="eastAsia" w:ascii="宋体" w:hAnsi="宋体" w:eastAsia="宋体" w:cs="宋体"/>
                <w:color w:val="auto"/>
                <w:szCs w:val="21"/>
                <w:highlight w:val="none"/>
              </w:rPr>
            </w:pPr>
          </w:p>
        </w:tc>
        <w:tc>
          <w:tcPr>
            <w:tcW w:w="1629" w:type="dxa"/>
            <w:vAlign w:val="center"/>
          </w:tcPr>
          <w:p w14:paraId="319C1DFD">
            <w:pPr>
              <w:shd w:val="clear"/>
              <w:jc w:val="center"/>
              <w:rPr>
                <w:rFonts w:hint="eastAsia" w:ascii="宋体" w:hAnsi="宋体" w:eastAsia="宋体" w:cs="宋体"/>
                <w:color w:val="auto"/>
                <w:szCs w:val="21"/>
                <w:highlight w:val="none"/>
              </w:rPr>
            </w:pPr>
          </w:p>
        </w:tc>
        <w:tc>
          <w:tcPr>
            <w:tcW w:w="1239" w:type="dxa"/>
            <w:vAlign w:val="center"/>
          </w:tcPr>
          <w:p w14:paraId="4D87EBAB">
            <w:pPr>
              <w:shd w:val="clear"/>
              <w:jc w:val="center"/>
              <w:rPr>
                <w:rFonts w:hint="eastAsia" w:ascii="宋体" w:hAnsi="宋体" w:eastAsia="宋体" w:cs="宋体"/>
                <w:color w:val="auto"/>
                <w:szCs w:val="21"/>
                <w:highlight w:val="none"/>
              </w:rPr>
            </w:pPr>
          </w:p>
        </w:tc>
        <w:tc>
          <w:tcPr>
            <w:tcW w:w="1544" w:type="dxa"/>
            <w:vAlign w:val="center"/>
          </w:tcPr>
          <w:p w14:paraId="79E54220">
            <w:pPr>
              <w:shd w:val="clear"/>
              <w:jc w:val="center"/>
              <w:rPr>
                <w:rFonts w:hint="eastAsia" w:ascii="宋体" w:hAnsi="宋体" w:eastAsia="宋体" w:cs="宋体"/>
                <w:color w:val="auto"/>
                <w:szCs w:val="21"/>
                <w:highlight w:val="none"/>
              </w:rPr>
            </w:pPr>
          </w:p>
        </w:tc>
      </w:tr>
      <w:tr w14:paraId="2D2E4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14:paraId="3F2AE04B">
            <w:pPr>
              <w:shd w:val="clear"/>
              <w:jc w:val="center"/>
              <w:rPr>
                <w:rFonts w:hint="eastAsia" w:ascii="宋体" w:hAnsi="宋体" w:eastAsia="宋体" w:cs="宋体"/>
                <w:color w:val="auto"/>
                <w:szCs w:val="21"/>
                <w:highlight w:val="none"/>
              </w:rPr>
            </w:pPr>
          </w:p>
        </w:tc>
        <w:tc>
          <w:tcPr>
            <w:tcW w:w="1902" w:type="dxa"/>
            <w:vAlign w:val="center"/>
          </w:tcPr>
          <w:p w14:paraId="0DED6F08">
            <w:pPr>
              <w:shd w:val="clear"/>
              <w:jc w:val="center"/>
              <w:rPr>
                <w:rFonts w:hint="eastAsia" w:ascii="宋体" w:hAnsi="宋体" w:eastAsia="宋体" w:cs="宋体"/>
                <w:color w:val="auto"/>
                <w:szCs w:val="21"/>
                <w:highlight w:val="none"/>
              </w:rPr>
            </w:pPr>
          </w:p>
        </w:tc>
        <w:tc>
          <w:tcPr>
            <w:tcW w:w="1370" w:type="dxa"/>
            <w:vAlign w:val="center"/>
          </w:tcPr>
          <w:p w14:paraId="31AD4A34">
            <w:pPr>
              <w:shd w:val="clear"/>
              <w:jc w:val="center"/>
              <w:rPr>
                <w:rFonts w:hint="eastAsia" w:ascii="宋体" w:hAnsi="宋体" w:eastAsia="宋体" w:cs="宋体"/>
                <w:color w:val="auto"/>
                <w:szCs w:val="21"/>
                <w:highlight w:val="none"/>
              </w:rPr>
            </w:pPr>
          </w:p>
        </w:tc>
        <w:tc>
          <w:tcPr>
            <w:tcW w:w="1629" w:type="dxa"/>
            <w:vAlign w:val="center"/>
          </w:tcPr>
          <w:p w14:paraId="7A3C4CAE">
            <w:pPr>
              <w:shd w:val="clear"/>
              <w:jc w:val="center"/>
              <w:rPr>
                <w:rFonts w:hint="eastAsia" w:ascii="宋体" w:hAnsi="宋体" w:eastAsia="宋体" w:cs="宋体"/>
                <w:color w:val="auto"/>
                <w:szCs w:val="21"/>
                <w:highlight w:val="none"/>
              </w:rPr>
            </w:pPr>
          </w:p>
        </w:tc>
        <w:tc>
          <w:tcPr>
            <w:tcW w:w="1239" w:type="dxa"/>
            <w:vAlign w:val="center"/>
          </w:tcPr>
          <w:p w14:paraId="5FD41900">
            <w:pPr>
              <w:shd w:val="clear"/>
              <w:jc w:val="center"/>
              <w:rPr>
                <w:rFonts w:hint="eastAsia" w:ascii="宋体" w:hAnsi="宋体" w:eastAsia="宋体" w:cs="宋体"/>
                <w:color w:val="auto"/>
                <w:szCs w:val="21"/>
                <w:highlight w:val="none"/>
              </w:rPr>
            </w:pPr>
          </w:p>
        </w:tc>
        <w:tc>
          <w:tcPr>
            <w:tcW w:w="1544" w:type="dxa"/>
            <w:vAlign w:val="center"/>
          </w:tcPr>
          <w:p w14:paraId="11EE51A0">
            <w:pPr>
              <w:shd w:val="clear"/>
              <w:jc w:val="center"/>
              <w:rPr>
                <w:rFonts w:hint="eastAsia" w:ascii="宋体" w:hAnsi="宋体" w:eastAsia="宋体" w:cs="宋体"/>
                <w:color w:val="auto"/>
                <w:szCs w:val="21"/>
                <w:highlight w:val="none"/>
              </w:rPr>
            </w:pPr>
          </w:p>
        </w:tc>
      </w:tr>
      <w:tr w14:paraId="4C3C6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14:paraId="763BB3F0">
            <w:pPr>
              <w:shd w:val="clear"/>
              <w:jc w:val="center"/>
              <w:rPr>
                <w:rFonts w:hint="eastAsia" w:ascii="宋体" w:hAnsi="宋体" w:eastAsia="宋体" w:cs="宋体"/>
                <w:color w:val="auto"/>
                <w:szCs w:val="21"/>
                <w:highlight w:val="none"/>
              </w:rPr>
            </w:pPr>
          </w:p>
        </w:tc>
        <w:tc>
          <w:tcPr>
            <w:tcW w:w="1902" w:type="dxa"/>
            <w:vAlign w:val="center"/>
          </w:tcPr>
          <w:p w14:paraId="594DBDDC">
            <w:pPr>
              <w:shd w:val="clear"/>
              <w:jc w:val="center"/>
              <w:rPr>
                <w:rFonts w:hint="eastAsia" w:ascii="宋体" w:hAnsi="宋体" w:eastAsia="宋体" w:cs="宋体"/>
                <w:color w:val="auto"/>
                <w:szCs w:val="21"/>
                <w:highlight w:val="none"/>
              </w:rPr>
            </w:pPr>
          </w:p>
        </w:tc>
        <w:tc>
          <w:tcPr>
            <w:tcW w:w="1370" w:type="dxa"/>
            <w:vAlign w:val="center"/>
          </w:tcPr>
          <w:p w14:paraId="5A869BDE">
            <w:pPr>
              <w:shd w:val="clear"/>
              <w:jc w:val="center"/>
              <w:rPr>
                <w:rFonts w:hint="eastAsia" w:ascii="宋体" w:hAnsi="宋体" w:eastAsia="宋体" w:cs="宋体"/>
                <w:color w:val="auto"/>
                <w:szCs w:val="21"/>
                <w:highlight w:val="none"/>
              </w:rPr>
            </w:pPr>
          </w:p>
        </w:tc>
        <w:tc>
          <w:tcPr>
            <w:tcW w:w="1629" w:type="dxa"/>
            <w:vAlign w:val="center"/>
          </w:tcPr>
          <w:p w14:paraId="133C0821">
            <w:pPr>
              <w:shd w:val="clear"/>
              <w:jc w:val="center"/>
              <w:rPr>
                <w:rFonts w:hint="eastAsia" w:ascii="宋体" w:hAnsi="宋体" w:eastAsia="宋体" w:cs="宋体"/>
                <w:color w:val="auto"/>
                <w:szCs w:val="21"/>
                <w:highlight w:val="none"/>
              </w:rPr>
            </w:pPr>
          </w:p>
        </w:tc>
        <w:tc>
          <w:tcPr>
            <w:tcW w:w="1239" w:type="dxa"/>
            <w:vAlign w:val="center"/>
          </w:tcPr>
          <w:p w14:paraId="198CA811">
            <w:pPr>
              <w:shd w:val="clear"/>
              <w:jc w:val="center"/>
              <w:rPr>
                <w:rFonts w:hint="eastAsia" w:ascii="宋体" w:hAnsi="宋体" w:eastAsia="宋体" w:cs="宋体"/>
                <w:color w:val="auto"/>
                <w:szCs w:val="21"/>
                <w:highlight w:val="none"/>
              </w:rPr>
            </w:pPr>
          </w:p>
        </w:tc>
        <w:tc>
          <w:tcPr>
            <w:tcW w:w="1544" w:type="dxa"/>
            <w:vAlign w:val="center"/>
          </w:tcPr>
          <w:p w14:paraId="036514BC">
            <w:pPr>
              <w:shd w:val="clear"/>
              <w:jc w:val="center"/>
              <w:rPr>
                <w:rFonts w:hint="eastAsia" w:ascii="宋体" w:hAnsi="宋体" w:eastAsia="宋体" w:cs="宋体"/>
                <w:color w:val="auto"/>
                <w:szCs w:val="21"/>
                <w:highlight w:val="none"/>
              </w:rPr>
            </w:pPr>
          </w:p>
        </w:tc>
      </w:tr>
      <w:tr w14:paraId="68C4D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14:paraId="280FD7B9">
            <w:pPr>
              <w:shd w:val="clear"/>
              <w:jc w:val="center"/>
              <w:rPr>
                <w:rFonts w:hint="eastAsia" w:ascii="宋体" w:hAnsi="宋体" w:eastAsia="宋体" w:cs="宋体"/>
                <w:color w:val="auto"/>
                <w:szCs w:val="21"/>
                <w:highlight w:val="none"/>
              </w:rPr>
            </w:pPr>
          </w:p>
        </w:tc>
        <w:tc>
          <w:tcPr>
            <w:tcW w:w="1902" w:type="dxa"/>
            <w:vAlign w:val="center"/>
          </w:tcPr>
          <w:p w14:paraId="076DA3D7">
            <w:pPr>
              <w:shd w:val="clear"/>
              <w:jc w:val="center"/>
              <w:rPr>
                <w:rFonts w:hint="eastAsia" w:ascii="宋体" w:hAnsi="宋体" w:eastAsia="宋体" w:cs="宋体"/>
                <w:color w:val="auto"/>
                <w:szCs w:val="21"/>
                <w:highlight w:val="none"/>
              </w:rPr>
            </w:pPr>
          </w:p>
        </w:tc>
        <w:tc>
          <w:tcPr>
            <w:tcW w:w="1370" w:type="dxa"/>
            <w:vAlign w:val="center"/>
          </w:tcPr>
          <w:p w14:paraId="58733971">
            <w:pPr>
              <w:shd w:val="clear"/>
              <w:jc w:val="center"/>
              <w:rPr>
                <w:rFonts w:hint="eastAsia" w:ascii="宋体" w:hAnsi="宋体" w:eastAsia="宋体" w:cs="宋体"/>
                <w:color w:val="auto"/>
                <w:szCs w:val="21"/>
                <w:highlight w:val="none"/>
              </w:rPr>
            </w:pPr>
          </w:p>
        </w:tc>
        <w:tc>
          <w:tcPr>
            <w:tcW w:w="1629" w:type="dxa"/>
            <w:vAlign w:val="center"/>
          </w:tcPr>
          <w:p w14:paraId="7B122CE5">
            <w:pPr>
              <w:shd w:val="clear"/>
              <w:jc w:val="center"/>
              <w:rPr>
                <w:rFonts w:hint="eastAsia" w:ascii="宋体" w:hAnsi="宋体" w:eastAsia="宋体" w:cs="宋体"/>
                <w:color w:val="auto"/>
                <w:szCs w:val="21"/>
                <w:highlight w:val="none"/>
              </w:rPr>
            </w:pPr>
          </w:p>
        </w:tc>
        <w:tc>
          <w:tcPr>
            <w:tcW w:w="1239" w:type="dxa"/>
            <w:vAlign w:val="center"/>
          </w:tcPr>
          <w:p w14:paraId="66D233AF">
            <w:pPr>
              <w:shd w:val="clear"/>
              <w:jc w:val="center"/>
              <w:rPr>
                <w:rFonts w:hint="eastAsia" w:ascii="宋体" w:hAnsi="宋体" w:eastAsia="宋体" w:cs="宋体"/>
                <w:color w:val="auto"/>
                <w:szCs w:val="21"/>
                <w:highlight w:val="none"/>
              </w:rPr>
            </w:pPr>
          </w:p>
        </w:tc>
        <w:tc>
          <w:tcPr>
            <w:tcW w:w="1544" w:type="dxa"/>
            <w:vAlign w:val="center"/>
          </w:tcPr>
          <w:p w14:paraId="4B5A4D42">
            <w:pPr>
              <w:shd w:val="clear"/>
              <w:jc w:val="center"/>
              <w:rPr>
                <w:rFonts w:hint="eastAsia" w:ascii="宋体" w:hAnsi="宋体" w:eastAsia="宋体" w:cs="宋体"/>
                <w:color w:val="auto"/>
                <w:szCs w:val="21"/>
                <w:highlight w:val="none"/>
              </w:rPr>
            </w:pPr>
          </w:p>
        </w:tc>
      </w:tr>
      <w:tr w14:paraId="5E816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14:paraId="017EC955">
            <w:pPr>
              <w:shd w:val="clear"/>
              <w:jc w:val="center"/>
              <w:rPr>
                <w:rFonts w:hint="eastAsia" w:ascii="宋体" w:hAnsi="宋体" w:eastAsia="宋体" w:cs="宋体"/>
                <w:color w:val="auto"/>
                <w:szCs w:val="21"/>
                <w:highlight w:val="none"/>
              </w:rPr>
            </w:pPr>
          </w:p>
        </w:tc>
        <w:tc>
          <w:tcPr>
            <w:tcW w:w="1902" w:type="dxa"/>
            <w:vAlign w:val="center"/>
          </w:tcPr>
          <w:p w14:paraId="057108B9">
            <w:pPr>
              <w:shd w:val="clear"/>
              <w:jc w:val="center"/>
              <w:rPr>
                <w:rFonts w:hint="eastAsia" w:ascii="宋体" w:hAnsi="宋体" w:eastAsia="宋体" w:cs="宋体"/>
                <w:color w:val="auto"/>
                <w:szCs w:val="21"/>
                <w:highlight w:val="none"/>
              </w:rPr>
            </w:pPr>
          </w:p>
        </w:tc>
        <w:tc>
          <w:tcPr>
            <w:tcW w:w="1370" w:type="dxa"/>
            <w:vAlign w:val="center"/>
          </w:tcPr>
          <w:p w14:paraId="0C16D336">
            <w:pPr>
              <w:shd w:val="clear"/>
              <w:jc w:val="center"/>
              <w:rPr>
                <w:rFonts w:hint="eastAsia" w:ascii="宋体" w:hAnsi="宋体" w:eastAsia="宋体" w:cs="宋体"/>
                <w:color w:val="auto"/>
                <w:szCs w:val="21"/>
                <w:highlight w:val="none"/>
              </w:rPr>
            </w:pPr>
          </w:p>
        </w:tc>
        <w:tc>
          <w:tcPr>
            <w:tcW w:w="1629" w:type="dxa"/>
            <w:vAlign w:val="center"/>
          </w:tcPr>
          <w:p w14:paraId="60AAC3C7">
            <w:pPr>
              <w:shd w:val="clear"/>
              <w:jc w:val="center"/>
              <w:rPr>
                <w:rFonts w:hint="eastAsia" w:ascii="宋体" w:hAnsi="宋体" w:eastAsia="宋体" w:cs="宋体"/>
                <w:color w:val="auto"/>
                <w:szCs w:val="21"/>
                <w:highlight w:val="none"/>
              </w:rPr>
            </w:pPr>
          </w:p>
        </w:tc>
        <w:tc>
          <w:tcPr>
            <w:tcW w:w="1239" w:type="dxa"/>
            <w:vAlign w:val="center"/>
          </w:tcPr>
          <w:p w14:paraId="170D5ECA">
            <w:pPr>
              <w:shd w:val="clear"/>
              <w:jc w:val="center"/>
              <w:rPr>
                <w:rFonts w:hint="eastAsia" w:ascii="宋体" w:hAnsi="宋体" w:eastAsia="宋体" w:cs="宋体"/>
                <w:color w:val="auto"/>
                <w:szCs w:val="21"/>
                <w:highlight w:val="none"/>
              </w:rPr>
            </w:pPr>
          </w:p>
        </w:tc>
        <w:tc>
          <w:tcPr>
            <w:tcW w:w="1544" w:type="dxa"/>
            <w:vAlign w:val="center"/>
          </w:tcPr>
          <w:p w14:paraId="3421C590">
            <w:pPr>
              <w:shd w:val="clear"/>
              <w:jc w:val="center"/>
              <w:rPr>
                <w:rFonts w:hint="eastAsia" w:ascii="宋体" w:hAnsi="宋体" w:eastAsia="宋体" w:cs="宋体"/>
                <w:color w:val="auto"/>
                <w:szCs w:val="21"/>
                <w:highlight w:val="none"/>
              </w:rPr>
            </w:pPr>
          </w:p>
        </w:tc>
      </w:tr>
      <w:tr w14:paraId="106D9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14:paraId="77DBE8FE">
            <w:pPr>
              <w:shd w:val="clear"/>
              <w:jc w:val="center"/>
              <w:rPr>
                <w:rFonts w:hint="eastAsia" w:ascii="宋体" w:hAnsi="宋体" w:eastAsia="宋体" w:cs="宋体"/>
                <w:color w:val="auto"/>
                <w:szCs w:val="21"/>
                <w:highlight w:val="none"/>
              </w:rPr>
            </w:pPr>
          </w:p>
        </w:tc>
        <w:tc>
          <w:tcPr>
            <w:tcW w:w="1902" w:type="dxa"/>
            <w:vAlign w:val="center"/>
          </w:tcPr>
          <w:p w14:paraId="50C37A01">
            <w:pPr>
              <w:shd w:val="clear"/>
              <w:jc w:val="center"/>
              <w:rPr>
                <w:rFonts w:hint="eastAsia" w:ascii="宋体" w:hAnsi="宋体" w:eastAsia="宋体" w:cs="宋体"/>
                <w:color w:val="auto"/>
                <w:szCs w:val="21"/>
                <w:highlight w:val="none"/>
              </w:rPr>
            </w:pPr>
          </w:p>
        </w:tc>
        <w:tc>
          <w:tcPr>
            <w:tcW w:w="1370" w:type="dxa"/>
            <w:vAlign w:val="center"/>
          </w:tcPr>
          <w:p w14:paraId="2D851836">
            <w:pPr>
              <w:shd w:val="clear"/>
              <w:jc w:val="center"/>
              <w:rPr>
                <w:rFonts w:hint="eastAsia" w:ascii="宋体" w:hAnsi="宋体" w:eastAsia="宋体" w:cs="宋体"/>
                <w:color w:val="auto"/>
                <w:szCs w:val="21"/>
                <w:highlight w:val="none"/>
              </w:rPr>
            </w:pPr>
          </w:p>
        </w:tc>
        <w:tc>
          <w:tcPr>
            <w:tcW w:w="1629" w:type="dxa"/>
            <w:vAlign w:val="center"/>
          </w:tcPr>
          <w:p w14:paraId="0ECC2CD8">
            <w:pPr>
              <w:shd w:val="clear"/>
              <w:jc w:val="center"/>
              <w:rPr>
                <w:rFonts w:hint="eastAsia" w:ascii="宋体" w:hAnsi="宋体" w:eastAsia="宋体" w:cs="宋体"/>
                <w:color w:val="auto"/>
                <w:szCs w:val="21"/>
                <w:highlight w:val="none"/>
              </w:rPr>
            </w:pPr>
          </w:p>
        </w:tc>
        <w:tc>
          <w:tcPr>
            <w:tcW w:w="1239" w:type="dxa"/>
            <w:vAlign w:val="center"/>
          </w:tcPr>
          <w:p w14:paraId="2D324080">
            <w:pPr>
              <w:shd w:val="clear"/>
              <w:jc w:val="center"/>
              <w:rPr>
                <w:rFonts w:hint="eastAsia" w:ascii="宋体" w:hAnsi="宋体" w:eastAsia="宋体" w:cs="宋体"/>
                <w:color w:val="auto"/>
                <w:szCs w:val="21"/>
                <w:highlight w:val="none"/>
              </w:rPr>
            </w:pPr>
          </w:p>
        </w:tc>
        <w:tc>
          <w:tcPr>
            <w:tcW w:w="1544" w:type="dxa"/>
            <w:vAlign w:val="center"/>
          </w:tcPr>
          <w:p w14:paraId="1A1F1498">
            <w:pPr>
              <w:shd w:val="clear"/>
              <w:jc w:val="center"/>
              <w:rPr>
                <w:rFonts w:hint="eastAsia" w:ascii="宋体" w:hAnsi="宋体" w:eastAsia="宋体" w:cs="宋体"/>
                <w:color w:val="auto"/>
                <w:szCs w:val="21"/>
                <w:highlight w:val="none"/>
              </w:rPr>
            </w:pPr>
          </w:p>
        </w:tc>
      </w:tr>
    </w:tbl>
    <w:p w14:paraId="2E6711ED">
      <w:pPr>
        <w:shd w:val="clear"/>
        <w:rPr>
          <w:rFonts w:hint="eastAsia" w:ascii="宋体" w:hAnsi="宋体" w:eastAsia="宋体" w:cs="宋体"/>
          <w:color w:val="auto"/>
          <w:szCs w:val="21"/>
          <w:highlight w:val="none"/>
        </w:rPr>
      </w:pPr>
    </w:p>
    <w:p w14:paraId="75FF40FF">
      <w:pPr>
        <w:shd w:val="clea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投标人代表签字：</w:t>
      </w:r>
    </w:p>
    <w:p w14:paraId="06E1D239">
      <w:pPr>
        <w:shd w:val="clea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投标人盖章：</w:t>
      </w:r>
    </w:p>
    <w:p w14:paraId="78FE841F">
      <w:pPr>
        <w:shd w:val="clear"/>
        <w:ind w:firstLine="178" w:firstLineChars="85"/>
        <w:rPr>
          <w:rFonts w:hint="eastAsia" w:ascii="宋体" w:hAnsi="宋体" w:eastAsia="宋体" w:cs="宋体"/>
          <w:color w:val="auto"/>
          <w:szCs w:val="21"/>
          <w:highlight w:val="none"/>
        </w:rPr>
      </w:pPr>
    </w:p>
    <w:p w14:paraId="6B885A0D">
      <w:pPr>
        <w:shd w:val="clea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w:t>
      </w:r>
    </w:p>
    <w:p w14:paraId="4D77A270">
      <w:pPr>
        <w:shd w:val="clear"/>
        <w:rPr>
          <w:rFonts w:hint="eastAsia" w:ascii="宋体" w:hAnsi="宋体" w:eastAsia="宋体" w:cs="宋体"/>
          <w:color w:val="auto"/>
          <w:szCs w:val="21"/>
          <w:highlight w:val="none"/>
        </w:rPr>
      </w:pPr>
      <w:r>
        <w:rPr>
          <w:rFonts w:hint="eastAsia" w:ascii="宋体" w:hAnsi="宋体" w:eastAsia="宋体" w:cs="宋体"/>
          <w:color w:val="auto"/>
          <w:szCs w:val="21"/>
          <w:highlight w:val="none"/>
        </w:rPr>
        <w:t>1、投标人应对照采购文件技术需求书中技术规格，说明所提供服务已对采购文件的技术规格做出了实质性的响应，并申明与技术规格条文的偏差和例外。特别对有具体参数要求的指标，投标人必须提供所投设备的具体参数值。</w:t>
      </w:r>
    </w:p>
    <w:p w14:paraId="7B43E705">
      <w:pPr>
        <w:shd w:val="clear"/>
        <w:rPr>
          <w:rFonts w:hint="eastAsia" w:ascii="宋体" w:hAnsi="宋体" w:eastAsia="宋体" w:cs="宋体"/>
          <w:color w:val="auto"/>
          <w:szCs w:val="21"/>
          <w:highlight w:val="none"/>
        </w:rPr>
      </w:pPr>
      <w:r>
        <w:rPr>
          <w:rFonts w:hint="eastAsia" w:ascii="宋体" w:hAnsi="宋体" w:eastAsia="宋体" w:cs="宋体"/>
          <w:color w:val="auto"/>
          <w:szCs w:val="21"/>
          <w:highlight w:val="none"/>
        </w:rPr>
        <w:t>2、不论出于何种原因此表未填写完整，投标人都被认为已清楚了解采购文件“技术需求书”的内容并对采购人所需的服务要求作全面响应，投标人必须承担完成“技术需求书”所描述内容的义务，因此对投标人投标产生负面影响的，投标人自行承担后果。</w:t>
      </w:r>
    </w:p>
    <w:p w14:paraId="73EB65B7">
      <w:pPr>
        <w:shd w:val="clear"/>
        <w:rPr>
          <w:rFonts w:hint="eastAsia" w:ascii="宋体" w:hAnsi="宋体" w:eastAsia="宋体" w:cs="宋体"/>
          <w:color w:val="auto"/>
          <w:szCs w:val="21"/>
          <w:highlight w:val="none"/>
        </w:rPr>
      </w:pPr>
      <w:r>
        <w:rPr>
          <w:rFonts w:hint="eastAsia" w:ascii="宋体" w:hAnsi="宋体" w:eastAsia="宋体" w:cs="宋体"/>
          <w:color w:val="auto"/>
          <w:szCs w:val="21"/>
          <w:highlight w:val="none"/>
        </w:rPr>
        <w:t>3、如有偏离，应在“偏离情况”栏内注明“正”、“负”或“无”，并在“说明”栏内予以说明。</w:t>
      </w:r>
    </w:p>
    <w:p w14:paraId="4011230F">
      <w:pPr>
        <w:shd w:val="clear"/>
        <w:rPr>
          <w:rFonts w:hint="eastAsia" w:ascii="宋体" w:hAnsi="宋体" w:eastAsia="宋体" w:cs="宋体"/>
          <w:color w:val="auto"/>
          <w:szCs w:val="21"/>
          <w:highlight w:val="none"/>
        </w:rPr>
      </w:pPr>
      <w:r>
        <w:rPr>
          <w:rFonts w:hint="eastAsia" w:ascii="宋体" w:hAnsi="宋体" w:eastAsia="宋体" w:cs="宋体"/>
          <w:color w:val="auto"/>
          <w:szCs w:val="21"/>
          <w:highlight w:val="none"/>
        </w:rPr>
        <w:t>4、如投标人差异内容较多可另附页说明。</w:t>
      </w:r>
    </w:p>
    <w:p w14:paraId="11B916A9">
      <w:pPr>
        <w:shd w:val="clear"/>
        <w:rPr>
          <w:rFonts w:hint="eastAsia" w:ascii="宋体" w:hAnsi="宋体" w:eastAsia="宋体" w:cs="宋体"/>
          <w:color w:val="auto"/>
          <w:szCs w:val="21"/>
          <w:highlight w:val="none"/>
        </w:rPr>
      </w:pPr>
      <w:r>
        <w:rPr>
          <w:rFonts w:hint="eastAsia" w:ascii="宋体" w:hAnsi="宋体" w:eastAsia="宋体" w:cs="宋体"/>
          <w:color w:val="auto"/>
          <w:szCs w:val="21"/>
          <w:highlight w:val="none"/>
        </w:rPr>
        <w:t>5、如投标人对用户需求书商务要求的条款全部响应的，也可以在表格下面用文字总括性的说明。</w:t>
      </w:r>
    </w:p>
    <w:p w14:paraId="425764A1">
      <w:pPr>
        <w:shd w:val="clear"/>
        <w:adjustRightInd/>
        <w:snapToGrid/>
        <w:spacing w:line="276" w:lineRule="auto"/>
        <w:rPr>
          <w:rFonts w:hint="eastAsia" w:ascii="宋体" w:hAnsi="宋体" w:eastAsia="宋体" w:cs="宋体"/>
          <w:color w:val="auto"/>
          <w:highlight w:val="none"/>
        </w:rPr>
      </w:pPr>
    </w:p>
    <w:p w14:paraId="7A468BE0">
      <w:pPr>
        <w:shd w:val="clear"/>
        <w:adjustRightInd/>
        <w:snapToGrid/>
        <w:spacing w:line="276" w:lineRule="auto"/>
        <w:rPr>
          <w:rFonts w:hint="eastAsia" w:ascii="宋体" w:hAnsi="宋体" w:eastAsia="宋体" w:cs="宋体"/>
          <w:color w:val="auto"/>
          <w:highlight w:val="none"/>
        </w:rPr>
      </w:pPr>
    </w:p>
    <w:p w14:paraId="49B2D9A0">
      <w:pPr>
        <w:shd w:val="clear"/>
        <w:rPr>
          <w:rFonts w:hint="eastAsia" w:ascii="宋体" w:hAnsi="宋体" w:eastAsia="宋体" w:cs="宋体"/>
          <w:color w:val="auto"/>
          <w:szCs w:val="21"/>
          <w:highlight w:val="none"/>
        </w:rPr>
      </w:pPr>
      <w:bookmarkStart w:id="648" w:name="_Toc17691"/>
      <w:r>
        <w:rPr>
          <w:rFonts w:hint="eastAsia" w:ascii="宋体" w:hAnsi="宋体" w:eastAsia="宋体" w:cs="宋体"/>
          <w:color w:val="auto"/>
          <w:szCs w:val="21"/>
          <w:highlight w:val="none"/>
        </w:rPr>
        <w:br w:type="page"/>
      </w:r>
    </w:p>
    <w:bookmarkEnd w:id="648"/>
    <w:p w14:paraId="14F3B737">
      <w:pPr>
        <w:pStyle w:val="5"/>
        <w:widowControl w:val="0"/>
        <w:shd w:val="clear"/>
        <w:overflowPunct w:val="0"/>
        <w:spacing w:line="240" w:lineRule="auto"/>
        <w:rPr>
          <w:rFonts w:hint="eastAsia" w:ascii="宋体" w:hAnsi="宋体" w:eastAsia="宋体" w:cs="宋体"/>
          <w:color w:val="auto"/>
          <w:sz w:val="21"/>
          <w:szCs w:val="21"/>
          <w:highlight w:val="none"/>
        </w:rPr>
      </w:pPr>
      <w:bookmarkStart w:id="649" w:name="_Toc6494"/>
      <w:bookmarkStart w:id="650" w:name="_Toc25621"/>
      <w:bookmarkStart w:id="651" w:name="_Toc9004"/>
      <w:bookmarkStart w:id="652" w:name="_Toc11832"/>
      <w:bookmarkStart w:id="653" w:name="_Toc13819"/>
      <w:bookmarkStart w:id="654" w:name="_Toc4686"/>
      <w:bookmarkStart w:id="655" w:name="_Toc16756"/>
      <w:bookmarkStart w:id="656" w:name="_Toc9255"/>
      <w:r>
        <w:rPr>
          <w:rFonts w:hint="eastAsia" w:ascii="宋体" w:hAnsi="宋体" w:eastAsia="宋体" w:cs="宋体"/>
          <w:color w:val="auto"/>
          <w:sz w:val="21"/>
          <w:szCs w:val="21"/>
          <w:highlight w:val="none"/>
        </w:rPr>
        <w:t>附件</w:t>
      </w:r>
      <w:r>
        <w:rPr>
          <w:rFonts w:hint="eastAsia" w:ascii="宋体" w:hAnsi="宋体" w:cs="宋体"/>
          <w:color w:val="auto"/>
          <w:sz w:val="21"/>
          <w:szCs w:val="21"/>
          <w:highlight w:val="none"/>
          <w:lang w:val="en-US" w:eastAsia="zh-CN"/>
        </w:rPr>
        <w:t>15</w:t>
      </w: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val="en-US" w:eastAsia="zh-CN"/>
        </w:rPr>
        <w:t>技术文件</w:t>
      </w:r>
      <w:r>
        <w:rPr>
          <w:rFonts w:hint="eastAsia" w:ascii="宋体" w:hAnsi="宋体" w:eastAsia="宋体" w:cs="宋体"/>
          <w:color w:val="auto"/>
          <w:sz w:val="21"/>
          <w:szCs w:val="21"/>
          <w:highlight w:val="none"/>
        </w:rPr>
        <w:t>格式</w:t>
      </w:r>
      <w:bookmarkEnd w:id="649"/>
      <w:bookmarkEnd w:id="650"/>
      <w:bookmarkEnd w:id="651"/>
      <w:bookmarkEnd w:id="652"/>
      <w:bookmarkEnd w:id="653"/>
      <w:bookmarkEnd w:id="654"/>
      <w:bookmarkEnd w:id="655"/>
      <w:bookmarkEnd w:id="656"/>
    </w:p>
    <w:p w14:paraId="16ACF4AD">
      <w:pPr>
        <w:shd w:val="clear"/>
        <w:jc w:val="center"/>
        <w:rPr>
          <w:rFonts w:hint="eastAsia" w:ascii="宋体" w:hAnsi="宋体" w:eastAsia="宋体" w:cs="宋体"/>
          <w:color w:val="auto"/>
          <w:sz w:val="32"/>
          <w:szCs w:val="32"/>
          <w:highlight w:val="none"/>
        </w:rPr>
      </w:pPr>
    </w:p>
    <w:p w14:paraId="417AA0AC">
      <w:pPr>
        <w:shd w:val="clear"/>
        <w:ind w:left="718" w:leftChars="200" w:hanging="298" w:hangingChars="142"/>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color w:val="auto"/>
          <w:highlight w:val="none"/>
        </w:rPr>
        <w:t>总体实施方案</w:t>
      </w:r>
    </w:p>
    <w:p w14:paraId="35B020FF">
      <w:pPr>
        <w:shd w:val="clear"/>
        <w:ind w:left="718" w:leftChars="200" w:hanging="298" w:hangingChars="142"/>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cs="宋体"/>
          <w:color w:val="auto"/>
          <w:szCs w:val="21"/>
          <w:highlight w:val="none"/>
          <w:lang w:eastAsia="zh-CN"/>
        </w:rPr>
        <w:t>、</w:t>
      </w:r>
      <w:r>
        <w:rPr>
          <w:color w:val="auto"/>
          <w:highlight w:val="none"/>
        </w:rPr>
        <w:t>项目管理组织架构</w:t>
      </w:r>
    </w:p>
    <w:p w14:paraId="09A5DF9F">
      <w:pPr>
        <w:shd w:val="clear"/>
        <w:ind w:left="718" w:leftChars="200" w:hanging="298" w:hangingChars="142"/>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r>
        <w:rPr>
          <w:color w:val="auto"/>
          <w:highlight w:val="none"/>
        </w:rPr>
        <w:t xml:space="preserve">食品安全保障措施 </w:t>
      </w:r>
    </w:p>
    <w:p w14:paraId="2EA4C66E">
      <w:pPr>
        <w:shd w:val="clear"/>
        <w:ind w:left="718" w:leftChars="200" w:hanging="298" w:hangingChars="142"/>
        <w:rPr>
          <w:color w:val="auto"/>
          <w:highlight w:val="none"/>
        </w:rPr>
      </w:pPr>
      <w:r>
        <w:rPr>
          <w:rFonts w:hint="eastAsia" w:ascii="宋体" w:hAnsi="宋体" w:eastAsia="宋体" w:cs="宋体"/>
          <w:color w:val="auto"/>
          <w:szCs w:val="21"/>
          <w:highlight w:val="none"/>
        </w:rPr>
        <w:t>4、</w:t>
      </w:r>
      <w:r>
        <w:rPr>
          <w:color w:val="auto"/>
          <w:highlight w:val="none"/>
        </w:rPr>
        <w:t>应急处置方案</w:t>
      </w:r>
    </w:p>
    <w:p w14:paraId="790D41C4">
      <w:pPr>
        <w:shd w:val="clear"/>
        <w:ind w:left="718" w:leftChars="200" w:hanging="298" w:hangingChars="142"/>
        <w:rPr>
          <w:rFonts w:hint="eastAsia"/>
          <w:color w:val="auto"/>
          <w:highlight w:val="none"/>
        </w:rPr>
      </w:pPr>
      <w:r>
        <w:rPr>
          <w:rFonts w:hint="eastAsia" w:ascii="宋体" w:hAnsi="宋体" w:eastAsia="宋体" w:cs="宋体"/>
          <w:color w:val="auto"/>
          <w:szCs w:val="21"/>
          <w:highlight w:val="none"/>
        </w:rPr>
        <w:t>5、</w:t>
      </w:r>
      <w:r>
        <w:rPr>
          <w:color w:val="auto"/>
          <w:highlight w:val="none"/>
        </w:rPr>
        <w:t>售后承诺</w:t>
      </w:r>
    </w:p>
    <w:p w14:paraId="54FF88CC">
      <w:pPr>
        <w:shd w:val="clear"/>
        <w:ind w:left="718" w:leftChars="200" w:hanging="298" w:hangingChars="142"/>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rPr>
        <w:t>、..........</w:t>
      </w:r>
    </w:p>
    <w:p w14:paraId="2F86C5BB">
      <w:pPr>
        <w:shd w:val="clear"/>
        <w:ind w:left="718" w:leftChars="200" w:hanging="298" w:hangingChars="142"/>
        <w:rPr>
          <w:rFonts w:hint="eastAsia" w:ascii="宋体" w:hAnsi="宋体" w:eastAsia="宋体" w:cs="宋体"/>
          <w:color w:val="auto"/>
          <w:szCs w:val="21"/>
          <w:highlight w:val="none"/>
        </w:rPr>
      </w:pPr>
      <w:r>
        <w:rPr>
          <w:rFonts w:hint="eastAsia" w:ascii="宋体" w:hAnsi="宋体" w:eastAsia="宋体" w:cs="宋体"/>
          <w:color w:val="auto"/>
          <w:szCs w:val="21"/>
          <w:highlight w:val="none"/>
        </w:rPr>
        <w:t>自行编写。</w:t>
      </w:r>
    </w:p>
    <w:p w14:paraId="38CF39A8">
      <w:pPr>
        <w:shd w:val="clear"/>
        <w:ind w:left="718" w:leftChars="200" w:hanging="298" w:hangingChars="142"/>
        <w:rPr>
          <w:rFonts w:hint="eastAsia" w:ascii="宋体" w:hAnsi="宋体" w:eastAsia="宋体" w:cs="宋体"/>
          <w:color w:val="auto"/>
          <w:szCs w:val="21"/>
          <w:highlight w:val="none"/>
        </w:rPr>
      </w:pPr>
    </w:p>
    <w:p w14:paraId="40EAEE6B">
      <w:pPr>
        <w:shd w:val="clear"/>
        <w:ind w:left="718" w:leftChars="200" w:hanging="298" w:hangingChars="142"/>
        <w:rPr>
          <w:rFonts w:hint="eastAsia" w:ascii="宋体" w:hAnsi="宋体" w:eastAsia="宋体" w:cs="宋体"/>
          <w:color w:val="auto"/>
          <w:szCs w:val="21"/>
          <w:highlight w:val="none"/>
        </w:rPr>
      </w:pPr>
    </w:p>
    <w:p w14:paraId="14D629BF">
      <w:pPr>
        <w:shd w:val="clear"/>
        <w:ind w:left="0" w:leftChars="0" w:firstLine="0" w:firstLineChars="0"/>
        <w:rPr>
          <w:rFonts w:hint="default" w:ascii="Tahoma" w:hAnsi="Tahoma" w:eastAsia="宋体" w:cstheme="minorBidi"/>
          <w:color w:val="auto"/>
          <w:szCs w:val="22"/>
          <w:highlight w:val="none"/>
        </w:rPr>
      </w:pPr>
      <w:r>
        <w:rPr>
          <w:rFonts w:hint="default" w:ascii="Tahoma" w:hAnsi="Tahoma" w:eastAsia="宋体" w:cstheme="minorBidi"/>
          <w:color w:val="auto"/>
          <w:szCs w:val="22"/>
          <w:highlight w:val="none"/>
        </w:rPr>
        <w:br w:type="page"/>
      </w:r>
    </w:p>
    <w:p w14:paraId="2D8223F1">
      <w:pPr>
        <w:shd w:val="clear"/>
        <w:rPr>
          <w:rFonts w:hint="default" w:ascii="Tahoma" w:hAnsi="Tahoma" w:eastAsia="宋体" w:cstheme="minorBidi"/>
          <w:color w:val="auto"/>
          <w:szCs w:val="22"/>
          <w:highlight w:val="none"/>
        </w:rPr>
      </w:pPr>
    </w:p>
    <w:p w14:paraId="1AFC58F6">
      <w:pPr>
        <w:pStyle w:val="5"/>
        <w:widowControl w:val="0"/>
        <w:shd w:val="clear"/>
        <w:overflowPunct w:val="0"/>
        <w:spacing w:line="240" w:lineRule="auto"/>
        <w:rPr>
          <w:rFonts w:hint="eastAsia" w:ascii="宋体" w:hAnsi="宋体" w:eastAsia="宋体" w:cs="宋体"/>
          <w:color w:val="auto"/>
          <w:highlight w:val="none"/>
        </w:rPr>
      </w:pPr>
      <w:bookmarkStart w:id="657" w:name="_Toc15024"/>
      <w:bookmarkStart w:id="658" w:name="_Toc14704"/>
      <w:bookmarkStart w:id="659" w:name="_Toc17351"/>
      <w:bookmarkStart w:id="660" w:name="_Toc27935"/>
      <w:bookmarkStart w:id="661" w:name="_Toc15162"/>
      <w:bookmarkStart w:id="662" w:name="_Toc15289"/>
      <w:bookmarkStart w:id="663" w:name="_Toc15554"/>
      <w:bookmarkStart w:id="664" w:name="_Toc5896"/>
      <w:r>
        <w:rPr>
          <w:rFonts w:hint="eastAsia" w:ascii="宋体" w:hAnsi="宋体" w:eastAsia="宋体" w:cs="宋体"/>
          <w:color w:val="auto"/>
          <w:sz w:val="21"/>
          <w:szCs w:val="21"/>
          <w:highlight w:val="none"/>
        </w:rPr>
        <w:t>附件</w:t>
      </w:r>
      <w:r>
        <w:rPr>
          <w:rFonts w:hint="eastAsia" w:ascii="宋体" w:hAnsi="宋体" w:cs="宋体"/>
          <w:color w:val="auto"/>
          <w:sz w:val="21"/>
          <w:szCs w:val="21"/>
          <w:highlight w:val="none"/>
          <w:lang w:val="en-US" w:eastAsia="zh-CN"/>
        </w:rPr>
        <w:t>16</w:t>
      </w:r>
      <w:r>
        <w:rPr>
          <w:rFonts w:hint="eastAsia" w:ascii="宋体" w:hAnsi="宋体" w:eastAsia="宋体" w:cs="宋体"/>
          <w:color w:val="auto"/>
          <w:sz w:val="21"/>
          <w:szCs w:val="21"/>
          <w:highlight w:val="none"/>
        </w:rPr>
        <w:t>.投标保证金汇入情况说明格式</w:t>
      </w:r>
      <w:bookmarkEnd w:id="657"/>
      <w:bookmarkEnd w:id="658"/>
      <w:bookmarkEnd w:id="659"/>
      <w:bookmarkEnd w:id="660"/>
      <w:bookmarkEnd w:id="661"/>
      <w:bookmarkEnd w:id="662"/>
      <w:bookmarkEnd w:id="663"/>
      <w:bookmarkEnd w:id="664"/>
    </w:p>
    <w:p w14:paraId="49CC09E5">
      <w:pPr>
        <w:shd w:val="clear"/>
        <w:rPr>
          <w:rFonts w:hint="eastAsia" w:ascii="宋体" w:hAnsi="宋体" w:eastAsia="宋体" w:cs="宋体"/>
          <w:color w:val="auto"/>
          <w:highlight w:val="none"/>
        </w:rPr>
      </w:pPr>
    </w:p>
    <w:p w14:paraId="4CBF68B1">
      <w:pPr>
        <w:shd w:val="clea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投标保证金汇入情况说明</w:t>
      </w:r>
    </w:p>
    <w:p w14:paraId="7D13D0A2">
      <w:pPr>
        <w:shd w:val="clear"/>
        <w:spacing w:line="4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致：</w:t>
      </w:r>
      <w:r>
        <w:rPr>
          <w:rFonts w:hint="eastAsia" w:ascii="宋体" w:hAnsi="宋体" w:cs="宋体"/>
          <w:color w:val="auto"/>
          <w:szCs w:val="21"/>
          <w:highlight w:val="none"/>
          <w:lang w:eastAsia="zh-CN"/>
        </w:rPr>
        <w:t>广州宏达工程顾问集团有限公司</w:t>
      </w:r>
      <w:r>
        <w:rPr>
          <w:rFonts w:hint="eastAsia" w:ascii="宋体" w:hAnsi="宋体" w:eastAsia="宋体" w:cs="宋体"/>
          <w:color w:val="auto"/>
          <w:szCs w:val="21"/>
          <w:highlight w:val="none"/>
        </w:rPr>
        <w:t>：</w:t>
      </w:r>
    </w:p>
    <w:p w14:paraId="2E62C855">
      <w:pPr>
        <w:shd w:val="clear"/>
        <w:spacing w:line="48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本单位已按</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项目（采购项目编号：）的采购文件要求，于年月日前以</w:t>
      </w:r>
      <w:r>
        <w:rPr>
          <w:rFonts w:hint="eastAsia" w:ascii="宋体" w:hAnsi="宋体" w:eastAsia="宋体" w:cs="宋体"/>
          <w:color w:val="auto"/>
          <w:szCs w:val="21"/>
          <w:highlight w:val="none"/>
          <w:u w:val="single"/>
        </w:rPr>
        <w:t xml:space="preserve">           （付款形式）</w:t>
      </w:r>
      <w:r>
        <w:rPr>
          <w:rFonts w:hint="eastAsia" w:ascii="宋体" w:hAnsi="宋体" w:eastAsia="宋体" w:cs="宋体"/>
          <w:color w:val="auto"/>
          <w:szCs w:val="21"/>
          <w:highlight w:val="none"/>
        </w:rPr>
        <w:t>方式汇入指定帐户（帐户名称：</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，帐号：</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,开户银行：</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00A298E6">
      <w:pPr>
        <w:shd w:val="clear"/>
        <w:spacing w:line="48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本单位投标保证金的汇款情况：（详见附件－投标保证金进帐单）</w:t>
      </w:r>
    </w:p>
    <w:p w14:paraId="7D2E7E46">
      <w:pPr>
        <w:shd w:val="clear"/>
        <w:spacing w:line="48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汇出时间：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586D7878">
      <w:pPr>
        <w:shd w:val="clear"/>
        <w:spacing w:line="48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汇款金额：（大写）人民币</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元（小写：￥</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w:t>
      </w:r>
    </w:p>
    <w:p w14:paraId="0CB42894">
      <w:pPr>
        <w:shd w:val="clear"/>
        <w:spacing w:line="48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汇款帐户名称：</w:t>
      </w:r>
      <w:r>
        <w:rPr>
          <w:rFonts w:hint="eastAsia" w:ascii="宋体" w:hAnsi="宋体" w:eastAsia="宋体" w:cs="宋体"/>
          <w:color w:val="auto"/>
          <w:szCs w:val="21"/>
          <w:highlight w:val="none"/>
          <w:u w:val="single"/>
        </w:rPr>
        <w:t xml:space="preserve">  （必须是投标时使用的帐户名）   </w:t>
      </w:r>
    </w:p>
    <w:p w14:paraId="37A9232E">
      <w:pPr>
        <w:shd w:val="clear"/>
        <w:spacing w:line="48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帐        号：</w:t>
      </w:r>
      <w:r>
        <w:rPr>
          <w:rFonts w:hint="eastAsia" w:ascii="宋体" w:hAnsi="宋体" w:eastAsia="宋体" w:cs="宋体"/>
          <w:color w:val="auto"/>
          <w:szCs w:val="21"/>
          <w:highlight w:val="none"/>
          <w:u w:val="single"/>
        </w:rPr>
        <w:t xml:space="preserve">  （必须是投标时使用的帐号）        </w:t>
      </w:r>
    </w:p>
    <w:p w14:paraId="266E52A5">
      <w:pPr>
        <w:shd w:val="clear"/>
        <w:spacing w:line="48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开 户  银 行：</w:t>
      </w:r>
      <w:r>
        <w:rPr>
          <w:rFonts w:hint="eastAsia" w:ascii="宋体" w:hAnsi="宋体" w:eastAsia="宋体" w:cs="宋体"/>
          <w:color w:val="auto"/>
          <w:szCs w:val="21"/>
          <w:highlight w:val="none"/>
          <w:u w:val="single"/>
        </w:rPr>
        <w:t xml:space="preserve">  （  XX 银行 XX 分行 XX 支行   ）</w:t>
      </w:r>
    </w:p>
    <w:p w14:paraId="2D84372E">
      <w:pPr>
        <w:shd w:val="clear"/>
        <w:spacing w:line="48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本单位谨承诺上述资料是正确、真实的，如因上述证明与事实不符导致的一切损失，本单位保证承担赔偿等一切法律责任。</w:t>
      </w:r>
    </w:p>
    <w:p w14:paraId="27396D26">
      <w:pPr>
        <w:shd w:val="clear"/>
        <w:spacing w:line="48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投标保证金退回时，请按上述资料退回。</w:t>
      </w:r>
    </w:p>
    <w:p w14:paraId="02BB3446">
      <w:pPr>
        <w:shd w:val="clear"/>
        <w:spacing w:line="480" w:lineRule="auto"/>
        <w:ind w:right="844" w:rightChars="402"/>
        <w:jc w:val="right"/>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（单位公章）</w:t>
      </w:r>
    </w:p>
    <w:p w14:paraId="2814148B">
      <w:pPr>
        <w:shd w:val="clear"/>
        <w:spacing w:line="480" w:lineRule="auto"/>
        <w:ind w:right="628" w:rightChars="299"/>
        <w:jc w:val="right"/>
        <w:rPr>
          <w:rFonts w:hint="eastAsia" w:ascii="宋体" w:hAnsi="宋体" w:eastAsia="宋体" w:cs="宋体"/>
          <w:color w:val="auto"/>
          <w:szCs w:val="21"/>
          <w:highlight w:val="none"/>
        </w:rPr>
      </w:pPr>
      <w:r>
        <w:rPr>
          <w:rFonts w:hint="eastAsia" w:ascii="宋体" w:hAnsi="宋体" w:eastAsia="宋体" w:cs="宋体"/>
          <w:color w:val="auto"/>
          <w:szCs w:val="21"/>
          <w:highlight w:val="none"/>
        </w:rPr>
        <w:t>年 月 日</w:t>
      </w:r>
    </w:p>
    <w:p w14:paraId="41950E1A">
      <w:pPr>
        <w:shd w:val="clear"/>
        <w:spacing w:line="4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单位名称：</w:t>
      </w:r>
    </w:p>
    <w:p w14:paraId="26F0E2DC">
      <w:pPr>
        <w:shd w:val="clear"/>
        <w:spacing w:line="4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单位地址：</w:t>
      </w:r>
    </w:p>
    <w:p w14:paraId="005DDEFE">
      <w:pPr>
        <w:shd w:val="clear"/>
        <w:spacing w:line="4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联系人：</w:t>
      </w:r>
    </w:p>
    <w:p w14:paraId="48D71A8E">
      <w:pPr>
        <w:shd w:val="clear"/>
        <w:spacing w:line="4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单位电话： 联系人手机：</w:t>
      </w:r>
    </w:p>
    <w:p w14:paraId="2BC94A34">
      <w:pPr>
        <w:shd w:val="clear"/>
        <w:rPr>
          <w:rFonts w:hint="eastAsia" w:ascii="宋体" w:hAnsi="宋体" w:eastAsia="宋体" w:cs="宋体"/>
          <w:color w:val="auto"/>
          <w:szCs w:val="21"/>
          <w:highlight w:val="none"/>
        </w:rPr>
      </w:pPr>
    </w:p>
    <w:p w14:paraId="0126BAA7">
      <w:pPr>
        <w:shd w:val="clear"/>
        <w:spacing w:line="3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103C76D9">
      <w:pPr>
        <w:shd w:val="clear"/>
        <w:spacing w:line="3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附：我方投标保证金汇款凭证</w:t>
      </w:r>
    </w:p>
    <w:tbl>
      <w:tblPr>
        <w:tblStyle w:val="34"/>
        <w:tblW w:w="895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53"/>
      </w:tblGrid>
      <w:tr w14:paraId="33906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9" w:hRule="atLeast"/>
        </w:trPr>
        <w:tc>
          <w:tcPr>
            <w:tcW w:w="8953" w:type="dxa"/>
            <w:vAlign w:val="center"/>
          </w:tcPr>
          <w:p w14:paraId="77BDF1DF">
            <w:pPr>
              <w:shd w:val="clear"/>
              <w:tabs>
                <w:tab w:val="left" w:pos="3885"/>
              </w:tabs>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（粘贴汇款单或转账凭证复印件，并在骑缝上加盖投标人公章，或是直接把转账凭证复印到此张纸上）</w:t>
            </w:r>
          </w:p>
        </w:tc>
      </w:tr>
    </w:tbl>
    <w:p w14:paraId="22505CC3">
      <w:pPr>
        <w:shd w:val="clear"/>
        <w:spacing w:line="48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注：此表既要装订在投标文件中，又要按投标人须知的规定与开标一览表、投标保证金汇款底单复印件及授权委托书一同密封装入唱标信封，唱标信封单独提交。</w:t>
      </w:r>
    </w:p>
    <w:p w14:paraId="773B3E44">
      <w:pPr>
        <w:shd w:val="clear"/>
        <w:rPr>
          <w:rFonts w:hint="eastAsia" w:ascii="宋体" w:hAnsi="宋体" w:eastAsia="宋体" w:cs="宋体"/>
          <w:color w:val="auto"/>
          <w:szCs w:val="21"/>
          <w:highlight w:val="none"/>
        </w:rPr>
      </w:pPr>
    </w:p>
    <w:p w14:paraId="031E1A8D">
      <w:pPr>
        <w:shd w:val="clear"/>
        <w:rPr>
          <w:rFonts w:hint="eastAsia" w:ascii="宋体" w:hAnsi="宋体" w:eastAsia="宋体" w:cs="宋体"/>
          <w:color w:val="auto"/>
          <w:szCs w:val="21"/>
          <w:highlight w:val="none"/>
        </w:rPr>
      </w:pPr>
    </w:p>
    <w:p w14:paraId="2D631F59">
      <w:pPr>
        <w:shd w:val="clear"/>
        <w:rPr>
          <w:rFonts w:hint="eastAsia" w:ascii="宋体" w:hAnsi="宋体" w:eastAsia="宋体" w:cs="宋体"/>
          <w:color w:val="auto"/>
          <w:szCs w:val="21"/>
          <w:highlight w:val="none"/>
        </w:rPr>
      </w:pPr>
    </w:p>
    <w:p w14:paraId="417A6984">
      <w:pPr>
        <w:shd w:val="clear"/>
        <w:rPr>
          <w:rFonts w:hint="eastAsia" w:ascii="宋体" w:hAnsi="宋体" w:eastAsia="宋体" w:cs="宋体"/>
          <w:color w:val="auto"/>
          <w:szCs w:val="21"/>
          <w:highlight w:val="none"/>
        </w:rPr>
      </w:pPr>
    </w:p>
    <w:p w14:paraId="08E4F7D3">
      <w:pPr>
        <w:shd w:val="clear"/>
        <w:rPr>
          <w:rFonts w:hint="eastAsia" w:ascii="宋体" w:hAnsi="宋体" w:eastAsia="宋体" w:cs="宋体"/>
          <w:color w:val="auto"/>
          <w:szCs w:val="21"/>
          <w:highlight w:val="none"/>
        </w:rPr>
      </w:pPr>
    </w:p>
    <w:p w14:paraId="2C4243EE">
      <w:pPr>
        <w:shd w:val="clear"/>
        <w:rPr>
          <w:rFonts w:hint="eastAsia" w:ascii="宋体" w:hAnsi="宋体" w:eastAsia="宋体" w:cs="宋体"/>
          <w:color w:val="auto"/>
          <w:szCs w:val="21"/>
          <w:highlight w:val="none"/>
        </w:rPr>
      </w:pPr>
    </w:p>
    <w:p w14:paraId="00BE800C">
      <w:pPr>
        <w:shd w:val="clear"/>
        <w:rPr>
          <w:rFonts w:hint="eastAsia" w:ascii="宋体" w:hAnsi="宋体" w:eastAsia="宋体" w:cs="宋体"/>
          <w:color w:val="auto"/>
          <w:szCs w:val="21"/>
          <w:highlight w:val="none"/>
        </w:rPr>
      </w:pPr>
    </w:p>
    <w:p w14:paraId="3618219B">
      <w:pPr>
        <w:shd w:val="clear"/>
        <w:rPr>
          <w:rFonts w:hint="eastAsia" w:ascii="宋体" w:hAnsi="宋体" w:eastAsia="宋体" w:cs="宋体"/>
          <w:color w:val="auto"/>
          <w:szCs w:val="21"/>
          <w:highlight w:val="none"/>
        </w:rPr>
      </w:pPr>
    </w:p>
    <w:p w14:paraId="4E6332A6">
      <w:pPr>
        <w:shd w:val="clear"/>
        <w:rPr>
          <w:rFonts w:hint="eastAsia" w:ascii="宋体" w:hAnsi="宋体" w:eastAsia="宋体" w:cs="宋体"/>
          <w:color w:val="auto"/>
          <w:szCs w:val="21"/>
          <w:highlight w:val="none"/>
        </w:rPr>
      </w:pPr>
    </w:p>
    <w:p w14:paraId="30482373">
      <w:pPr>
        <w:shd w:val="clear"/>
        <w:rPr>
          <w:rFonts w:hint="eastAsia" w:ascii="宋体" w:hAnsi="宋体" w:eastAsia="宋体" w:cs="宋体"/>
          <w:color w:val="auto"/>
          <w:szCs w:val="21"/>
          <w:highlight w:val="none"/>
        </w:rPr>
      </w:pPr>
    </w:p>
    <w:p w14:paraId="7882B444">
      <w:pPr>
        <w:shd w:val="clear"/>
        <w:rPr>
          <w:rFonts w:hint="eastAsia" w:ascii="宋体" w:hAnsi="宋体" w:eastAsia="宋体" w:cs="宋体"/>
          <w:color w:val="auto"/>
          <w:szCs w:val="21"/>
          <w:highlight w:val="none"/>
        </w:rPr>
      </w:pPr>
    </w:p>
    <w:p w14:paraId="35E0528A">
      <w:pPr>
        <w:shd w:val="clear"/>
        <w:rPr>
          <w:rFonts w:hint="eastAsia" w:ascii="宋体" w:hAnsi="宋体" w:eastAsia="宋体" w:cs="宋体"/>
          <w:color w:val="auto"/>
          <w:szCs w:val="21"/>
          <w:highlight w:val="none"/>
        </w:rPr>
      </w:pPr>
    </w:p>
    <w:p w14:paraId="3252054A">
      <w:pPr>
        <w:shd w:val="clear"/>
        <w:rPr>
          <w:rFonts w:hint="eastAsia" w:ascii="宋体" w:hAnsi="宋体" w:eastAsia="宋体" w:cs="宋体"/>
          <w:color w:val="auto"/>
          <w:szCs w:val="21"/>
          <w:highlight w:val="none"/>
        </w:rPr>
      </w:pPr>
    </w:p>
    <w:p w14:paraId="4CD4F1D9">
      <w:pPr>
        <w:shd w:val="clear"/>
        <w:rPr>
          <w:rFonts w:hint="eastAsia" w:ascii="宋体" w:hAnsi="宋体" w:eastAsia="宋体" w:cs="宋体"/>
          <w:color w:val="auto"/>
          <w:szCs w:val="21"/>
          <w:highlight w:val="none"/>
        </w:rPr>
      </w:pPr>
    </w:p>
    <w:p w14:paraId="1AF05344">
      <w:pPr>
        <w:shd w:val="clear"/>
        <w:rPr>
          <w:rFonts w:hint="eastAsia" w:ascii="宋体" w:hAnsi="宋体" w:eastAsia="宋体" w:cs="宋体"/>
          <w:color w:val="auto"/>
          <w:szCs w:val="21"/>
          <w:highlight w:val="none"/>
        </w:rPr>
      </w:pPr>
    </w:p>
    <w:p w14:paraId="1091315C">
      <w:pPr>
        <w:shd w:val="clear"/>
        <w:rPr>
          <w:rFonts w:hint="eastAsia" w:ascii="宋体" w:hAnsi="宋体" w:eastAsia="宋体" w:cs="宋体"/>
          <w:color w:val="auto"/>
          <w:szCs w:val="21"/>
          <w:highlight w:val="none"/>
        </w:rPr>
      </w:pPr>
    </w:p>
    <w:p w14:paraId="24028066">
      <w:pPr>
        <w:shd w:val="clear"/>
        <w:rPr>
          <w:rFonts w:hint="eastAsia" w:ascii="宋体" w:hAnsi="宋体" w:eastAsia="宋体" w:cs="宋体"/>
          <w:color w:val="auto"/>
          <w:szCs w:val="21"/>
          <w:highlight w:val="none"/>
        </w:rPr>
      </w:pPr>
    </w:p>
    <w:p w14:paraId="4238EEC4">
      <w:pPr>
        <w:shd w:val="clear"/>
        <w:rPr>
          <w:rFonts w:hint="eastAsia" w:ascii="宋体" w:hAnsi="宋体" w:eastAsia="宋体" w:cs="宋体"/>
          <w:color w:val="auto"/>
          <w:szCs w:val="21"/>
          <w:highlight w:val="none"/>
        </w:rPr>
      </w:pPr>
    </w:p>
    <w:p w14:paraId="067B6130">
      <w:pPr>
        <w:shd w:val="clear"/>
        <w:rPr>
          <w:rFonts w:hint="eastAsia" w:ascii="宋体" w:hAnsi="宋体" w:eastAsia="宋体" w:cs="宋体"/>
          <w:color w:val="auto"/>
          <w:szCs w:val="21"/>
          <w:highlight w:val="none"/>
        </w:rPr>
      </w:pPr>
    </w:p>
    <w:p w14:paraId="268332EC">
      <w:pPr>
        <w:shd w:val="clear"/>
        <w:rPr>
          <w:rFonts w:hint="eastAsia" w:ascii="宋体" w:hAnsi="宋体" w:eastAsia="宋体" w:cs="宋体"/>
          <w:color w:val="auto"/>
          <w:szCs w:val="21"/>
          <w:highlight w:val="none"/>
        </w:rPr>
      </w:pPr>
    </w:p>
    <w:p w14:paraId="3159896C">
      <w:pPr>
        <w:shd w:val="clear"/>
        <w:rPr>
          <w:rFonts w:hint="eastAsia" w:ascii="宋体" w:hAnsi="宋体" w:eastAsia="宋体" w:cs="宋体"/>
          <w:color w:val="auto"/>
          <w:szCs w:val="21"/>
          <w:highlight w:val="none"/>
        </w:rPr>
      </w:pPr>
    </w:p>
    <w:p w14:paraId="4E5C882F">
      <w:pPr>
        <w:pStyle w:val="13"/>
        <w:shd w:val="clear"/>
        <w:rPr>
          <w:rFonts w:hint="eastAsia" w:ascii="宋体" w:hAnsi="宋体" w:eastAsia="宋体" w:cs="宋体"/>
          <w:color w:val="auto"/>
          <w:highlight w:val="none"/>
        </w:rPr>
      </w:pPr>
      <w:bookmarkStart w:id="665" w:name="_Toc1968"/>
    </w:p>
    <w:p w14:paraId="1F704AC2">
      <w:pPr>
        <w:shd w:val="clear"/>
        <w:jc w:val="center"/>
        <w:outlineLvl w:val="1"/>
        <w:rPr>
          <w:rFonts w:hint="eastAsia" w:ascii="宋体" w:hAnsi="宋体" w:eastAsia="宋体" w:cs="宋体"/>
          <w:color w:val="auto"/>
          <w:sz w:val="72"/>
          <w:szCs w:val="72"/>
          <w:highlight w:val="none"/>
        </w:rPr>
      </w:pPr>
      <w:bookmarkStart w:id="666" w:name="_Toc7794"/>
      <w:bookmarkStart w:id="667" w:name="_Toc21573"/>
      <w:bookmarkStart w:id="668" w:name="_Toc11284"/>
      <w:bookmarkStart w:id="669" w:name="_Toc29717"/>
      <w:bookmarkStart w:id="670" w:name="_Toc6432"/>
      <w:bookmarkStart w:id="671" w:name="_Toc16601"/>
      <w:bookmarkStart w:id="672" w:name="_Toc10554"/>
      <w:bookmarkStart w:id="673" w:name="_Toc18574"/>
      <w:r>
        <w:rPr>
          <w:rFonts w:hint="eastAsia" w:ascii="宋体" w:hAnsi="宋体" w:eastAsia="宋体" w:cs="宋体"/>
          <w:color w:val="auto"/>
          <w:sz w:val="72"/>
          <w:szCs w:val="72"/>
          <w:highlight w:val="none"/>
        </w:rPr>
        <w:t>唱标信封</w:t>
      </w:r>
      <w:bookmarkEnd w:id="666"/>
      <w:bookmarkEnd w:id="667"/>
      <w:bookmarkEnd w:id="668"/>
      <w:bookmarkEnd w:id="669"/>
      <w:bookmarkEnd w:id="670"/>
      <w:bookmarkEnd w:id="671"/>
      <w:bookmarkEnd w:id="672"/>
      <w:bookmarkEnd w:id="673"/>
    </w:p>
    <w:p w14:paraId="1A7BB338">
      <w:pPr>
        <w:shd w:val="clear"/>
        <w:jc w:val="center"/>
        <w:rPr>
          <w:rFonts w:hint="eastAsia" w:ascii="宋体" w:hAnsi="宋体" w:eastAsia="宋体" w:cs="宋体"/>
          <w:color w:val="auto"/>
          <w:sz w:val="52"/>
          <w:szCs w:val="52"/>
          <w:highlight w:val="none"/>
        </w:rPr>
      </w:pPr>
      <w:r>
        <w:rPr>
          <w:rFonts w:hint="eastAsia" w:ascii="宋体" w:hAnsi="宋体" w:eastAsia="宋体" w:cs="宋体"/>
          <w:color w:val="auto"/>
          <w:sz w:val="52"/>
          <w:szCs w:val="52"/>
          <w:highlight w:val="none"/>
        </w:rPr>
        <w:t>（单独装订成册，单独封装）</w:t>
      </w:r>
    </w:p>
    <w:p w14:paraId="16CC6AC1">
      <w:pPr>
        <w:shd w:val="clear"/>
        <w:rPr>
          <w:rFonts w:hint="eastAsia" w:ascii="宋体" w:hAnsi="宋体" w:eastAsia="宋体" w:cs="宋体"/>
          <w:color w:val="auto"/>
          <w:highlight w:val="none"/>
        </w:rPr>
      </w:pPr>
    </w:p>
    <w:p w14:paraId="1CF1BE56">
      <w:pPr>
        <w:pStyle w:val="13"/>
        <w:shd w:val="clear"/>
        <w:rPr>
          <w:rFonts w:hint="eastAsia" w:ascii="宋体" w:hAnsi="宋体" w:eastAsia="宋体" w:cs="宋体"/>
          <w:color w:val="auto"/>
          <w:highlight w:val="none"/>
        </w:rPr>
      </w:pPr>
    </w:p>
    <w:p w14:paraId="2503D3B5">
      <w:pPr>
        <w:pStyle w:val="33"/>
        <w:shd w:val="clear"/>
        <w:ind w:firstLine="240"/>
        <w:rPr>
          <w:rFonts w:hint="eastAsia" w:ascii="宋体" w:hAnsi="宋体" w:eastAsia="宋体" w:cs="宋体"/>
          <w:color w:val="auto"/>
          <w:highlight w:val="none"/>
        </w:rPr>
      </w:pPr>
    </w:p>
    <w:p w14:paraId="10121D47">
      <w:pPr>
        <w:pStyle w:val="33"/>
        <w:shd w:val="clear"/>
        <w:ind w:firstLine="240"/>
        <w:rPr>
          <w:rFonts w:hint="eastAsia" w:ascii="宋体" w:hAnsi="宋体" w:eastAsia="宋体" w:cs="宋体"/>
          <w:color w:val="auto"/>
          <w:highlight w:val="none"/>
        </w:rPr>
      </w:pPr>
    </w:p>
    <w:p w14:paraId="512D84D7">
      <w:pPr>
        <w:shd w:val="clear"/>
        <w:rPr>
          <w:rFonts w:hint="eastAsia" w:ascii="宋体" w:hAnsi="宋体" w:eastAsia="宋体" w:cs="宋体"/>
          <w:b/>
          <w:color w:val="auto"/>
          <w:spacing w:val="-6"/>
          <w:sz w:val="32"/>
          <w:szCs w:val="32"/>
          <w:highlight w:val="none"/>
        </w:rPr>
      </w:pPr>
      <w:r>
        <w:rPr>
          <w:rFonts w:hint="eastAsia" w:ascii="宋体" w:hAnsi="宋体" w:eastAsia="宋体" w:cs="宋体"/>
          <w:b/>
          <w:color w:val="auto"/>
          <w:spacing w:val="106"/>
          <w:sz w:val="32"/>
          <w:szCs w:val="32"/>
          <w:highlight w:val="none"/>
        </w:rPr>
        <w:t>项目名</w:t>
      </w:r>
      <w:r>
        <w:rPr>
          <w:rFonts w:hint="eastAsia" w:ascii="宋体" w:hAnsi="宋体" w:eastAsia="宋体" w:cs="宋体"/>
          <w:b/>
          <w:color w:val="auto"/>
          <w:spacing w:val="2"/>
          <w:sz w:val="32"/>
          <w:szCs w:val="32"/>
          <w:highlight w:val="none"/>
        </w:rPr>
        <w:t>称</w:t>
      </w:r>
      <w:r>
        <w:rPr>
          <w:rFonts w:hint="eastAsia" w:ascii="宋体" w:hAnsi="宋体" w:eastAsia="宋体" w:cs="宋体"/>
          <w:b/>
          <w:color w:val="auto"/>
          <w:spacing w:val="-6"/>
          <w:sz w:val="32"/>
          <w:szCs w:val="32"/>
          <w:highlight w:val="none"/>
        </w:rPr>
        <w:t>：</w:t>
      </w:r>
    </w:p>
    <w:p w14:paraId="4E49DBB5">
      <w:pPr>
        <w:shd w:val="clear"/>
        <w:rPr>
          <w:rFonts w:hint="eastAsia" w:ascii="宋体" w:hAnsi="宋体" w:eastAsia="宋体" w:cs="宋体"/>
          <w:b/>
          <w:color w:val="auto"/>
          <w:sz w:val="32"/>
          <w:szCs w:val="32"/>
          <w:highlight w:val="none"/>
        </w:rPr>
      </w:pPr>
      <w:r>
        <w:rPr>
          <w:rFonts w:hint="eastAsia" w:ascii="宋体" w:hAnsi="宋体" w:eastAsia="宋体" w:cs="宋体"/>
          <w:b/>
          <w:color w:val="auto"/>
          <w:spacing w:val="106"/>
          <w:sz w:val="32"/>
          <w:szCs w:val="32"/>
          <w:highlight w:val="none"/>
        </w:rPr>
        <w:t>项目编</w:t>
      </w:r>
      <w:r>
        <w:rPr>
          <w:rFonts w:hint="eastAsia" w:ascii="宋体" w:hAnsi="宋体" w:eastAsia="宋体" w:cs="宋体"/>
          <w:b/>
          <w:color w:val="auto"/>
          <w:spacing w:val="2"/>
          <w:sz w:val="32"/>
          <w:szCs w:val="32"/>
          <w:highlight w:val="none"/>
        </w:rPr>
        <w:t>号</w:t>
      </w:r>
      <w:r>
        <w:rPr>
          <w:rFonts w:hint="eastAsia" w:ascii="宋体" w:hAnsi="宋体" w:eastAsia="宋体" w:cs="宋体"/>
          <w:b/>
          <w:color w:val="auto"/>
          <w:sz w:val="32"/>
          <w:szCs w:val="32"/>
          <w:highlight w:val="none"/>
        </w:rPr>
        <w:t>：</w:t>
      </w:r>
    </w:p>
    <w:p w14:paraId="43D19E20">
      <w:pPr>
        <w:pStyle w:val="13"/>
        <w:shd w:val="clear"/>
        <w:ind w:left="0"/>
        <w:rPr>
          <w:rFonts w:hint="eastAsia" w:ascii="宋体" w:hAnsi="宋体" w:eastAsia="宋体" w:cs="宋体"/>
          <w:b/>
          <w:color w:val="auto"/>
          <w:spacing w:val="106"/>
          <w:sz w:val="32"/>
          <w:szCs w:val="32"/>
          <w:highlight w:val="none"/>
          <w:lang w:val="en-US" w:bidi="ar-SA"/>
        </w:rPr>
      </w:pPr>
      <w:r>
        <w:rPr>
          <w:rFonts w:hint="eastAsia" w:ascii="宋体" w:hAnsi="宋体" w:eastAsia="宋体" w:cs="宋体"/>
          <w:b/>
          <w:color w:val="auto"/>
          <w:spacing w:val="106"/>
          <w:sz w:val="32"/>
          <w:szCs w:val="32"/>
          <w:highlight w:val="none"/>
          <w:lang w:val="en-US" w:bidi="ar-SA"/>
        </w:rPr>
        <w:t>包组号（如有）：</w:t>
      </w:r>
    </w:p>
    <w:p w14:paraId="6D6DBB30">
      <w:pPr>
        <w:shd w:val="clea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投标人名称：</w:t>
      </w:r>
    </w:p>
    <w:p w14:paraId="294A9CBE">
      <w:pPr>
        <w:shd w:val="clear"/>
        <w:rPr>
          <w:rFonts w:hint="eastAsia" w:ascii="宋体" w:hAnsi="宋体" w:eastAsia="宋体" w:cs="宋体"/>
          <w:b/>
          <w:color w:val="auto"/>
          <w:sz w:val="32"/>
          <w:szCs w:val="32"/>
          <w:highlight w:val="none"/>
        </w:rPr>
      </w:pPr>
      <w:r>
        <w:rPr>
          <w:rFonts w:hint="eastAsia" w:ascii="宋体" w:hAnsi="宋体" w:eastAsia="宋体" w:cs="宋体"/>
          <w:b/>
          <w:color w:val="auto"/>
          <w:spacing w:val="64"/>
          <w:sz w:val="32"/>
          <w:szCs w:val="32"/>
          <w:highlight w:val="none"/>
        </w:rPr>
        <w:t xml:space="preserve">日    </w:t>
      </w:r>
      <w:r>
        <w:rPr>
          <w:rFonts w:hint="eastAsia" w:ascii="宋体" w:hAnsi="宋体" w:eastAsia="宋体" w:cs="宋体"/>
          <w:b/>
          <w:color w:val="auto"/>
          <w:sz w:val="32"/>
          <w:szCs w:val="32"/>
          <w:highlight w:val="none"/>
        </w:rPr>
        <w:t>期：</w:t>
      </w:r>
    </w:p>
    <w:p w14:paraId="1D8285E7">
      <w:pPr>
        <w:shd w:val="clear"/>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58264807">
      <w:pPr>
        <w:shd w:val="clear"/>
        <w:rPr>
          <w:rFonts w:hint="eastAsia" w:ascii="宋体" w:hAnsi="宋体" w:eastAsia="宋体" w:cs="宋体"/>
          <w:color w:val="auto"/>
          <w:sz w:val="72"/>
          <w:szCs w:val="72"/>
          <w:highlight w:val="none"/>
        </w:rPr>
        <w:sectPr>
          <w:pgSz w:w="11906" w:h="16838"/>
          <w:pgMar w:top="1440" w:right="1800" w:bottom="1440" w:left="1800" w:header="708" w:footer="708" w:gutter="0"/>
          <w:cols w:space="708" w:num="1"/>
          <w:titlePg/>
          <w:docGrid w:type="lines" w:linePitch="360" w:charSpace="0"/>
        </w:sectPr>
      </w:pPr>
    </w:p>
    <w:bookmarkEnd w:id="665"/>
    <w:p w14:paraId="1CB4E859">
      <w:pPr>
        <w:pStyle w:val="5"/>
        <w:numPr>
          <w:ilvl w:val="255"/>
          <w:numId w:val="0"/>
        </w:numPr>
        <w:shd w:val="clear"/>
        <w:tabs>
          <w:tab w:val="left" w:pos="720"/>
          <w:tab w:val="left" w:pos="3840"/>
        </w:tabs>
        <w:ind w:left="283"/>
        <w:jc w:val="both"/>
        <w:rPr>
          <w:rFonts w:hint="eastAsia" w:ascii="宋体" w:hAnsi="宋体" w:eastAsia="宋体" w:cs="宋体"/>
          <w:color w:val="auto"/>
          <w:sz w:val="21"/>
          <w:szCs w:val="21"/>
          <w:highlight w:val="none"/>
        </w:rPr>
      </w:pPr>
      <w:bookmarkStart w:id="674" w:name="_Toc31837"/>
      <w:bookmarkStart w:id="675" w:name="_Toc11666"/>
      <w:bookmarkStart w:id="676" w:name="_Toc15317"/>
      <w:bookmarkStart w:id="677" w:name="_Toc12955"/>
      <w:bookmarkStart w:id="678" w:name="_Toc32269"/>
      <w:bookmarkStart w:id="679" w:name="_Toc11246"/>
      <w:bookmarkStart w:id="680" w:name="_Toc10359"/>
      <w:bookmarkStart w:id="681" w:name="_Toc31340"/>
      <w:r>
        <w:rPr>
          <w:rFonts w:hint="eastAsia" w:ascii="宋体" w:hAnsi="宋体" w:eastAsia="宋体" w:cs="宋体"/>
          <w:color w:val="auto"/>
          <w:sz w:val="21"/>
          <w:szCs w:val="21"/>
          <w:highlight w:val="none"/>
        </w:rPr>
        <w:t>附件</w:t>
      </w:r>
      <w:r>
        <w:rPr>
          <w:rFonts w:hint="eastAsia" w:ascii="宋体" w:hAnsi="宋体" w:cs="宋体"/>
          <w:color w:val="auto"/>
          <w:sz w:val="21"/>
          <w:szCs w:val="21"/>
          <w:highlight w:val="none"/>
          <w:lang w:val="en-US" w:eastAsia="zh-CN"/>
        </w:rPr>
        <w:t>17</w:t>
      </w:r>
      <w:r>
        <w:rPr>
          <w:rFonts w:hint="eastAsia" w:ascii="宋体" w:hAnsi="宋体" w:eastAsia="宋体" w:cs="宋体"/>
          <w:color w:val="auto"/>
          <w:sz w:val="21"/>
          <w:szCs w:val="21"/>
          <w:highlight w:val="none"/>
        </w:rPr>
        <w:t>.唱标信封内装（内容务必与投标文件正本一致）</w:t>
      </w:r>
      <w:bookmarkEnd w:id="674"/>
      <w:bookmarkEnd w:id="675"/>
      <w:bookmarkEnd w:id="676"/>
      <w:bookmarkEnd w:id="677"/>
      <w:bookmarkEnd w:id="678"/>
      <w:bookmarkEnd w:id="679"/>
      <w:bookmarkEnd w:id="680"/>
      <w:bookmarkEnd w:id="681"/>
    </w:p>
    <w:p w14:paraId="458B3DDE">
      <w:pPr>
        <w:numPr>
          <w:ilvl w:val="0"/>
          <w:numId w:val="15"/>
        </w:numPr>
        <w:shd w:val="clear"/>
        <w:ind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开标一览表</w:t>
      </w:r>
    </w:p>
    <w:p w14:paraId="77CF7FA1">
      <w:pPr>
        <w:numPr>
          <w:ilvl w:val="0"/>
          <w:numId w:val="15"/>
        </w:numPr>
        <w:shd w:val="clear"/>
        <w:ind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法定代表人证明书原件或复印件加盖公章；</w:t>
      </w:r>
    </w:p>
    <w:p w14:paraId="408C441E">
      <w:pPr>
        <w:numPr>
          <w:ilvl w:val="0"/>
          <w:numId w:val="15"/>
        </w:numPr>
        <w:shd w:val="clear"/>
        <w:ind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法定代表人授权委托书原件或复印件加盖公章（法定代表人投标的除外）；</w:t>
      </w:r>
    </w:p>
    <w:p w14:paraId="493FAA25">
      <w:pPr>
        <w:numPr>
          <w:ilvl w:val="0"/>
          <w:numId w:val="15"/>
        </w:numPr>
        <w:shd w:val="clear"/>
        <w:ind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投标保证金汇入情况说明原件（含银行汇款凭证）或复印件加盖公章；</w:t>
      </w:r>
    </w:p>
    <w:p w14:paraId="749E3BA8">
      <w:pPr>
        <w:numPr>
          <w:ilvl w:val="0"/>
          <w:numId w:val="15"/>
        </w:numPr>
        <w:shd w:val="clear"/>
        <w:ind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投标文件电子文件（U盘，须含盖章版PDF投标文件和WORD版投标文件各一版，文字采用WORD文档，计算表格采用 EXCEL文档。）</w:t>
      </w:r>
    </w:p>
    <w:p w14:paraId="3B312B12">
      <w:pPr>
        <w:pStyle w:val="13"/>
        <w:shd w:val="clear"/>
        <w:ind w:left="0" w:leftChars="0" w:firstLine="0" w:firstLineChars="0"/>
        <w:rPr>
          <w:rFonts w:hint="eastAsia" w:ascii="宋体" w:hAnsi="宋体" w:eastAsia="宋体" w:cs="宋体"/>
          <w:color w:val="auto"/>
          <w:highlight w:val="none"/>
        </w:rPr>
      </w:pPr>
    </w:p>
    <w:sectPr>
      <w:pgSz w:w="11906" w:h="16838"/>
      <w:pgMar w:top="1440" w:right="1800" w:bottom="1440" w:left="1800" w:header="708" w:footer="708" w:gutter="0"/>
      <w:cols w:space="708" w:num="1"/>
      <w:titlePg/>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方正书宋简体">
    <w:altName w:val="宋体"/>
    <w:panose1 w:val="02000000000000000000"/>
    <w:charset w:val="86"/>
    <w:family w:val="auto"/>
    <w:pitch w:val="default"/>
    <w:sig w:usb0="00000000" w:usb1="00000000" w:usb2="00000012"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PingFang SC">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Wingdings 2">
    <w:altName w:val="Wingdings"/>
    <w:panose1 w:val="05020102010507070707"/>
    <w:charset w:val="00"/>
    <w:family w:val="auto"/>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6F09B0">
    <w:pPr>
      <w:pStyle w:val="22"/>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1E69B6">
                          <w:pPr>
                            <w:pStyle w:val="22"/>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r>
                            <w:rPr>
                              <w:rFonts w:hint="eastAsia"/>
                            </w:rPr>
                            <w:t xml:space="preserve"> 页 共 </w:t>
                          </w:r>
                          <w:r>
                            <w:fldChar w:fldCharType="begin"/>
                          </w:r>
                          <w:r>
                            <w:instrText xml:space="preserve"> NUMPAGES  \* MERGEFORMAT </w:instrText>
                          </w:r>
                          <w:r>
                            <w:fldChar w:fldCharType="separate"/>
                          </w:r>
                          <w:r>
                            <w:t>185</w:t>
                          </w:r>
                          <w:r>
                            <w:fldChar w:fldCharType="end"/>
                          </w:r>
                          <w:r>
                            <w:rPr>
                              <w:rFonts w:hint="eastAsia"/>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91E69B6">
                    <w:pPr>
                      <w:pStyle w:val="22"/>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r>
                      <w:rPr>
                        <w:rFonts w:hint="eastAsia"/>
                      </w:rPr>
                      <w:t xml:space="preserve"> 页 共 </w:t>
                    </w:r>
                    <w:r>
                      <w:fldChar w:fldCharType="begin"/>
                    </w:r>
                    <w:r>
                      <w:instrText xml:space="preserve"> NUMPAGES  \* MERGEFORMAT </w:instrText>
                    </w:r>
                    <w:r>
                      <w:fldChar w:fldCharType="separate"/>
                    </w:r>
                    <w:r>
                      <w:t>185</w:t>
                    </w:r>
                    <w:r>
                      <w:fldChar w:fldCharType="end"/>
                    </w:r>
                    <w:r>
                      <w:rPr>
                        <w:rFonts w:hint="eastAsia"/>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BF9E43">
    <w:pPr>
      <w:pStyle w:val="2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566A11">
    <w:pPr>
      <w:pStyle w:val="22"/>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4ED578">
                          <w:pPr>
                            <w:pStyle w:val="22"/>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224ED578">
                    <w:pPr>
                      <w:pStyle w:val="22"/>
                    </w:pP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4746E2">
    <w:pPr>
      <w:pStyle w:val="2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088390" cy="1828800"/>
              <wp:effectExtent l="0" t="0" r="0" b="0"/>
              <wp:wrapNone/>
              <wp:docPr id="3" name="文本框 1026"/>
              <wp:cNvGraphicFramePr/>
              <a:graphic xmlns:a="http://schemas.openxmlformats.org/drawingml/2006/main">
                <a:graphicData uri="http://schemas.microsoft.com/office/word/2010/wordprocessingShape">
                  <wps:wsp>
                    <wps:cNvSpPr txBox="1"/>
                    <wps:spPr>
                      <a:xfrm>
                        <a:off x="0" y="0"/>
                        <a:ext cx="1088390" cy="1828800"/>
                      </a:xfrm>
                      <a:prstGeom prst="rect">
                        <a:avLst/>
                      </a:prstGeom>
                      <a:noFill/>
                      <a:ln>
                        <a:noFill/>
                      </a:ln>
                    </wps:spPr>
                    <wps:txbx>
                      <w:txbxContent>
                        <w:p w14:paraId="5DCF3563">
                          <w:pPr>
                            <w:pStyle w:val="22"/>
                            <w:jc w:val="cente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10</w:t>
                          </w:r>
                          <w:r>
                            <w:rPr>
                              <w:rFonts w:hint="eastAsia"/>
                            </w:rPr>
                            <w:fldChar w:fldCharType="end"/>
                          </w:r>
                          <w:r>
                            <w:rPr>
                              <w:rFonts w:hint="eastAsia"/>
                            </w:rPr>
                            <w:t xml:space="preserve"> 页 共 </w:t>
                          </w:r>
                          <w:r>
                            <w:fldChar w:fldCharType="begin"/>
                          </w:r>
                          <w:r>
                            <w:instrText xml:space="preserve"> NUMPAGES  \* MERGEFORMAT </w:instrText>
                          </w:r>
                          <w:r>
                            <w:fldChar w:fldCharType="separate"/>
                          </w:r>
                          <w:r>
                            <w:t>185</w:t>
                          </w:r>
                          <w:r>
                            <w:fldChar w:fldCharType="end"/>
                          </w:r>
                          <w:r>
                            <w:rPr>
                              <w:rFonts w:hint="eastAsia"/>
                            </w:rPr>
                            <w:t xml:space="preserve"> 页</w:t>
                          </w:r>
                        </w:p>
                      </w:txbxContent>
                    </wps:txbx>
                    <wps:bodyPr lIns="0" tIns="0" rIns="0" bIns="0" upright="1">
                      <a:spAutoFit/>
                    </wps:bodyPr>
                  </wps:wsp>
                </a:graphicData>
              </a:graphic>
            </wp:anchor>
          </w:drawing>
        </mc:Choice>
        <mc:Fallback>
          <w:pict>
            <v:shape id="文本框 1026" o:spid="_x0000_s1026" o:spt="202" type="#_x0000_t202" style="position:absolute;left:0pt;margin-top:0pt;height:144pt;width:85.7pt;mso-position-horizontal:center;mso-position-horizontal-relative:margin;z-index:251659264;mso-width-relative:page;mso-height-relative:page;" filled="f" stroked="f" coordsize="21600,21600" o:gfxdata="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Axsfqk0wAAAAUBAAAPAAAAAAAAAAEAIAAAACIAAABkcnMvZG93bnJl&#10;di54bWxQSwECFAAUAAAACACHTuJARcufEMkBAACQAwAADgAAAAAAAAABACAAAAAiAQAAZHJzL2Uy&#10;b0RvYy54bWxQSwUGAAAAAAYABgBZAQAAXQUAAAAA&#10;">
              <v:fill on="f" focussize="0,0"/>
              <v:stroke on="f"/>
              <v:imagedata o:title=""/>
              <o:lock v:ext="edit" aspectratio="f"/>
              <v:textbox inset="0mm,0mm,0mm,0mm" style="mso-fit-shape-to-text:t;">
                <w:txbxContent>
                  <w:p w14:paraId="5DCF3563">
                    <w:pPr>
                      <w:pStyle w:val="22"/>
                      <w:jc w:val="cente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10</w:t>
                    </w:r>
                    <w:r>
                      <w:rPr>
                        <w:rFonts w:hint="eastAsia"/>
                      </w:rPr>
                      <w:fldChar w:fldCharType="end"/>
                    </w:r>
                    <w:r>
                      <w:rPr>
                        <w:rFonts w:hint="eastAsia"/>
                      </w:rPr>
                      <w:t xml:space="preserve"> 页 共 </w:t>
                    </w:r>
                    <w:r>
                      <w:fldChar w:fldCharType="begin"/>
                    </w:r>
                    <w:r>
                      <w:instrText xml:space="preserve"> NUMPAGES  \* MERGEFORMAT </w:instrText>
                    </w:r>
                    <w:r>
                      <w:fldChar w:fldCharType="separate"/>
                    </w:r>
                    <w:r>
                      <w:t>185</w:t>
                    </w:r>
                    <w:r>
                      <w:fldChar w:fldCharType="end"/>
                    </w:r>
                    <w:r>
                      <w:rPr>
                        <w:rFonts w:hint="eastAsia"/>
                      </w:rP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2DCE01">
    <w:pPr>
      <w:pStyle w:val="2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50620" cy="1828800"/>
              <wp:effectExtent l="0" t="0" r="0" b="0"/>
              <wp:wrapNone/>
              <wp:docPr id="4" name="文本框 1025"/>
              <wp:cNvGraphicFramePr/>
              <a:graphic xmlns:a="http://schemas.openxmlformats.org/drawingml/2006/main">
                <a:graphicData uri="http://schemas.microsoft.com/office/word/2010/wordprocessingShape">
                  <wps:wsp>
                    <wps:cNvSpPr txBox="1"/>
                    <wps:spPr>
                      <a:xfrm>
                        <a:off x="0" y="0"/>
                        <a:ext cx="1150620" cy="1828800"/>
                      </a:xfrm>
                      <a:prstGeom prst="rect">
                        <a:avLst/>
                      </a:prstGeom>
                      <a:noFill/>
                      <a:ln>
                        <a:noFill/>
                      </a:ln>
                    </wps:spPr>
                    <wps:txbx>
                      <w:txbxContent>
                        <w:p w14:paraId="136CF7A6">
                          <w:pPr>
                            <w:pStyle w:val="22"/>
                            <w:jc w:val="cente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 共 </w:t>
                          </w:r>
                          <w:r>
                            <w:fldChar w:fldCharType="begin"/>
                          </w:r>
                          <w:r>
                            <w:instrText xml:space="preserve"> NUMPAGES  \* MERGEFORMAT </w:instrText>
                          </w:r>
                          <w:r>
                            <w:fldChar w:fldCharType="separate"/>
                          </w:r>
                          <w:r>
                            <w:t>185</w:t>
                          </w:r>
                          <w:r>
                            <w:fldChar w:fldCharType="end"/>
                          </w:r>
                          <w:r>
                            <w:rPr>
                              <w:rFonts w:hint="eastAsia"/>
                            </w:rPr>
                            <w:t xml:space="preserve"> 页</w:t>
                          </w:r>
                        </w:p>
                      </w:txbxContent>
                    </wps:txbx>
                    <wps:bodyPr lIns="0" tIns="0" rIns="0" bIns="0" upright="1">
                      <a:spAutoFit/>
                    </wps:bodyPr>
                  </wps:wsp>
                </a:graphicData>
              </a:graphic>
            </wp:anchor>
          </w:drawing>
        </mc:Choice>
        <mc:Fallback>
          <w:pict>
            <v:shape id="文本框 1025" o:spid="_x0000_s1026" o:spt="202" type="#_x0000_t202" style="position:absolute;left:0pt;margin-top:0pt;height:144pt;width:90.6pt;mso-position-horizontal:center;mso-position-horizontal-relative:margin;z-index:251660288;mso-width-relative:page;mso-height-relative:page;" filled="f" stroked="f" coordsize="21600,21600" o:gfxdata="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EYIEizSAAAABQEAAA8AAAAAAAAAAQAgAAAAIgAAAGRycy9kb3ducmV2&#10;LnhtbFBLAQIUABQAAAAIAIdO4kB4R5WwyQEAAJADAAAOAAAAAAAAAAEAIAAAACEBAABkcnMvZTJv&#10;RG9jLnhtbFBLBQYAAAAABgAGAFkBAABcBQAAAAA=&#10;">
              <v:fill on="f" focussize="0,0"/>
              <v:stroke on="f"/>
              <v:imagedata o:title=""/>
              <o:lock v:ext="edit" aspectratio="f"/>
              <v:textbox inset="0mm,0mm,0mm,0mm" style="mso-fit-shape-to-text:t;">
                <w:txbxContent>
                  <w:p w14:paraId="136CF7A6">
                    <w:pPr>
                      <w:pStyle w:val="22"/>
                      <w:jc w:val="cente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 共 </w:t>
                    </w:r>
                    <w:r>
                      <w:fldChar w:fldCharType="begin"/>
                    </w:r>
                    <w:r>
                      <w:instrText xml:space="preserve"> NUMPAGES  \* MERGEFORMAT </w:instrText>
                    </w:r>
                    <w:r>
                      <w:fldChar w:fldCharType="separate"/>
                    </w:r>
                    <w:r>
                      <w:t>185</w:t>
                    </w:r>
                    <w:r>
                      <w:fldChar w:fldCharType="end"/>
                    </w:r>
                    <w:r>
                      <w:rPr>
                        <w:rFonts w:hint="eastAsia"/>
                      </w:rP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5F4F76">
    <w:pPr>
      <w:pStyle w:val="2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7AE47">
    <w:pPr>
      <w:pStyle w:val="23"/>
      <w:pBdr>
        <w:bottom w:val="thickThinLargeGap" w:color="auto" w:sz="4" w:space="1"/>
      </w:pBdr>
      <w:wordWrap w:val="0"/>
      <w:jc w:val="right"/>
      <w:rPr>
        <w:bCs/>
        <w:sz w:val="21"/>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794D7">
    <w:pPr>
      <w:pStyle w:val="2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C4F3D">
    <w:pPr>
      <w:pStyle w:val="2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0403FF"/>
    <w:multiLevelType w:val="singleLevel"/>
    <w:tmpl w:val="870403FF"/>
    <w:lvl w:ilvl="0" w:tentative="0">
      <w:start w:val="1"/>
      <w:numFmt w:val="decimal"/>
      <w:suff w:val="nothing"/>
      <w:lvlText w:val="%1．"/>
      <w:lvlJc w:val="left"/>
      <w:pPr>
        <w:ind w:left="0" w:firstLine="400"/>
      </w:pPr>
      <w:rPr>
        <w:rFonts w:hint="default"/>
      </w:rPr>
    </w:lvl>
  </w:abstractNum>
  <w:abstractNum w:abstractNumId="1">
    <w:nsid w:val="C9555E15"/>
    <w:multiLevelType w:val="singleLevel"/>
    <w:tmpl w:val="C9555E15"/>
    <w:lvl w:ilvl="0" w:tentative="0">
      <w:start w:val="1"/>
      <w:numFmt w:val="decimal"/>
      <w:lvlText w:val="(%1)"/>
      <w:lvlJc w:val="left"/>
      <w:pPr>
        <w:ind w:left="425" w:hanging="425"/>
      </w:pPr>
      <w:rPr>
        <w:rFonts w:hint="default"/>
      </w:rPr>
    </w:lvl>
  </w:abstractNum>
  <w:abstractNum w:abstractNumId="2">
    <w:nsid w:val="CFF174A5"/>
    <w:multiLevelType w:val="singleLevel"/>
    <w:tmpl w:val="CFF174A5"/>
    <w:lvl w:ilvl="0" w:tentative="0">
      <w:start w:val="1"/>
      <w:numFmt w:val="decimal"/>
      <w:suff w:val="nothing"/>
      <w:lvlText w:val="%1、"/>
      <w:lvlJc w:val="left"/>
    </w:lvl>
  </w:abstractNum>
  <w:abstractNum w:abstractNumId="3">
    <w:nsid w:val="D0047B7E"/>
    <w:multiLevelType w:val="singleLevel"/>
    <w:tmpl w:val="D0047B7E"/>
    <w:lvl w:ilvl="0" w:tentative="0">
      <w:start w:val="1"/>
      <w:numFmt w:val="decimal"/>
      <w:suff w:val="nothing"/>
      <w:lvlText w:val="%1、"/>
      <w:lvlJc w:val="left"/>
    </w:lvl>
  </w:abstractNum>
  <w:abstractNum w:abstractNumId="4">
    <w:nsid w:val="DCC6A5A7"/>
    <w:multiLevelType w:val="singleLevel"/>
    <w:tmpl w:val="DCC6A5A7"/>
    <w:lvl w:ilvl="0" w:tentative="0">
      <w:start w:val="1"/>
      <w:numFmt w:val="upperLetter"/>
      <w:lvlText w:val="%1."/>
      <w:lvlJc w:val="left"/>
      <w:pPr>
        <w:ind w:left="425" w:hanging="425"/>
      </w:pPr>
      <w:rPr>
        <w:rFonts w:hint="default"/>
      </w:rPr>
    </w:lvl>
  </w:abstractNum>
  <w:abstractNum w:abstractNumId="5">
    <w:nsid w:val="00000005"/>
    <w:multiLevelType w:val="multilevel"/>
    <w:tmpl w:val="00000005"/>
    <w:lvl w:ilvl="0" w:tentative="0">
      <w:start w:val="1"/>
      <w:numFmt w:val="decimal"/>
      <w:lvlText w:val="%1."/>
      <w:lvlJc w:val="left"/>
      <w:pPr>
        <w:tabs>
          <w:tab w:val="left" w:pos="0"/>
        </w:tabs>
        <w:ind w:left="0" w:firstLine="420"/>
      </w:pPr>
      <w:rPr>
        <w:rFonts w:hint="default"/>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0000025"/>
    <w:multiLevelType w:val="multilevel"/>
    <w:tmpl w:val="00000025"/>
    <w:lvl w:ilvl="0" w:tentative="0">
      <w:start w:val="1"/>
      <w:numFmt w:val="decimal"/>
      <w:lvlText w:val="%1"/>
      <w:lvlJc w:val="left"/>
      <w:pPr>
        <w:tabs>
          <w:tab w:val="left" w:pos="420"/>
        </w:tabs>
        <w:ind w:left="630" w:hanging="420"/>
      </w:pPr>
      <w:rPr>
        <w:rFonts w:hint="default"/>
        <w:u w:val="none"/>
      </w:rPr>
    </w:lvl>
    <w:lvl w:ilvl="1" w:tentative="0">
      <w:start w:val="1"/>
      <w:numFmt w:val="lowerLetter"/>
      <w:lvlText w:val="%2)"/>
      <w:lvlJc w:val="left"/>
      <w:pPr>
        <w:tabs>
          <w:tab w:val="left" w:pos="840"/>
        </w:tabs>
        <w:ind w:left="1050" w:hanging="420"/>
      </w:pPr>
      <w:rPr>
        <w:rFonts w:hint="default"/>
        <w:u w:val="none"/>
      </w:rPr>
    </w:lvl>
    <w:lvl w:ilvl="2" w:tentative="0">
      <w:start w:val="1"/>
      <w:numFmt w:val="lowerRoman"/>
      <w:lvlText w:val="%3."/>
      <w:lvlJc w:val="right"/>
      <w:pPr>
        <w:tabs>
          <w:tab w:val="left" w:pos="1260"/>
        </w:tabs>
        <w:ind w:left="1470" w:hanging="420"/>
      </w:pPr>
      <w:rPr>
        <w:rFonts w:hint="default"/>
        <w:u w:val="none"/>
      </w:rPr>
    </w:lvl>
    <w:lvl w:ilvl="3" w:tentative="0">
      <w:start w:val="1"/>
      <w:numFmt w:val="decimal"/>
      <w:lvlText w:val="%4."/>
      <w:lvlJc w:val="left"/>
      <w:pPr>
        <w:tabs>
          <w:tab w:val="left" w:pos="1680"/>
        </w:tabs>
        <w:ind w:left="1890" w:hanging="420"/>
      </w:pPr>
      <w:rPr>
        <w:rFonts w:hint="default"/>
        <w:u w:val="none"/>
      </w:rPr>
    </w:lvl>
    <w:lvl w:ilvl="4" w:tentative="0">
      <w:start w:val="1"/>
      <w:numFmt w:val="lowerLetter"/>
      <w:lvlText w:val="%5)"/>
      <w:lvlJc w:val="left"/>
      <w:pPr>
        <w:tabs>
          <w:tab w:val="left" w:pos="2100"/>
        </w:tabs>
        <w:ind w:left="2310" w:hanging="420"/>
      </w:pPr>
      <w:rPr>
        <w:rFonts w:hint="default"/>
        <w:u w:val="none"/>
      </w:rPr>
    </w:lvl>
    <w:lvl w:ilvl="5" w:tentative="0">
      <w:start w:val="1"/>
      <w:numFmt w:val="lowerRoman"/>
      <w:lvlText w:val="%6."/>
      <w:lvlJc w:val="right"/>
      <w:pPr>
        <w:tabs>
          <w:tab w:val="left" w:pos="2520"/>
        </w:tabs>
        <w:ind w:left="2730" w:hanging="420"/>
      </w:pPr>
      <w:rPr>
        <w:rFonts w:hint="default"/>
        <w:u w:val="none"/>
      </w:rPr>
    </w:lvl>
    <w:lvl w:ilvl="6" w:tentative="0">
      <w:start w:val="1"/>
      <w:numFmt w:val="decimal"/>
      <w:lvlText w:val="%7."/>
      <w:lvlJc w:val="left"/>
      <w:pPr>
        <w:tabs>
          <w:tab w:val="left" w:pos="2940"/>
        </w:tabs>
        <w:ind w:left="3150" w:hanging="420"/>
      </w:pPr>
      <w:rPr>
        <w:rFonts w:hint="default"/>
        <w:u w:val="none"/>
      </w:rPr>
    </w:lvl>
    <w:lvl w:ilvl="7" w:tentative="0">
      <w:start w:val="1"/>
      <w:numFmt w:val="lowerLetter"/>
      <w:lvlText w:val="%8)"/>
      <w:lvlJc w:val="left"/>
      <w:pPr>
        <w:tabs>
          <w:tab w:val="left" w:pos="3360"/>
        </w:tabs>
        <w:ind w:left="3570" w:hanging="420"/>
      </w:pPr>
      <w:rPr>
        <w:rFonts w:hint="default"/>
        <w:u w:val="none"/>
      </w:rPr>
    </w:lvl>
    <w:lvl w:ilvl="8" w:tentative="0">
      <w:start w:val="1"/>
      <w:numFmt w:val="lowerRoman"/>
      <w:lvlText w:val="%9."/>
      <w:lvlJc w:val="right"/>
      <w:pPr>
        <w:tabs>
          <w:tab w:val="left" w:pos="3780"/>
        </w:tabs>
        <w:ind w:left="3990" w:hanging="420"/>
      </w:pPr>
      <w:rPr>
        <w:rFonts w:hint="default"/>
        <w:u w:val="none"/>
      </w:rPr>
    </w:lvl>
  </w:abstractNum>
  <w:abstractNum w:abstractNumId="7">
    <w:nsid w:val="0770DDC9"/>
    <w:multiLevelType w:val="singleLevel"/>
    <w:tmpl w:val="0770DDC9"/>
    <w:lvl w:ilvl="0" w:tentative="0">
      <w:start w:val="1"/>
      <w:numFmt w:val="decimal"/>
      <w:suff w:val="nothing"/>
      <w:lvlText w:val="%1．"/>
      <w:lvlJc w:val="left"/>
      <w:pPr>
        <w:ind w:left="0" w:firstLine="400"/>
      </w:pPr>
      <w:rPr>
        <w:rFonts w:hint="default" w:ascii="Tahoma" w:hAnsi="Tahoma" w:cs="Tahoma"/>
      </w:rPr>
    </w:lvl>
  </w:abstractNum>
  <w:abstractNum w:abstractNumId="8">
    <w:nsid w:val="13387DFE"/>
    <w:multiLevelType w:val="multilevel"/>
    <w:tmpl w:val="13387DFE"/>
    <w:lvl w:ilvl="0" w:tentative="0">
      <w:start w:val="1"/>
      <w:numFmt w:val="decimal"/>
      <w:lvlText w:val="%1."/>
      <w:lvlJc w:val="left"/>
      <w:pPr>
        <w:tabs>
          <w:tab w:val="left" w:pos="425"/>
        </w:tabs>
        <w:ind w:left="425" w:hanging="425"/>
      </w:pPr>
      <w:rPr>
        <w:rFonts w:hint="eastAsia" w:ascii="宋体" w:hAnsi="宋体" w:eastAsia="宋体"/>
      </w:rPr>
    </w:lvl>
    <w:lvl w:ilvl="1" w:tentative="0">
      <w:start w:val="1"/>
      <w:numFmt w:val="decimal"/>
      <w:lvlText w:val="%1.%2."/>
      <w:lvlJc w:val="left"/>
      <w:pPr>
        <w:tabs>
          <w:tab w:val="left" w:pos="567"/>
        </w:tabs>
        <w:ind w:left="567" w:hanging="567"/>
      </w:pPr>
      <w:rPr>
        <w:rFonts w:hint="eastAsia" w:ascii="宋体" w:hAnsi="宋体" w:eastAsia="宋体"/>
        <w:color w:val="auto"/>
      </w:rPr>
    </w:lvl>
    <w:lvl w:ilvl="2" w:tentative="0">
      <w:start w:val="1"/>
      <w:numFmt w:val="decimal"/>
      <w:lvlText w:val="%1.%2.%3."/>
      <w:lvlJc w:val="left"/>
      <w:pPr>
        <w:tabs>
          <w:tab w:val="left" w:pos="794"/>
        </w:tabs>
        <w:ind w:left="794" w:hanging="794"/>
      </w:pPr>
      <w:rPr>
        <w:rFonts w:hint="eastAsia" w:ascii="宋体" w:hAnsi="宋体" w:eastAsia="宋体"/>
      </w:rPr>
    </w:lvl>
    <w:lvl w:ilvl="3" w:tentative="0">
      <w:start w:val="1"/>
      <w:numFmt w:val="decimal"/>
      <w:lvlText w:val="%1.%2.%3.%4."/>
      <w:lvlJc w:val="left"/>
      <w:pPr>
        <w:tabs>
          <w:tab w:val="left" w:pos="454"/>
        </w:tabs>
        <w:ind w:left="1021" w:hanging="1021"/>
      </w:pPr>
      <w:rPr>
        <w:rFonts w:hint="eastAsia" w:ascii="宋体" w:hAnsi="宋体" w:eastAsia="宋体"/>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9">
    <w:nsid w:val="20D2348B"/>
    <w:multiLevelType w:val="singleLevel"/>
    <w:tmpl w:val="20D2348B"/>
    <w:lvl w:ilvl="0" w:tentative="0">
      <w:start w:val="1"/>
      <w:numFmt w:val="chineseCounting"/>
      <w:suff w:val="nothing"/>
      <w:lvlText w:val="（%1）"/>
      <w:lvlJc w:val="left"/>
      <w:rPr>
        <w:rFonts w:hint="eastAsia"/>
      </w:rPr>
    </w:lvl>
  </w:abstractNum>
  <w:abstractNum w:abstractNumId="10">
    <w:nsid w:val="27F49B4B"/>
    <w:multiLevelType w:val="multilevel"/>
    <w:tmpl w:val="27F49B4B"/>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566" w:hanging="566"/>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1">
    <w:nsid w:val="3F88662E"/>
    <w:multiLevelType w:val="singleLevel"/>
    <w:tmpl w:val="3F88662E"/>
    <w:lvl w:ilvl="0" w:tentative="0">
      <w:start w:val="1"/>
      <w:numFmt w:val="decimal"/>
      <w:suff w:val="space"/>
      <w:lvlText w:val="%1)"/>
      <w:lvlJc w:val="left"/>
    </w:lvl>
  </w:abstractNum>
  <w:abstractNum w:abstractNumId="12">
    <w:nsid w:val="580745EB"/>
    <w:multiLevelType w:val="multilevel"/>
    <w:tmpl w:val="580745EB"/>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59C5D728"/>
    <w:multiLevelType w:val="singleLevel"/>
    <w:tmpl w:val="59C5D728"/>
    <w:lvl w:ilvl="0" w:tentative="0">
      <w:start w:val="1"/>
      <w:numFmt w:val="chineseCounting"/>
      <w:suff w:val="nothing"/>
      <w:lvlText w:val="%1、"/>
      <w:lvlJc w:val="left"/>
      <w:pPr>
        <w:ind w:left="0" w:firstLine="420"/>
      </w:pPr>
      <w:rPr>
        <w:rFonts w:hint="eastAsia"/>
      </w:rPr>
    </w:lvl>
  </w:abstractNum>
  <w:abstractNum w:abstractNumId="14">
    <w:nsid w:val="5D1539A1"/>
    <w:multiLevelType w:val="multilevel"/>
    <w:tmpl w:val="5D1539A1"/>
    <w:lvl w:ilvl="0" w:tentative="0">
      <w:start w:val="1"/>
      <w:numFmt w:val="decimal"/>
      <w:lvlText w:val="（%1）"/>
      <w:lvlJc w:val="left"/>
      <w:pPr>
        <w:ind w:left="1287" w:hanging="720"/>
      </w:pPr>
      <w:rPr>
        <w:rFonts w:hint="default"/>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num w:numId="1">
    <w:abstractNumId w:val="4"/>
  </w:num>
  <w:num w:numId="2">
    <w:abstractNumId w:val="12"/>
  </w:num>
  <w:num w:numId="3">
    <w:abstractNumId w:val="10"/>
  </w:num>
  <w:num w:numId="4">
    <w:abstractNumId w:val="14"/>
  </w:num>
  <w:num w:numId="5">
    <w:abstractNumId w:val="11"/>
  </w:num>
  <w:num w:numId="6">
    <w:abstractNumId w:val="6"/>
  </w:num>
  <w:num w:numId="7">
    <w:abstractNumId w:val="1"/>
  </w:num>
  <w:num w:numId="8">
    <w:abstractNumId w:val="8"/>
  </w:num>
  <w:num w:numId="9">
    <w:abstractNumId w:val="0"/>
  </w:num>
  <w:num w:numId="10">
    <w:abstractNumId w:val="7"/>
  </w:num>
  <w:num w:numId="11">
    <w:abstractNumId w:val="2"/>
  </w:num>
  <w:num w:numId="12">
    <w:abstractNumId w:val="5"/>
  </w:num>
  <w:num w:numId="13">
    <w:abstractNumId w:val="9"/>
  </w:num>
  <w:num w:numId="14">
    <w:abstractNumId w:val="3"/>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hideSpellingErrors/>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JmYTcxOGNiM2ZkYmE4NGQxMGFlNzY3YmY3OGQ0ZGMifQ=="/>
  </w:docVars>
  <w:rsids>
    <w:rsidRoot w:val="00000000"/>
    <w:rsid w:val="00010A75"/>
    <w:rsid w:val="009D213F"/>
    <w:rsid w:val="027C7A27"/>
    <w:rsid w:val="02B47472"/>
    <w:rsid w:val="03106E5D"/>
    <w:rsid w:val="0345496C"/>
    <w:rsid w:val="03577A2F"/>
    <w:rsid w:val="03B421F8"/>
    <w:rsid w:val="042A0CA0"/>
    <w:rsid w:val="04461F7D"/>
    <w:rsid w:val="04BE3343"/>
    <w:rsid w:val="050745CD"/>
    <w:rsid w:val="05B22BB1"/>
    <w:rsid w:val="05C14001"/>
    <w:rsid w:val="06936492"/>
    <w:rsid w:val="070F6451"/>
    <w:rsid w:val="07D35C08"/>
    <w:rsid w:val="08D54138"/>
    <w:rsid w:val="097430E9"/>
    <w:rsid w:val="09DB3168"/>
    <w:rsid w:val="09E3671C"/>
    <w:rsid w:val="0A20241B"/>
    <w:rsid w:val="0A69562E"/>
    <w:rsid w:val="0BAB6D89"/>
    <w:rsid w:val="0C3F6A14"/>
    <w:rsid w:val="0C810882"/>
    <w:rsid w:val="0CBE467B"/>
    <w:rsid w:val="0CD25E17"/>
    <w:rsid w:val="0D0A454A"/>
    <w:rsid w:val="0D1745C6"/>
    <w:rsid w:val="0D333817"/>
    <w:rsid w:val="0F5E39FA"/>
    <w:rsid w:val="0F803E6A"/>
    <w:rsid w:val="0FBD50BE"/>
    <w:rsid w:val="10863702"/>
    <w:rsid w:val="108E0322"/>
    <w:rsid w:val="10B82908"/>
    <w:rsid w:val="115012ED"/>
    <w:rsid w:val="12353CC8"/>
    <w:rsid w:val="134F2255"/>
    <w:rsid w:val="138E1DD1"/>
    <w:rsid w:val="13966E30"/>
    <w:rsid w:val="14A2371D"/>
    <w:rsid w:val="14AF76CB"/>
    <w:rsid w:val="15724254"/>
    <w:rsid w:val="15926D5C"/>
    <w:rsid w:val="15AF0518"/>
    <w:rsid w:val="161F618A"/>
    <w:rsid w:val="16476BB6"/>
    <w:rsid w:val="16493B00"/>
    <w:rsid w:val="1695644C"/>
    <w:rsid w:val="16AE3364"/>
    <w:rsid w:val="16BD18EB"/>
    <w:rsid w:val="16C96670"/>
    <w:rsid w:val="16FF4BD6"/>
    <w:rsid w:val="1767603B"/>
    <w:rsid w:val="179E7952"/>
    <w:rsid w:val="180D05DB"/>
    <w:rsid w:val="194C1D57"/>
    <w:rsid w:val="19C635C8"/>
    <w:rsid w:val="19CE650B"/>
    <w:rsid w:val="1A0C2EC9"/>
    <w:rsid w:val="1A2B150A"/>
    <w:rsid w:val="1A3F1F97"/>
    <w:rsid w:val="1B8B7F6F"/>
    <w:rsid w:val="1C722735"/>
    <w:rsid w:val="1D482B2D"/>
    <w:rsid w:val="1DBB3C81"/>
    <w:rsid w:val="1E5B2EFF"/>
    <w:rsid w:val="1E8333D9"/>
    <w:rsid w:val="1ECE5E00"/>
    <w:rsid w:val="1EFF124F"/>
    <w:rsid w:val="1F022C15"/>
    <w:rsid w:val="1F6F439F"/>
    <w:rsid w:val="1FDA4F3D"/>
    <w:rsid w:val="20065EBC"/>
    <w:rsid w:val="20F2790B"/>
    <w:rsid w:val="2146156F"/>
    <w:rsid w:val="21F11323"/>
    <w:rsid w:val="22CF0997"/>
    <w:rsid w:val="232604FD"/>
    <w:rsid w:val="23476D7D"/>
    <w:rsid w:val="245A4297"/>
    <w:rsid w:val="2534382D"/>
    <w:rsid w:val="25EA5DC0"/>
    <w:rsid w:val="25EB1370"/>
    <w:rsid w:val="26A76454"/>
    <w:rsid w:val="26B0053D"/>
    <w:rsid w:val="274E287A"/>
    <w:rsid w:val="275A1EEC"/>
    <w:rsid w:val="276F1C0A"/>
    <w:rsid w:val="281B79CD"/>
    <w:rsid w:val="2827226D"/>
    <w:rsid w:val="288F77E2"/>
    <w:rsid w:val="28BF422F"/>
    <w:rsid w:val="28CB21A2"/>
    <w:rsid w:val="2902385C"/>
    <w:rsid w:val="290C6959"/>
    <w:rsid w:val="29DA6453"/>
    <w:rsid w:val="2A13795C"/>
    <w:rsid w:val="2A247694"/>
    <w:rsid w:val="2A3917C4"/>
    <w:rsid w:val="2A7E3808"/>
    <w:rsid w:val="2A9450DD"/>
    <w:rsid w:val="2AB0440E"/>
    <w:rsid w:val="2ACC13D8"/>
    <w:rsid w:val="2B2938C0"/>
    <w:rsid w:val="2B7D50B1"/>
    <w:rsid w:val="2B9B27DC"/>
    <w:rsid w:val="2BB6497A"/>
    <w:rsid w:val="2C5369CD"/>
    <w:rsid w:val="2C6D68FF"/>
    <w:rsid w:val="2CA770A1"/>
    <w:rsid w:val="2D3F5568"/>
    <w:rsid w:val="2DB73DD3"/>
    <w:rsid w:val="2E1F57EC"/>
    <w:rsid w:val="2F1328BD"/>
    <w:rsid w:val="2F312A47"/>
    <w:rsid w:val="2FA572A9"/>
    <w:rsid w:val="2FEC137B"/>
    <w:rsid w:val="30405414"/>
    <w:rsid w:val="308B31A1"/>
    <w:rsid w:val="30F156C1"/>
    <w:rsid w:val="31230DCD"/>
    <w:rsid w:val="31371EE7"/>
    <w:rsid w:val="31D414C9"/>
    <w:rsid w:val="31F05A10"/>
    <w:rsid w:val="31FB155F"/>
    <w:rsid w:val="32793317"/>
    <w:rsid w:val="32801B67"/>
    <w:rsid w:val="32BB41B2"/>
    <w:rsid w:val="32BC5D61"/>
    <w:rsid w:val="32E77EE5"/>
    <w:rsid w:val="33301D0B"/>
    <w:rsid w:val="33533DD3"/>
    <w:rsid w:val="33883435"/>
    <w:rsid w:val="34111321"/>
    <w:rsid w:val="347B2EF7"/>
    <w:rsid w:val="34BD32E6"/>
    <w:rsid w:val="34EB5C5E"/>
    <w:rsid w:val="353E7E05"/>
    <w:rsid w:val="361433DA"/>
    <w:rsid w:val="36F2720B"/>
    <w:rsid w:val="37636C46"/>
    <w:rsid w:val="38B42180"/>
    <w:rsid w:val="391E6420"/>
    <w:rsid w:val="39CD7B28"/>
    <w:rsid w:val="3B5215EF"/>
    <w:rsid w:val="3B807F2C"/>
    <w:rsid w:val="3C3C1402"/>
    <w:rsid w:val="3C5C33E5"/>
    <w:rsid w:val="3C7324DC"/>
    <w:rsid w:val="3D235CB1"/>
    <w:rsid w:val="3D267A9F"/>
    <w:rsid w:val="3D9F4085"/>
    <w:rsid w:val="3E0E6961"/>
    <w:rsid w:val="3E262C09"/>
    <w:rsid w:val="3EB63D23"/>
    <w:rsid w:val="3F2746FF"/>
    <w:rsid w:val="3F9C5D55"/>
    <w:rsid w:val="400D09FF"/>
    <w:rsid w:val="401D2E8B"/>
    <w:rsid w:val="402569CB"/>
    <w:rsid w:val="40596D98"/>
    <w:rsid w:val="40642868"/>
    <w:rsid w:val="40E02AF3"/>
    <w:rsid w:val="41232435"/>
    <w:rsid w:val="41432097"/>
    <w:rsid w:val="41706BB5"/>
    <w:rsid w:val="42017D49"/>
    <w:rsid w:val="421F5693"/>
    <w:rsid w:val="43064505"/>
    <w:rsid w:val="435F7A66"/>
    <w:rsid w:val="44112D07"/>
    <w:rsid w:val="441815C7"/>
    <w:rsid w:val="453D0682"/>
    <w:rsid w:val="46637C87"/>
    <w:rsid w:val="46BB17F5"/>
    <w:rsid w:val="47095F17"/>
    <w:rsid w:val="48C7142E"/>
    <w:rsid w:val="498324EA"/>
    <w:rsid w:val="49C7639B"/>
    <w:rsid w:val="4A8A2EBF"/>
    <w:rsid w:val="4C4621DF"/>
    <w:rsid w:val="4CE56B90"/>
    <w:rsid w:val="4D4D6365"/>
    <w:rsid w:val="4DA97A39"/>
    <w:rsid w:val="4DB52955"/>
    <w:rsid w:val="4DCC4263"/>
    <w:rsid w:val="4DD5114B"/>
    <w:rsid w:val="4DF542F3"/>
    <w:rsid w:val="4E5C1022"/>
    <w:rsid w:val="4EF8123B"/>
    <w:rsid w:val="4F0601AD"/>
    <w:rsid w:val="4F81245A"/>
    <w:rsid w:val="4FEF3E71"/>
    <w:rsid w:val="504F20BC"/>
    <w:rsid w:val="50A136CA"/>
    <w:rsid w:val="515B093F"/>
    <w:rsid w:val="518A683E"/>
    <w:rsid w:val="524831FF"/>
    <w:rsid w:val="52530420"/>
    <w:rsid w:val="52665675"/>
    <w:rsid w:val="527629CA"/>
    <w:rsid w:val="5288714B"/>
    <w:rsid w:val="529F4034"/>
    <w:rsid w:val="52D44ECC"/>
    <w:rsid w:val="52E971EF"/>
    <w:rsid w:val="533252E0"/>
    <w:rsid w:val="53916534"/>
    <w:rsid w:val="53950BFB"/>
    <w:rsid w:val="5434742F"/>
    <w:rsid w:val="546A755E"/>
    <w:rsid w:val="54F844B2"/>
    <w:rsid w:val="556C4241"/>
    <w:rsid w:val="5695207D"/>
    <w:rsid w:val="58234357"/>
    <w:rsid w:val="58DC7930"/>
    <w:rsid w:val="59613991"/>
    <w:rsid w:val="5981734A"/>
    <w:rsid w:val="59822625"/>
    <w:rsid w:val="59CF5BBE"/>
    <w:rsid w:val="59DD570D"/>
    <w:rsid w:val="5BF67FAD"/>
    <w:rsid w:val="5C170CF0"/>
    <w:rsid w:val="5C8969EB"/>
    <w:rsid w:val="5C9702FB"/>
    <w:rsid w:val="5CD01559"/>
    <w:rsid w:val="5CF8285E"/>
    <w:rsid w:val="5D142D43"/>
    <w:rsid w:val="5DAA1DAA"/>
    <w:rsid w:val="5E3F3238"/>
    <w:rsid w:val="5E490104"/>
    <w:rsid w:val="5E7D301B"/>
    <w:rsid w:val="5E86320C"/>
    <w:rsid w:val="5F133E8C"/>
    <w:rsid w:val="5F6F2F3A"/>
    <w:rsid w:val="5FDC3B9D"/>
    <w:rsid w:val="608176CB"/>
    <w:rsid w:val="610600CF"/>
    <w:rsid w:val="61BE2138"/>
    <w:rsid w:val="622A170C"/>
    <w:rsid w:val="62B3336D"/>
    <w:rsid w:val="62C33CE4"/>
    <w:rsid w:val="62F51D1A"/>
    <w:rsid w:val="640F73B5"/>
    <w:rsid w:val="64634A61"/>
    <w:rsid w:val="64841D12"/>
    <w:rsid w:val="657A0A1E"/>
    <w:rsid w:val="65F178DB"/>
    <w:rsid w:val="665944A9"/>
    <w:rsid w:val="669A6417"/>
    <w:rsid w:val="67E30377"/>
    <w:rsid w:val="68B42EC7"/>
    <w:rsid w:val="69455FDE"/>
    <w:rsid w:val="69AB74E8"/>
    <w:rsid w:val="69C7519E"/>
    <w:rsid w:val="6B180727"/>
    <w:rsid w:val="6B942ACC"/>
    <w:rsid w:val="6C1F6680"/>
    <w:rsid w:val="6C2D58DC"/>
    <w:rsid w:val="6CFA1CDB"/>
    <w:rsid w:val="6D7C6B93"/>
    <w:rsid w:val="6F6B5E93"/>
    <w:rsid w:val="6FEB1CAF"/>
    <w:rsid w:val="700248B6"/>
    <w:rsid w:val="70100167"/>
    <w:rsid w:val="70DF72B6"/>
    <w:rsid w:val="71BC41D6"/>
    <w:rsid w:val="72035AD5"/>
    <w:rsid w:val="7246696A"/>
    <w:rsid w:val="72A53B4F"/>
    <w:rsid w:val="72C56E8D"/>
    <w:rsid w:val="72DE17F0"/>
    <w:rsid w:val="744F39DE"/>
    <w:rsid w:val="74A830A9"/>
    <w:rsid w:val="74EE6E0C"/>
    <w:rsid w:val="76B5738B"/>
    <w:rsid w:val="76D75EB8"/>
    <w:rsid w:val="770D2650"/>
    <w:rsid w:val="78952653"/>
    <w:rsid w:val="78CD47BD"/>
    <w:rsid w:val="78FB12B4"/>
    <w:rsid w:val="792D32CD"/>
    <w:rsid w:val="795B78DF"/>
    <w:rsid w:val="798457D0"/>
    <w:rsid w:val="79D864DD"/>
    <w:rsid w:val="7A0E2B27"/>
    <w:rsid w:val="7A8572A2"/>
    <w:rsid w:val="7AAA1A3C"/>
    <w:rsid w:val="7BA62280"/>
    <w:rsid w:val="7C1C3A1B"/>
    <w:rsid w:val="7C700892"/>
    <w:rsid w:val="7D101810"/>
    <w:rsid w:val="7D661C68"/>
    <w:rsid w:val="7DD2539B"/>
    <w:rsid w:val="7DE05E44"/>
    <w:rsid w:val="7E7E0639"/>
    <w:rsid w:val="7EBA11AB"/>
    <w:rsid w:val="7F2C0FE0"/>
    <w:rsid w:val="7F4461C4"/>
    <w:rsid w:val="7F6826A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nhideWhenUsed="0"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qFormat="1" w:uiPriority="99" w:semiHidden="0"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djustRightInd w:val="0"/>
      <w:snapToGrid w:val="0"/>
      <w:spacing w:line="360" w:lineRule="auto"/>
    </w:pPr>
    <w:rPr>
      <w:rFonts w:ascii="Tahoma" w:hAnsi="Tahoma" w:eastAsia="宋体" w:cstheme="minorBidi"/>
      <w:sz w:val="21"/>
      <w:szCs w:val="22"/>
      <w:lang w:val="en-US" w:eastAsia="zh-CN" w:bidi="ar-SA"/>
    </w:rPr>
  </w:style>
  <w:style w:type="paragraph" w:styleId="2">
    <w:name w:val="heading 1"/>
    <w:basedOn w:val="1"/>
    <w:next w:val="1"/>
    <w:link w:val="79"/>
    <w:autoRedefine/>
    <w:qFormat/>
    <w:uiPriority w:val="9"/>
    <w:pPr>
      <w:keepNext/>
      <w:keepLines/>
      <w:spacing w:before="340" w:after="330" w:line="576" w:lineRule="auto"/>
      <w:outlineLvl w:val="0"/>
    </w:pPr>
    <w:rPr>
      <w:b/>
      <w:kern w:val="44"/>
      <w:sz w:val="44"/>
    </w:rPr>
  </w:style>
  <w:style w:type="paragraph" w:styleId="3">
    <w:name w:val="heading 2"/>
    <w:basedOn w:val="1"/>
    <w:next w:val="1"/>
    <w:link w:val="45"/>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6"/>
    <w:autoRedefine/>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8"/>
    <w:autoRedefine/>
    <w:unhideWhenUsed/>
    <w:qFormat/>
    <w:uiPriority w:val="9"/>
    <w:pPr>
      <w:keepNext/>
      <w:keepLines/>
      <w:outlineLvl w:val="3"/>
    </w:pPr>
    <w:rPr>
      <w:rFonts w:asciiTheme="majorHAnsi" w:hAnsiTheme="majorHAnsi" w:cstheme="majorBidi"/>
      <w:b/>
      <w:bCs/>
      <w:sz w:val="24"/>
      <w:szCs w:val="28"/>
    </w:rPr>
  </w:style>
  <w:style w:type="paragraph" w:styleId="6">
    <w:name w:val="heading 5"/>
    <w:basedOn w:val="1"/>
    <w:next w:val="1"/>
    <w:link w:val="78"/>
    <w:autoRedefine/>
    <w:unhideWhenUsed/>
    <w:qFormat/>
    <w:uiPriority w:val="9"/>
    <w:pPr>
      <w:keepNext/>
      <w:keepLines/>
      <w:spacing w:before="280" w:after="290" w:line="372" w:lineRule="auto"/>
      <w:outlineLvl w:val="4"/>
    </w:pPr>
    <w:rPr>
      <w:b/>
      <w:sz w:val="28"/>
    </w:rPr>
  </w:style>
  <w:style w:type="character" w:default="1" w:styleId="36">
    <w:name w:val="Default Paragraph Font"/>
    <w:autoRedefine/>
    <w:unhideWhenUsed/>
    <w:qFormat/>
    <w:uiPriority w:val="1"/>
  </w:style>
  <w:style w:type="table" w:default="1" w:styleId="34">
    <w:name w:val="Normal Table"/>
    <w:autoRedefine/>
    <w:unhideWhenUsed/>
    <w:qFormat/>
    <w:uiPriority w:val="99"/>
    <w:tblPr>
      <w:tblCellMar>
        <w:top w:w="0" w:type="dxa"/>
        <w:left w:w="108" w:type="dxa"/>
        <w:bottom w:w="0" w:type="dxa"/>
        <w:right w:w="108" w:type="dxa"/>
      </w:tblCellMar>
    </w:tblPr>
  </w:style>
  <w:style w:type="paragraph" w:styleId="7">
    <w:name w:val="toc 7"/>
    <w:basedOn w:val="1"/>
    <w:next w:val="1"/>
    <w:autoRedefine/>
    <w:unhideWhenUsed/>
    <w:qFormat/>
    <w:uiPriority w:val="39"/>
    <w:pPr>
      <w:widowControl w:val="0"/>
      <w:adjustRightInd/>
      <w:snapToGrid/>
      <w:spacing w:line="240" w:lineRule="auto"/>
      <w:ind w:left="2520" w:leftChars="1200"/>
      <w:jc w:val="both"/>
    </w:pPr>
    <w:rPr>
      <w:rFonts w:asciiTheme="minorHAnsi" w:hAnsiTheme="minorHAnsi" w:eastAsiaTheme="minorEastAsia"/>
      <w:kern w:val="2"/>
    </w:rPr>
  </w:style>
  <w:style w:type="paragraph" w:styleId="8">
    <w:name w:val="Normal Indent"/>
    <w:basedOn w:val="1"/>
    <w:autoRedefine/>
    <w:qFormat/>
    <w:uiPriority w:val="0"/>
    <w:pPr>
      <w:widowControl/>
      <w:autoSpaceDE/>
      <w:autoSpaceDN/>
      <w:adjustRightInd/>
      <w:ind w:firstLine="420" w:firstLineChars="200"/>
    </w:pPr>
    <w:rPr>
      <w:rFonts w:ascii="Calibri"/>
      <w:sz w:val="20"/>
      <w:szCs w:val="20"/>
    </w:rPr>
  </w:style>
  <w:style w:type="paragraph" w:styleId="9">
    <w:name w:val="toa heading"/>
    <w:basedOn w:val="1"/>
    <w:next w:val="1"/>
    <w:autoRedefine/>
    <w:qFormat/>
    <w:uiPriority w:val="0"/>
    <w:pPr>
      <w:snapToGrid w:val="0"/>
      <w:spacing w:before="120" w:line="360" w:lineRule="auto"/>
      <w:jc w:val="both"/>
    </w:pPr>
    <w:rPr>
      <w:rFonts w:ascii="Arial" w:hAnsi="Arial"/>
      <w:color w:val="000000"/>
      <w:sz w:val="21"/>
      <w:szCs w:val="20"/>
    </w:rPr>
  </w:style>
  <w:style w:type="paragraph" w:styleId="10">
    <w:name w:val="annotation text"/>
    <w:basedOn w:val="1"/>
    <w:link w:val="67"/>
    <w:autoRedefine/>
    <w:unhideWhenUsed/>
    <w:qFormat/>
    <w:uiPriority w:val="99"/>
  </w:style>
  <w:style w:type="paragraph" w:styleId="11">
    <w:name w:val="Salutation"/>
    <w:basedOn w:val="1"/>
    <w:next w:val="1"/>
    <w:autoRedefine/>
    <w:qFormat/>
    <w:uiPriority w:val="0"/>
    <w:pPr>
      <w:widowControl w:val="0"/>
      <w:spacing w:line="240" w:lineRule="auto"/>
      <w:jc w:val="both"/>
    </w:pPr>
    <w:rPr>
      <w:kern w:val="2"/>
      <w:sz w:val="24"/>
      <w:szCs w:val="24"/>
    </w:rPr>
  </w:style>
  <w:style w:type="paragraph" w:styleId="12">
    <w:name w:val="Body Text 3"/>
    <w:basedOn w:val="1"/>
    <w:autoRedefine/>
    <w:qFormat/>
    <w:uiPriority w:val="0"/>
    <w:pPr>
      <w:ind w:right="-26"/>
      <w:jc w:val="center"/>
    </w:pPr>
    <w:rPr>
      <w:b/>
      <w:bCs/>
      <w:color w:val="3366FF"/>
      <w:kern w:val="2"/>
      <w:sz w:val="52"/>
      <w:szCs w:val="52"/>
      <w:lang w:val="zh-CN"/>
    </w:rPr>
  </w:style>
  <w:style w:type="paragraph" w:styleId="13">
    <w:name w:val="Body Text"/>
    <w:basedOn w:val="1"/>
    <w:next w:val="1"/>
    <w:link w:val="70"/>
    <w:autoRedefine/>
    <w:qFormat/>
    <w:uiPriority w:val="1"/>
    <w:pPr>
      <w:spacing w:before="161"/>
      <w:ind w:left="120"/>
    </w:pPr>
    <w:rPr>
      <w:rFonts w:ascii="宋体" w:hAnsi="宋体" w:cs="宋体"/>
      <w:sz w:val="24"/>
      <w:lang w:val="zh-CN" w:bidi="zh-CN"/>
    </w:rPr>
  </w:style>
  <w:style w:type="paragraph" w:styleId="14">
    <w:name w:val="Body Text Indent"/>
    <w:basedOn w:val="1"/>
    <w:next w:val="15"/>
    <w:autoRedefine/>
    <w:qFormat/>
    <w:uiPriority w:val="0"/>
    <w:pPr>
      <w:ind w:left="359" w:leftChars="171" w:firstLine="179" w:firstLineChars="85"/>
    </w:pPr>
    <w:rPr>
      <w:rFonts w:ascii="宋体" w:hAnsi="宋体"/>
      <w:b/>
      <w:bCs/>
      <w:szCs w:val="26"/>
    </w:rPr>
  </w:style>
  <w:style w:type="paragraph" w:styleId="15">
    <w:name w:val="envelope return"/>
    <w:basedOn w:val="1"/>
    <w:autoRedefine/>
    <w:qFormat/>
    <w:uiPriority w:val="0"/>
    <w:pPr>
      <w:widowControl w:val="0"/>
      <w:jc w:val="both"/>
    </w:pPr>
    <w:rPr>
      <w:rFonts w:ascii="Calibri" w:hAnsi="Calibri" w:cs="Times New Roman"/>
      <w:kern w:val="2"/>
      <w:szCs w:val="24"/>
    </w:rPr>
  </w:style>
  <w:style w:type="paragraph" w:styleId="16">
    <w:name w:val="toc 5"/>
    <w:basedOn w:val="1"/>
    <w:next w:val="1"/>
    <w:autoRedefine/>
    <w:unhideWhenUsed/>
    <w:qFormat/>
    <w:uiPriority w:val="39"/>
    <w:pPr>
      <w:widowControl w:val="0"/>
      <w:adjustRightInd/>
      <w:snapToGrid/>
      <w:spacing w:line="240" w:lineRule="auto"/>
      <w:ind w:left="1680" w:leftChars="800"/>
      <w:jc w:val="both"/>
    </w:pPr>
    <w:rPr>
      <w:rFonts w:asciiTheme="minorHAnsi" w:hAnsiTheme="minorHAnsi" w:eastAsiaTheme="minorEastAsia"/>
      <w:kern w:val="2"/>
    </w:rPr>
  </w:style>
  <w:style w:type="paragraph" w:styleId="17">
    <w:name w:val="toc 3"/>
    <w:basedOn w:val="1"/>
    <w:next w:val="1"/>
    <w:autoRedefine/>
    <w:unhideWhenUsed/>
    <w:qFormat/>
    <w:uiPriority w:val="39"/>
    <w:pPr>
      <w:tabs>
        <w:tab w:val="right" w:leader="dot" w:pos="8296"/>
      </w:tabs>
      <w:ind w:left="838" w:leftChars="381"/>
    </w:pPr>
    <w:rPr>
      <w:szCs w:val="21"/>
    </w:rPr>
  </w:style>
  <w:style w:type="paragraph" w:styleId="18">
    <w:name w:val="Plain Text"/>
    <w:basedOn w:val="1"/>
    <w:link w:val="59"/>
    <w:autoRedefine/>
    <w:qFormat/>
    <w:uiPriority w:val="0"/>
    <w:pPr>
      <w:widowControl w:val="0"/>
      <w:adjustRightInd/>
      <w:snapToGrid/>
      <w:jc w:val="both"/>
    </w:pPr>
    <w:rPr>
      <w:rFonts w:ascii="宋体" w:hAnsi="Courier New" w:cs="Times New Roman"/>
      <w:b/>
      <w:kern w:val="2"/>
      <w:szCs w:val="20"/>
    </w:rPr>
  </w:style>
  <w:style w:type="paragraph" w:styleId="19">
    <w:name w:val="toc 8"/>
    <w:basedOn w:val="1"/>
    <w:next w:val="1"/>
    <w:autoRedefine/>
    <w:unhideWhenUsed/>
    <w:qFormat/>
    <w:uiPriority w:val="39"/>
    <w:pPr>
      <w:widowControl w:val="0"/>
      <w:adjustRightInd/>
      <w:snapToGrid/>
      <w:spacing w:line="240" w:lineRule="auto"/>
      <w:ind w:left="2940" w:leftChars="1400"/>
      <w:jc w:val="both"/>
    </w:pPr>
    <w:rPr>
      <w:rFonts w:asciiTheme="minorHAnsi" w:hAnsiTheme="minorHAnsi" w:eastAsiaTheme="minorEastAsia"/>
      <w:kern w:val="2"/>
    </w:rPr>
  </w:style>
  <w:style w:type="paragraph" w:styleId="20">
    <w:name w:val="Body Text Indent 2"/>
    <w:basedOn w:val="1"/>
    <w:autoRedefine/>
    <w:qFormat/>
    <w:uiPriority w:val="0"/>
    <w:pPr>
      <w:tabs>
        <w:tab w:val="left" w:pos="8640"/>
      </w:tabs>
      <w:adjustRightInd/>
      <w:ind w:left="1260"/>
      <w:jc w:val="both"/>
    </w:pPr>
    <w:rPr>
      <w:kern w:val="2"/>
      <w:szCs w:val="20"/>
    </w:rPr>
  </w:style>
  <w:style w:type="paragraph" w:styleId="21">
    <w:name w:val="Balloon Text"/>
    <w:basedOn w:val="1"/>
    <w:link w:val="62"/>
    <w:autoRedefine/>
    <w:unhideWhenUsed/>
    <w:qFormat/>
    <w:uiPriority w:val="99"/>
    <w:rPr>
      <w:sz w:val="18"/>
      <w:szCs w:val="18"/>
    </w:rPr>
  </w:style>
  <w:style w:type="paragraph" w:styleId="22">
    <w:name w:val="footer"/>
    <w:basedOn w:val="1"/>
    <w:link w:val="61"/>
    <w:autoRedefine/>
    <w:unhideWhenUsed/>
    <w:qFormat/>
    <w:uiPriority w:val="99"/>
    <w:pPr>
      <w:tabs>
        <w:tab w:val="center" w:pos="4153"/>
        <w:tab w:val="right" w:pos="8306"/>
      </w:tabs>
    </w:pPr>
    <w:rPr>
      <w:sz w:val="18"/>
      <w:szCs w:val="18"/>
    </w:rPr>
  </w:style>
  <w:style w:type="paragraph" w:styleId="23">
    <w:name w:val="header"/>
    <w:basedOn w:val="1"/>
    <w:link w:val="60"/>
    <w:autoRedefine/>
    <w:unhideWhenUsed/>
    <w:qFormat/>
    <w:uiPriority w:val="99"/>
    <w:pPr>
      <w:pBdr>
        <w:bottom w:val="single" w:color="auto" w:sz="6" w:space="1"/>
      </w:pBdr>
      <w:tabs>
        <w:tab w:val="center" w:pos="4153"/>
        <w:tab w:val="right" w:pos="8306"/>
      </w:tabs>
      <w:jc w:val="center"/>
    </w:pPr>
    <w:rPr>
      <w:sz w:val="18"/>
      <w:szCs w:val="18"/>
    </w:rPr>
  </w:style>
  <w:style w:type="paragraph" w:styleId="24">
    <w:name w:val="toc 1"/>
    <w:basedOn w:val="1"/>
    <w:next w:val="1"/>
    <w:autoRedefine/>
    <w:unhideWhenUsed/>
    <w:qFormat/>
    <w:uiPriority w:val="39"/>
  </w:style>
  <w:style w:type="paragraph" w:styleId="25">
    <w:name w:val="toc 4"/>
    <w:basedOn w:val="1"/>
    <w:next w:val="1"/>
    <w:autoRedefine/>
    <w:unhideWhenUsed/>
    <w:qFormat/>
    <w:uiPriority w:val="39"/>
    <w:pPr>
      <w:tabs>
        <w:tab w:val="right" w:leader="dot" w:pos="8296"/>
      </w:tabs>
      <w:spacing w:after="120"/>
      <w:ind w:left="1320" w:leftChars="600"/>
    </w:pPr>
  </w:style>
  <w:style w:type="paragraph" w:styleId="26">
    <w:name w:val="footnote text"/>
    <w:basedOn w:val="1"/>
    <w:autoRedefine/>
    <w:unhideWhenUsed/>
    <w:qFormat/>
    <w:uiPriority w:val="99"/>
    <w:rPr>
      <w:sz w:val="18"/>
    </w:rPr>
  </w:style>
  <w:style w:type="paragraph" w:styleId="27">
    <w:name w:val="toc 6"/>
    <w:basedOn w:val="1"/>
    <w:next w:val="1"/>
    <w:autoRedefine/>
    <w:qFormat/>
    <w:uiPriority w:val="39"/>
    <w:pPr>
      <w:ind w:left="1200"/>
    </w:pPr>
    <w:rPr>
      <w:rFonts w:ascii="Calibri" w:cs="Calibri"/>
      <w:sz w:val="18"/>
      <w:szCs w:val="18"/>
    </w:rPr>
  </w:style>
  <w:style w:type="paragraph" w:styleId="28">
    <w:name w:val="Body Text Indent 3"/>
    <w:basedOn w:val="1"/>
    <w:autoRedefine/>
    <w:qFormat/>
    <w:uiPriority w:val="0"/>
    <w:pPr>
      <w:spacing w:line="360" w:lineRule="auto"/>
      <w:ind w:firstLine="480" w:firstLineChars="200"/>
    </w:pPr>
  </w:style>
  <w:style w:type="paragraph" w:styleId="29">
    <w:name w:val="toc 2"/>
    <w:basedOn w:val="1"/>
    <w:next w:val="1"/>
    <w:autoRedefine/>
    <w:unhideWhenUsed/>
    <w:qFormat/>
    <w:uiPriority w:val="39"/>
    <w:pPr>
      <w:tabs>
        <w:tab w:val="right" w:leader="dot" w:pos="8296"/>
      </w:tabs>
      <w:ind w:left="440" w:leftChars="200"/>
      <w:jc w:val="center"/>
    </w:pPr>
    <w:rPr>
      <w:rFonts w:ascii="宋体" w:hAnsi="宋体"/>
      <w:sz w:val="30"/>
      <w:szCs w:val="30"/>
    </w:rPr>
  </w:style>
  <w:style w:type="paragraph" w:styleId="30">
    <w:name w:val="toc 9"/>
    <w:basedOn w:val="1"/>
    <w:next w:val="1"/>
    <w:autoRedefine/>
    <w:unhideWhenUsed/>
    <w:qFormat/>
    <w:uiPriority w:val="39"/>
    <w:pPr>
      <w:widowControl w:val="0"/>
      <w:adjustRightInd/>
      <w:snapToGrid/>
      <w:spacing w:line="240" w:lineRule="auto"/>
      <w:ind w:left="3360" w:leftChars="1600"/>
      <w:jc w:val="both"/>
    </w:pPr>
    <w:rPr>
      <w:rFonts w:asciiTheme="minorHAnsi" w:hAnsiTheme="minorHAnsi" w:eastAsiaTheme="minorEastAsia"/>
      <w:kern w:val="2"/>
    </w:rPr>
  </w:style>
  <w:style w:type="paragraph" w:styleId="31">
    <w:name w:val="Normal (Web)"/>
    <w:basedOn w:val="1"/>
    <w:link w:val="64"/>
    <w:autoRedefine/>
    <w:qFormat/>
    <w:uiPriority w:val="0"/>
    <w:pPr>
      <w:widowControl w:val="0"/>
      <w:adjustRightInd/>
      <w:snapToGrid/>
      <w:jc w:val="both"/>
    </w:pPr>
    <w:rPr>
      <w:rFonts w:asciiTheme="minorHAnsi" w:hAnsiTheme="minorHAnsi"/>
      <w:kern w:val="2"/>
      <w:sz w:val="24"/>
      <w:szCs w:val="24"/>
    </w:rPr>
  </w:style>
  <w:style w:type="paragraph" w:styleId="32">
    <w:name w:val="annotation subject"/>
    <w:basedOn w:val="10"/>
    <w:next w:val="10"/>
    <w:link w:val="68"/>
    <w:autoRedefine/>
    <w:unhideWhenUsed/>
    <w:qFormat/>
    <w:uiPriority w:val="99"/>
    <w:rPr>
      <w:b/>
      <w:bCs/>
    </w:rPr>
  </w:style>
  <w:style w:type="paragraph" w:styleId="33">
    <w:name w:val="Body Text First Indent"/>
    <w:basedOn w:val="13"/>
    <w:next w:val="1"/>
    <w:autoRedefine/>
    <w:qFormat/>
    <w:uiPriority w:val="0"/>
    <w:pPr>
      <w:spacing w:after="120"/>
      <w:ind w:firstLine="420" w:firstLineChars="100"/>
    </w:pPr>
    <w:rPr>
      <w:bCs/>
      <w:szCs w:val="21"/>
    </w:rPr>
  </w:style>
  <w:style w:type="table" w:styleId="35">
    <w:name w:val="Table Grid"/>
    <w:basedOn w:val="3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basedOn w:val="36"/>
    <w:autoRedefine/>
    <w:qFormat/>
    <w:uiPriority w:val="22"/>
    <w:rPr>
      <w:b/>
    </w:rPr>
  </w:style>
  <w:style w:type="character" w:styleId="38">
    <w:name w:val="page number"/>
    <w:basedOn w:val="36"/>
    <w:autoRedefine/>
    <w:qFormat/>
    <w:uiPriority w:val="0"/>
  </w:style>
  <w:style w:type="character" w:styleId="39">
    <w:name w:val="Emphasis"/>
    <w:basedOn w:val="36"/>
    <w:autoRedefine/>
    <w:qFormat/>
    <w:uiPriority w:val="20"/>
    <w:rPr>
      <w:i/>
      <w:iCs/>
    </w:rPr>
  </w:style>
  <w:style w:type="character" w:styleId="40">
    <w:name w:val="Hyperlink"/>
    <w:autoRedefine/>
    <w:qFormat/>
    <w:uiPriority w:val="99"/>
    <w:rPr>
      <w:rFonts w:hint="eastAsia" w:ascii="宋体" w:hAnsi="宋体" w:eastAsia="宋体" w:cs="宋体"/>
      <w:b/>
      <w:color w:val="0031C1"/>
      <w:kern w:val="0"/>
      <w:sz w:val="18"/>
      <w:szCs w:val="18"/>
      <w:u w:val="none"/>
      <w:lang w:eastAsia="en-US"/>
    </w:rPr>
  </w:style>
  <w:style w:type="character" w:styleId="41">
    <w:name w:val="annotation reference"/>
    <w:basedOn w:val="36"/>
    <w:autoRedefine/>
    <w:unhideWhenUsed/>
    <w:qFormat/>
    <w:uiPriority w:val="99"/>
    <w:rPr>
      <w:sz w:val="21"/>
      <w:szCs w:val="21"/>
    </w:rPr>
  </w:style>
  <w:style w:type="character" w:styleId="42">
    <w:name w:val="footnote reference"/>
    <w:basedOn w:val="36"/>
    <w:autoRedefine/>
    <w:unhideWhenUsed/>
    <w:qFormat/>
    <w:uiPriority w:val="99"/>
    <w:rPr>
      <w:vertAlign w:val="superscript"/>
    </w:rPr>
  </w:style>
  <w:style w:type="paragraph" w:customStyle="1" w:styleId="43">
    <w:name w:val="样式 正文首行缩进 + 首行缩进:  1 字符"/>
    <w:basedOn w:val="1"/>
    <w:next w:val="1"/>
    <w:autoRedefine/>
    <w:qFormat/>
    <w:uiPriority w:val="0"/>
    <w:pPr>
      <w:ind w:firstLine="200" w:firstLineChars="200"/>
    </w:pPr>
    <w:rPr>
      <w:rFonts w:cs="宋体"/>
      <w:szCs w:val="20"/>
    </w:rPr>
  </w:style>
  <w:style w:type="paragraph" w:customStyle="1" w:styleId="44">
    <w:name w:val="首行缩进"/>
    <w:basedOn w:val="1"/>
    <w:autoRedefine/>
    <w:qFormat/>
    <w:uiPriority w:val="0"/>
    <w:pPr>
      <w:adjustRightInd/>
      <w:spacing w:line="300" w:lineRule="auto"/>
      <w:ind w:firstLine="420" w:firstLineChars="200"/>
      <w:jc w:val="both"/>
    </w:pPr>
    <w:rPr>
      <w:rFonts w:ascii="Calibri" w:hAnsi="Calibri" w:eastAsia="方正书宋简体" w:cs="Times New Roman"/>
      <w:sz w:val="20"/>
    </w:rPr>
  </w:style>
  <w:style w:type="character" w:customStyle="1" w:styleId="45">
    <w:name w:val="标题 2 字符"/>
    <w:basedOn w:val="36"/>
    <w:link w:val="3"/>
    <w:autoRedefine/>
    <w:qFormat/>
    <w:uiPriority w:val="9"/>
    <w:rPr>
      <w:rFonts w:asciiTheme="majorHAnsi" w:hAnsiTheme="majorHAnsi" w:eastAsiaTheme="majorEastAsia" w:cstheme="majorBidi"/>
      <w:b/>
      <w:bCs/>
      <w:sz w:val="32"/>
      <w:szCs w:val="32"/>
    </w:rPr>
  </w:style>
  <w:style w:type="character" w:customStyle="1" w:styleId="46">
    <w:name w:val="标题 3 字符"/>
    <w:basedOn w:val="36"/>
    <w:link w:val="4"/>
    <w:autoRedefine/>
    <w:qFormat/>
    <w:uiPriority w:val="9"/>
    <w:rPr>
      <w:rFonts w:ascii="Tahoma" w:hAnsi="Tahoma"/>
      <w:b/>
      <w:bCs/>
      <w:sz w:val="32"/>
      <w:szCs w:val="32"/>
    </w:rPr>
  </w:style>
  <w:style w:type="paragraph" w:customStyle="1" w:styleId="47">
    <w:name w:val="List Paragraph"/>
    <w:basedOn w:val="1"/>
    <w:link w:val="69"/>
    <w:autoRedefine/>
    <w:qFormat/>
    <w:uiPriority w:val="0"/>
    <w:pPr>
      <w:ind w:firstLine="420" w:firstLineChars="200"/>
    </w:pPr>
  </w:style>
  <w:style w:type="character" w:customStyle="1" w:styleId="48">
    <w:name w:val="标题 4 字符"/>
    <w:basedOn w:val="36"/>
    <w:link w:val="5"/>
    <w:autoRedefine/>
    <w:qFormat/>
    <w:uiPriority w:val="9"/>
    <w:rPr>
      <w:rFonts w:eastAsia="宋体" w:asciiTheme="majorHAnsi" w:hAnsiTheme="majorHAnsi" w:cstheme="majorBidi"/>
      <w:b/>
      <w:bCs/>
      <w:sz w:val="24"/>
      <w:szCs w:val="28"/>
    </w:rPr>
  </w:style>
  <w:style w:type="character" w:customStyle="1" w:styleId="49">
    <w:name w:val="正文缩进2格 Char"/>
    <w:link w:val="50"/>
    <w:autoRedefine/>
    <w:qFormat/>
    <w:uiPriority w:val="0"/>
    <w:rPr>
      <w:rFonts w:ascii="仿宋_GB2312" w:hAnsi="宋体" w:eastAsia="仿宋_GB2312"/>
      <w:kern w:val="2"/>
      <w:sz w:val="31"/>
    </w:rPr>
  </w:style>
  <w:style w:type="paragraph" w:customStyle="1" w:styleId="50">
    <w:name w:val="正文缩进2格"/>
    <w:basedOn w:val="1"/>
    <w:link w:val="49"/>
    <w:autoRedefine/>
    <w:qFormat/>
    <w:uiPriority w:val="0"/>
    <w:pPr>
      <w:widowControl w:val="0"/>
      <w:adjustRightInd/>
      <w:snapToGrid/>
      <w:spacing w:line="600" w:lineRule="exact"/>
      <w:ind w:firstLine="639" w:firstLineChars="206"/>
      <w:jc w:val="both"/>
    </w:pPr>
    <w:rPr>
      <w:rFonts w:ascii="仿宋_GB2312" w:hAnsi="宋体" w:eastAsia="仿宋_GB2312"/>
      <w:kern w:val="2"/>
      <w:sz w:val="31"/>
    </w:rPr>
  </w:style>
  <w:style w:type="paragraph" w:customStyle="1" w:styleId="51">
    <w:name w:val="正文缩进4格"/>
    <w:basedOn w:val="50"/>
    <w:autoRedefine/>
    <w:qFormat/>
    <w:uiPriority w:val="0"/>
    <w:pPr>
      <w:ind w:left="2" w:firstLine="538" w:firstLineChars="192"/>
    </w:pPr>
    <w:rPr>
      <w:color w:val="0000FF"/>
      <w:sz w:val="28"/>
    </w:rPr>
  </w:style>
  <w:style w:type="character" w:customStyle="1" w:styleId="52">
    <w:name w:val="正文缩进2格 Char Char"/>
    <w:autoRedefine/>
    <w:qFormat/>
    <w:uiPriority w:val="0"/>
    <w:rPr>
      <w:rFonts w:ascii="仿宋_GB2312" w:hAnsi="宋体" w:eastAsia="仿宋_GB2312" w:cs="Times New Roman"/>
      <w:b/>
      <w:kern w:val="2"/>
      <w:sz w:val="31"/>
      <w:szCs w:val="28"/>
      <w:lang w:val="en-US" w:eastAsia="zh-CN" w:bidi="ar-SA"/>
    </w:rPr>
  </w:style>
  <w:style w:type="paragraph" w:customStyle="1" w:styleId="53">
    <w:name w:val="_Style 3"/>
    <w:basedOn w:val="1"/>
    <w:autoRedefine/>
    <w:qFormat/>
    <w:uiPriority w:val="0"/>
    <w:pPr>
      <w:widowControl w:val="0"/>
      <w:adjustRightInd/>
      <w:snapToGrid/>
      <w:ind w:firstLine="420" w:firstLineChars="200"/>
      <w:jc w:val="both"/>
    </w:pPr>
    <w:rPr>
      <w:rFonts w:ascii="Times New Roman" w:hAnsi="Times New Roman" w:cs="Times New Roman"/>
      <w:kern w:val="2"/>
      <w:szCs w:val="24"/>
    </w:rPr>
  </w:style>
  <w:style w:type="character" w:customStyle="1" w:styleId="54">
    <w:name w:val="标题1"/>
    <w:autoRedefine/>
    <w:qFormat/>
    <w:uiPriority w:val="0"/>
    <w:rPr>
      <w:rFonts w:ascii="Times New Roman" w:hAnsi="Times New Roman" w:eastAsia="宋体" w:cs="Times New Roman"/>
      <w:b/>
      <w:kern w:val="0"/>
      <w:sz w:val="24"/>
      <w:szCs w:val="20"/>
      <w:lang w:eastAsia="en-US"/>
    </w:rPr>
  </w:style>
  <w:style w:type="character" w:customStyle="1" w:styleId="55">
    <w:name w:val="标题 3.1 Char"/>
    <w:link w:val="56"/>
    <w:autoRedefine/>
    <w:qFormat/>
    <w:uiPriority w:val="0"/>
    <w:rPr>
      <w:rFonts w:ascii="宋体" w:hAnsi="宋体" w:eastAsia="宋体"/>
      <w:b/>
      <w:color w:val="FF0000"/>
      <w:kern w:val="2"/>
      <w:sz w:val="32"/>
    </w:rPr>
  </w:style>
  <w:style w:type="paragraph" w:customStyle="1" w:styleId="56">
    <w:name w:val="标题 3.1"/>
    <w:basedOn w:val="4"/>
    <w:link w:val="55"/>
    <w:autoRedefine/>
    <w:qFormat/>
    <w:uiPriority w:val="0"/>
    <w:pPr>
      <w:widowControl w:val="0"/>
      <w:tabs>
        <w:tab w:val="left" w:pos="1440"/>
        <w:tab w:val="left" w:pos="1620"/>
      </w:tabs>
      <w:adjustRightInd/>
      <w:snapToGrid/>
      <w:spacing w:line="600" w:lineRule="exact"/>
      <w:jc w:val="both"/>
    </w:pPr>
    <w:rPr>
      <w:rFonts w:ascii="宋体" w:hAnsi="宋体"/>
      <w:bCs w:val="0"/>
      <w:color w:val="FF0000"/>
      <w:kern w:val="2"/>
      <w:szCs w:val="22"/>
    </w:rPr>
  </w:style>
  <w:style w:type="character" w:customStyle="1" w:styleId="57">
    <w:name w:val="样式 楷体_GB2312 小四"/>
    <w:autoRedefine/>
    <w:qFormat/>
    <w:uiPriority w:val="0"/>
    <w:rPr>
      <w:rFonts w:ascii="楷体_GB2312" w:hAnsi="楷体_GB2312" w:eastAsia="仿宋_GB2312"/>
      <w:sz w:val="24"/>
    </w:rPr>
  </w:style>
  <w:style w:type="character" w:customStyle="1" w:styleId="58">
    <w:name w:val="纯文本 Char"/>
    <w:autoRedefine/>
    <w:qFormat/>
    <w:uiPriority w:val="0"/>
    <w:rPr>
      <w:rFonts w:ascii="宋体" w:hAnsi="Courier New" w:eastAsia="宋体" w:cs="Times New Roman"/>
      <w:b/>
      <w:kern w:val="2"/>
      <w:sz w:val="21"/>
      <w:szCs w:val="20"/>
    </w:rPr>
  </w:style>
  <w:style w:type="character" w:customStyle="1" w:styleId="59">
    <w:name w:val="纯文本 字符"/>
    <w:basedOn w:val="36"/>
    <w:link w:val="18"/>
    <w:autoRedefine/>
    <w:semiHidden/>
    <w:qFormat/>
    <w:uiPriority w:val="99"/>
    <w:rPr>
      <w:rFonts w:ascii="宋体" w:hAnsi="Courier New" w:eastAsia="宋体" w:cs="Courier New"/>
      <w:sz w:val="21"/>
      <w:szCs w:val="21"/>
    </w:rPr>
  </w:style>
  <w:style w:type="character" w:customStyle="1" w:styleId="60">
    <w:name w:val="页眉 字符"/>
    <w:basedOn w:val="36"/>
    <w:link w:val="23"/>
    <w:autoRedefine/>
    <w:qFormat/>
    <w:uiPriority w:val="99"/>
    <w:rPr>
      <w:rFonts w:ascii="Tahoma" w:hAnsi="Tahoma"/>
      <w:sz w:val="18"/>
      <w:szCs w:val="18"/>
    </w:rPr>
  </w:style>
  <w:style w:type="character" w:customStyle="1" w:styleId="61">
    <w:name w:val="页脚 字符"/>
    <w:basedOn w:val="36"/>
    <w:link w:val="22"/>
    <w:autoRedefine/>
    <w:qFormat/>
    <w:uiPriority w:val="99"/>
    <w:rPr>
      <w:rFonts w:ascii="Tahoma" w:hAnsi="Tahoma"/>
      <w:sz w:val="18"/>
      <w:szCs w:val="18"/>
    </w:rPr>
  </w:style>
  <w:style w:type="character" w:customStyle="1" w:styleId="62">
    <w:name w:val="批注框文本 字符"/>
    <w:basedOn w:val="36"/>
    <w:link w:val="21"/>
    <w:autoRedefine/>
    <w:semiHidden/>
    <w:qFormat/>
    <w:uiPriority w:val="99"/>
    <w:rPr>
      <w:rFonts w:ascii="Tahoma" w:hAnsi="Tahoma"/>
      <w:sz w:val="18"/>
      <w:szCs w:val="18"/>
    </w:rPr>
  </w:style>
  <w:style w:type="paragraph" w:customStyle="1" w:styleId="63">
    <w:name w:val="Char Char2 Char"/>
    <w:basedOn w:val="1"/>
    <w:autoRedefine/>
    <w:qFormat/>
    <w:uiPriority w:val="0"/>
    <w:pPr>
      <w:widowControl w:val="0"/>
      <w:adjustRightInd/>
      <w:snapToGrid/>
      <w:jc w:val="both"/>
    </w:pPr>
    <w:rPr>
      <w:rFonts w:ascii="宋体" w:hAnsi="宋体" w:cs="Times New Roman"/>
      <w:b/>
      <w:kern w:val="2"/>
      <w:sz w:val="28"/>
      <w:szCs w:val="28"/>
    </w:rPr>
  </w:style>
  <w:style w:type="character" w:customStyle="1" w:styleId="64">
    <w:name w:val="普通(网站) 字符"/>
    <w:link w:val="31"/>
    <w:autoRedefine/>
    <w:qFormat/>
    <w:uiPriority w:val="0"/>
    <w:rPr>
      <w:rFonts w:eastAsia="宋体"/>
      <w:kern w:val="2"/>
      <w:sz w:val="24"/>
      <w:szCs w:val="24"/>
    </w:rPr>
  </w:style>
  <w:style w:type="paragraph" w:customStyle="1" w:styleId="65">
    <w:name w:val="列出段落1"/>
    <w:basedOn w:val="1"/>
    <w:autoRedefine/>
    <w:qFormat/>
    <w:uiPriority w:val="99"/>
    <w:pPr>
      <w:widowControl w:val="0"/>
      <w:adjustRightInd/>
      <w:snapToGrid/>
      <w:ind w:firstLine="420" w:firstLineChars="200"/>
      <w:jc w:val="both"/>
    </w:pPr>
    <w:rPr>
      <w:rFonts w:ascii="Times New Roman" w:hAnsi="Times New Roman" w:cs="Times New Roman"/>
      <w:kern w:val="2"/>
      <w:sz w:val="24"/>
      <w:szCs w:val="24"/>
    </w:rPr>
  </w:style>
  <w:style w:type="character" w:customStyle="1" w:styleId="66">
    <w:name w:val="p141"/>
    <w:autoRedefine/>
    <w:qFormat/>
    <w:uiPriority w:val="0"/>
    <w:rPr>
      <w:sz w:val="21"/>
      <w:szCs w:val="21"/>
    </w:rPr>
  </w:style>
  <w:style w:type="character" w:customStyle="1" w:styleId="67">
    <w:name w:val="批注文字 字符"/>
    <w:basedOn w:val="36"/>
    <w:link w:val="10"/>
    <w:autoRedefine/>
    <w:qFormat/>
    <w:uiPriority w:val="99"/>
    <w:rPr>
      <w:rFonts w:ascii="Tahoma" w:hAnsi="Tahoma" w:eastAsia="微软雅黑" w:cstheme="minorBidi"/>
      <w:sz w:val="22"/>
      <w:szCs w:val="22"/>
    </w:rPr>
  </w:style>
  <w:style w:type="character" w:customStyle="1" w:styleId="68">
    <w:name w:val="批注主题 字符"/>
    <w:basedOn w:val="67"/>
    <w:link w:val="32"/>
    <w:autoRedefine/>
    <w:semiHidden/>
    <w:qFormat/>
    <w:uiPriority w:val="99"/>
    <w:rPr>
      <w:rFonts w:ascii="Tahoma" w:hAnsi="Tahoma" w:eastAsia="微软雅黑" w:cstheme="minorBidi"/>
      <w:b/>
      <w:bCs/>
      <w:sz w:val="22"/>
      <w:szCs w:val="22"/>
    </w:rPr>
  </w:style>
  <w:style w:type="character" w:customStyle="1" w:styleId="69">
    <w:name w:val="列表段落 字符"/>
    <w:link w:val="47"/>
    <w:autoRedefine/>
    <w:qFormat/>
    <w:uiPriority w:val="0"/>
    <w:rPr>
      <w:rFonts w:ascii="Tahoma" w:hAnsi="Tahoma" w:eastAsia="微软雅黑" w:cstheme="minorBidi"/>
      <w:sz w:val="22"/>
      <w:szCs w:val="22"/>
    </w:rPr>
  </w:style>
  <w:style w:type="character" w:customStyle="1" w:styleId="70">
    <w:name w:val="正文文本 字符"/>
    <w:basedOn w:val="36"/>
    <w:link w:val="13"/>
    <w:autoRedefine/>
    <w:qFormat/>
    <w:uiPriority w:val="1"/>
    <w:rPr>
      <w:rFonts w:ascii="宋体" w:hAnsi="宋体" w:cs="宋体"/>
      <w:sz w:val="24"/>
      <w:szCs w:val="22"/>
      <w:lang w:val="zh-CN" w:bidi="zh-CN"/>
    </w:rPr>
  </w:style>
  <w:style w:type="paragraph" w:customStyle="1" w:styleId="71">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72">
    <w:name w:val="_Style 1"/>
    <w:basedOn w:val="1"/>
    <w:autoRedefine/>
    <w:qFormat/>
    <w:uiPriority w:val="0"/>
    <w:pPr>
      <w:ind w:firstLine="420" w:firstLineChars="200"/>
    </w:pPr>
  </w:style>
  <w:style w:type="paragraph" w:customStyle="1" w:styleId="73">
    <w:name w:val="列出段落2"/>
    <w:basedOn w:val="1"/>
    <w:autoRedefine/>
    <w:qFormat/>
    <w:uiPriority w:val="0"/>
    <w:pPr>
      <w:ind w:firstLine="420" w:firstLineChars="200"/>
    </w:pPr>
  </w:style>
  <w:style w:type="paragraph" w:customStyle="1" w:styleId="74">
    <w:name w:val="p0"/>
    <w:basedOn w:val="1"/>
    <w:autoRedefine/>
    <w:qFormat/>
    <w:uiPriority w:val="0"/>
    <w:rPr>
      <w:szCs w:val="21"/>
    </w:rPr>
  </w:style>
  <w:style w:type="paragraph" w:customStyle="1" w:styleId="75">
    <w:name w:val="正文文本缩进 21"/>
    <w:basedOn w:val="1"/>
    <w:autoRedefine/>
    <w:qFormat/>
    <w:uiPriority w:val="0"/>
    <w:pPr>
      <w:spacing w:line="480" w:lineRule="auto"/>
      <w:ind w:firstLine="540"/>
    </w:pPr>
    <w:rPr>
      <w:rFonts w:ascii="Calibri" w:hAnsi="Calibri"/>
      <w:sz w:val="20"/>
      <w:szCs w:val="20"/>
    </w:rPr>
  </w:style>
  <w:style w:type="paragraph" w:customStyle="1" w:styleId="76">
    <w:name w:val="_Style 2"/>
    <w:basedOn w:val="1"/>
    <w:autoRedefine/>
    <w:qFormat/>
    <w:uiPriority w:val="0"/>
    <w:pPr>
      <w:ind w:firstLine="420" w:firstLineChars="200"/>
    </w:pPr>
  </w:style>
  <w:style w:type="paragraph" w:customStyle="1" w:styleId="77">
    <w:name w:val="msolistparagraph"/>
    <w:basedOn w:val="1"/>
    <w:autoRedefine/>
    <w:qFormat/>
    <w:uiPriority w:val="0"/>
    <w:pPr>
      <w:ind w:firstLine="420" w:firstLineChars="200"/>
    </w:pPr>
    <w:rPr>
      <w:rFonts w:hint="eastAsia" w:hAnsi="宋体"/>
    </w:rPr>
  </w:style>
  <w:style w:type="character" w:customStyle="1" w:styleId="78">
    <w:name w:val="标题 5 字符"/>
    <w:link w:val="6"/>
    <w:autoRedefine/>
    <w:qFormat/>
    <w:uiPriority w:val="0"/>
    <w:rPr>
      <w:b/>
      <w:sz w:val="28"/>
    </w:rPr>
  </w:style>
  <w:style w:type="character" w:customStyle="1" w:styleId="79">
    <w:name w:val="标题 1 字符"/>
    <w:link w:val="2"/>
    <w:autoRedefine/>
    <w:qFormat/>
    <w:uiPriority w:val="9"/>
    <w:rPr>
      <w:b/>
      <w:kern w:val="44"/>
      <w:sz w:val="44"/>
    </w:rPr>
  </w:style>
  <w:style w:type="paragraph" w:customStyle="1" w:styleId="80">
    <w:name w:val="修订1"/>
    <w:autoRedefine/>
    <w:hidden/>
    <w:semiHidden/>
    <w:qFormat/>
    <w:uiPriority w:val="99"/>
    <w:rPr>
      <w:rFonts w:ascii="Tahoma" w:hAnsi="Tahoma" w:eastAsia="宋体" w:cstheme="minorBidi"/>
      <w:sz w:val="21"/>
      <w:szCs w:val="22"/>
      <w:lang w:val="en-US" w:eastAsia="zh-CN" w:bidi="ar-SA"/>
    </w:rPr>
  </w:style>
  <w:style w:type="paragraph" w:customStyle="1" w:styleId="81">
    <w:name w:val="表格文字"/>
    <w:basedOn w:val="1"/>
    <w:autoRedefine/>
    <w:qFormat/>
    <w:uiPriority w:val="0"/>
    <w:pPr>
      <w:adjustRightInd/>
      <w:spacing w:before="25" w:after="25"/>
    </w:pPr>
    <w:rPr>
      <w:rFonts w:ascii="Times New Roman"/>
      <w:bCs/>
      <w:spacing w:val="10"/>
      <w:szCs w:val="20"/>
    </w:rPr>
  </w:style>
  <w:style w:type="paragraph" w:customStyle="1" w:styleId="82">
    <w:name w:val="纯文本1"/>
    <w:basedOn w:val="83"/>
    <w:autoRedefine/>
    <w:qFormat/>
    <w:uiPriority w:val="0"/>
    <w:rPr>
      <w:rFonts w:ascii="宋体" w:hAnsi="Courier New"/>
      <w:szCs w:val="20"/>
    </w:rPr>
  </w:style>
  <w:style w:type="paragraph" w:customStyle="1" w:styleId="83">
    <w:name w:val="正文 New"/>
    <w:autoRedefine/>
    <w:qFormat/>
    <w:uiPriority w:val="99"/>
    <w:pPr>
      <w:widowControl w:val="0"/>
      <w:spacing w:line="360" w:lineRule="auto"/>
      <w:jc w:val="both"/>
    </w:pPr>
    <w:rPr>
      <w:rFonts w:ascii="Times New Roman" w:hAnsi="Times New Roman" w:eastAsia="宋体" w:cs="黑体"/>
      <w:kern w:val="2"/>
      <w:sz w:val="21"/>
      <w:szCs w:val="22"/>
      <w:lang w:val="en-US" w:eastAsia="zh-CN" w:bidi="ar-SA"/>
    </w:rPr>
  </w:style>
  <w:style w:type="paragraph" w:customStyle="1" w:styleId="84">
    <w:name w:val="正文2"/>
    <w:autoRedefine/>
    <w:qFormat/>
    <w:uiPriority w:val="0"/>
    <w:pPr>
      <w:jc w:val="both"/>
    </w:pPr>
    <w:rPr>
      <w:rFonts w:ascii="Times New Roman" w:hAnsi="Times New Roman" w:eastAsia="宋体" w:cs="Times New Roman"/>
      <w:kern w:val="2"/>
      <w:sz w:val="21"/>
      <w:szCs w:val="21"/>
      <w:lang w:val="en-US" w:eastAsia="zh-CN" w:bidi="ar-SA"/>
    </w:rPr>
  </w:style>
  <w:style w:type="table" w:customStyle="1" w:styleId="85">
    <w:name w:val="Table Normal"/>
    <w:autoRedefine/>
    <w:unhideWhenUsed/>
    <w:qFormat/>
    <w:uiPriority w:val="2"/>
    <w:tblPr>
      <w:tblCellMar>
        <w:top w:w="0" w:type="dxa"/>
        <w:left w:w="0" w:type="dxa"/>
        <w:bottom w:w="0" w:type="dxa"/>
        <w:right w:w="0" w:type="dxa"/>
      </w:tblCellMar>
    </w:tblPr>
  </w:style>
  <w:style w:type="paragraph" w:customStyle="1" w:styleId="86">
    <w:name w:val="Table Paragraph"/>
    <w:basedOn w:val="1"/>
    <w:autoRedefine/>
    <w:qFormat/>
    <w:uiPriority w:val="1"/>
  </w:style>
  <w:style w:type="paragraph" w:customStyle="1" w:styleId="87">
    <w:name w:val="正文文本缩进1"/>
    <w:basedOn w:val="83"/>
    <w:autoRedefine/>
    <w:qFormat/>
    <w:uiPriority w:val="0"/>
    <w:pPr>
      <w:spacing w:after="120"/>
      <w:ind w:left="420" w:leftChars="200"/>
    </w:pPr>
  </w:style>
  <w:style w:type="paragraph" w:customStyle="1" w:styleId="88">
    <w:name w:val="正文 New New"/>
    <w:autoRedefine/>
    <w:qFormat/>
    <w:uiPriority w:val="0"/>
    <w:pPr>
      <w:widowControl w:val="0"/>
      <w:jc w:val="both"/>
    </w:pPr>
    <w:rPr>
      <w:rFonts w:ascii="Times New Roman" w:hAnsi="Times New Roman" w:eastAsia="宋体" w:cs="Times New Roman"/>
      <w:szCs w:val="24"/>
      <w:lang w:val="en-US" w:eastAsia="zh-CN" w:bidi="ar-SA"/>
    </w:rPr>
  </w:style>
  <w:style w:type="paragraph" w:customStyle="1" w:styleId="89">
    <w:name w:val="纯文本2"/>
    <w:basedOn w:val="83"/>
    <w:autoRedefine/>
    <w:qFormat/>
    <w:uiPriority w:val="0"/>
    <w:rPr>
      <w:rFonts w:ascii="宋体" w:hAnsi="Courier New"/>
      <w:szCs w:val="20"/>
    </w:rPr>
  </w:style>
  <w:style w:type="character" w:customStyle="1" w:styleId="90">
    <w:name w:val="font141"/>
    <w:autoRedefine/>
    <w:qFormat/>
    <w:uiPriority w:val="0"/>
    <w:rPr>
      <w:rFonts w:hint="default" w:ascii="Times New Roman" w:hAnsi="Times New Roman" w:cs="Times New Roman"/>
      <w:color w:val="000000"/>
      <w:sz w:val="18"/>
      <w:szCs w:val="18"/>
      <w:u w:val="none"/>
    </w:rPr>
  </w:style>
  <w:style w:type="character" w:customStyle="1" w:styleId="91">
    <w:name w:val="font71"/>
    <w:autoRedefine/>
    <w:qFormat/>
    <w:uiPriority w:val="0"/>
    <w:rPr>
      <w:rFonts w:hint="eastAsia" w:ascii="宋体" w:hAnsi="宋体" w:eastAsia="宋体" w:cs="宋体"/>
      <w:color w:val="000000"/>
      <w:sz w:val="18"/>
      <w:szCs w:val="18"/>
      <w:u w:val="none"/>
    </w:rPr>
  </w:style>
  <w:style w:type="paragraph" w:customStyle="1" w:styleId="92">
    <w:name w:val="保留正文"/>
    <w:basedOn w:val="13"/>
    <w:autoRedefine/>
    <w:qFormat/>
    <w:uiPriority w:val="0"/>
    <w:pPr>
      <w:keepNext/>
      <w:adjustRightInd/>
      <w:spacing w:after="160"/>
      <w:jc w:val="both"/>
    </w:pPr>
    <w:rPr>
      <w:rFonts w:ascii="Times New Roman"/>
      <w:sz w:val="21"/>
      <w:szCs w:val="24"/>
      <w:lang w:val="en-US"/>
    </w:rPr>
  </w:style>
  <w:style w:type="paragraph" w:customStyle="1" w:styleId="93">
    <w:name w:val="样式3"/>
    <w:basedOn w:val="20"/>
    <w:autoRedefine/>
    <w:qFormat/>
    <w:uiPriority w:val="0"/>
    <w:pPr>
      <w:ind w:left="0"/>
      <w:jc w:val="left"/>
    </w:pPr>
    <w:rPr>
      <w:rFonts w:ascii="宋体" w:hAnsi="宋体"/>
      <w:b/>
      <w:bCs/>
      <w:sz w:val="28"/>
      <w:szCs w:val="24"/>
    </w:rPr>
  </w:style>
  <w:style w:type="paragraph" w:customStyle="1" w:styleId="94">
    <w:name w:val="列表段落1"/>
    <w:basedOn w:val="1"/>
    <w:autoRedefine/>
    <w:qFormat/>
    <w:uiPriority w:val="34"/>
    <w:pPr>
      <w:ind w:firstLine="420" w:firstLineChars="200"/>
    </w:pPr>
    <w:rPr>
      <w:szCs w:val="20"/>
    </w:rPr>
  </w:style>
  <w:style w:type="paragraph" w:customStyle="1" w:styleId="95">
    <w:name w:val="样式 标题 3 + (中文) 黑体 小四 非加粗 段前: 7.8 磅 段后: 0 磅 行距: 固定值 20 磅"/>
    <w:basedOn w:val="4"/>
    <w:autoRedefine/>
    <w:qFormat/>
    <w:uiPriority w:val="0"/>
    <w:pPr>
      <w:spacing w:before="0" w:after="0" w:line="400" w:lineRule="exact"/>
    </w:pPr>
    <w:rPr>
      <w:rFonts w:eastAsia="黑体" w:cs="宋体"/>
      <w:sz w:val="24"/>
      <w:szCs w:val="20"/>
    </w:rPr>
  </w:style>
  <w:style w:type="paragraph" w:customStyle="1" w:styleId="96">
    <w:name w:val="无间隔1"/>
    <w:autoRedefine/>
    <w:qFormat/>
    <w:uiPriority w:val="1"/>
    <w:pPr>
      <w:widowControl w:val="0"/>
      <w:spacing w:line="300" w:lineRule="exact"/>
    </w:pPr>
    <w:rPr>
      <w:rFonts w:ascii="仿宋_GB2312" w:hAnsi="宋体" w:eastAsia="仿宋_GB2312" w:cs="Times New Roman"/>
      <w:color w:val="FF0000"/>
      <w:kern w:val="2"/>
      <w:sz w:val="24"/>
      <w:szCs w:val="24"/>
      <w:lang w:val="en-US" w:eastAsia="zh-CN" w:bidi="ar-SA"/>
    </w:rPr>
  </w:style>
  <w:style w:type="character" w:customStyle="1" w:styleId="97">
    <w:name w:val="font41"/>
    <w:autoRedefine/>
    <w:qFormat/>
    <w:uiPriority w:val="0"/>
    <w:rPr>
      <w:rFonts w:hint="eastAsia" w:ascii="宋体" w:hAnsi="宋体" w:eastAsia="宋体" w:cs="宋体"/>
      <w:color w:val="000000"/>
      <w:sz w:val="20"/>
      <w:szCs w:val="20"/>
      <w:u w:val="none"/>
    </w:rPr>
  </w:style>
  <w:style w:type="table" w:customStyle="1" w:styleId="98">
    <w:name w:val="Grid Table 4 Accent 1"/>
    <w:basedOn w:val="34"/>
    <w:qFormat/>
    <w:uiPriority w:val="49"/>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paragraph" w:customStyle="1" w:styleId="99">
    <w:name w:val="null3"/>
    <w:hidden/>
    <w:qFormat/>
    <w:uiPriority w:val="0"/>
    <w:rPr>
      <w:rFonts w:hint="eastAsia" w:asciiTheme="minorHAnsi" w:hAnsiTheme="minorHAnsi" w:eastAsiaTheme="minorEastAsia" w:cstheme="minorBidi"/>
      <w:lang w:val="en-US" w:eastAsia="zh-Hans"/>
    </w:rPr>
  </w:style>
  <w:style w:type="character" w:customStyle="1" w:styleId="100">
    <w:name w:val="font91"/>
    <w:basedOn w:val="36"/>
    <w:qFormat/>
    <w:uiPriority w:val="0"/>
    <w:rPr>
      <w:rFonts w:hint="default" w:ascii="PingFang SC" w:hAnsi="PingFang SC" w:eastAsia="PingFang SC" w:cs="PingFang SC"/>
      <w:color w:val="1F1F1F"/>
      <w:sz w:val="21"/>
      <w:szCs w:val="21"/>
      <w:u w:val="none"/>
    </w:rPr>
  </w:style>
  <w:style w:type="character" w:customStyle="1" w:styleId="101">
    <w:name w:val="font281"/>
    <w:basedOn w:val="36"/>
    <w:qFormat/>
    <w:uiPriority w:val="0"/>
    <w:rPr>
      <w:rFonts w:hint="eastAsia" w:ascii="宋体" w:hAnsi="宋体" w:eastAsia="宋体" w:cs="宋体"/>
      <w:color w:val="1F1F1F"/>
      <w:sz w:val="21"/>
      <w:szCs w:val="21"/>
      <w:u w:val="none"/>
    </w:rPr>
  </w:style>
  <w:style w:type="character" w:customStyle="1" w:styleId="102">
    <w:name w:val="font111"/>
    <w:basedOn w:val="36"/>
    <w:qFormat/>
    <w:uiPriority w:val="0"/>
    <w:rPr>
      <w:rFonts w:hint="eastAsia" w:ascii="宋体" w:hAnsi="宋体" w:eastAsia="宋体" w:cs="宋体"/>
      <w:color w:val="000000"/>
      <w:sz w:val="24"/>
      <w:szCs w:val="24"/>
      <w:u w:val="none"/>
    </w:rPr>
  </w:style>
  <w:style w:type="character" w:customStyle="1" w:styleId="103">
    <w:name w:val="font161"/>
    <w:basedOn w:val="36"/>
    <w:qFormat/>
    <w:uiPriority w:val="0"/>
    <w:rPr>
      <w:rFonts w:hint="default" w:ascii="PingFang SC" w:hAnsi="PingFang SC" w:eastAsia="PingFang SC" w:cs="PingFang SC"/>
      <w:color w:val="000000"/>
      <w:sz w:val="24"/>
      <w:szCs w:val="24"/>
      <w:u w:val="none"/>
    </w:rPr>
  </w:style>
  <w:style w:type="character" w:customStyle="1" w:styleId="104">
    <w:name w:val="font101"/>
    <w:basedOn w:val="36"/>
    <w:qFormat/>
    <w:uiPriority w:val="0"/>
    <w:rPr>
      <w:rFonts w:hint="eastAsia" w:ascii="宋体" w:hAnsi="宋体" w:eastAsia="宋体" w:cs="宋体"/>
      <w:color w:val="000000"/>
      <w:sz w:val="30"/>
      <w:szCs w:val="30"/>
      <w:u w:val="none"/>
    </w:rPr>
  </w:style>
  <w:style w:type="character" w:customStyle="1" w:styleId="105">
    <w:name w:val="font151"/>
    <w:basedOn w:val="36"/>
    <w:qFormat/>
    <w:uiPriority w:val="0"/>
    <w:rPr>
      <w:rFonts w:hint="default" w:ascii="PingFang SC" w:hAnsi="PingFang SC" w:eastAsia="PingFang SC" w:cs="PingFang SC"/>
      <w:color w:val="000000"/>
      <w:sz w:val="30"/>
      <w:szCs w:val="30"/>
      <w:u w:val="none"/>
    </w:rPr>
  </w:style>
  <w:style w:type="character" w:customStyle="1" w:styleId="106">
    <w:name w:val="font131"/>
    <w:basedOn w:val="36"/>
    <w:qFormat/>
    <w:uiPriority w:val="0"/>
    <w:rPr>
      <w:rFonts w:hint="default" w:ascii="PingFang SC" w:hAnsi="PingFang SC" w:eastAsia="PingFang SC" w:cs="PingFang SC"/>
      <w:color w:val="1F1F1F"/>
      <w:sz w:val="24"/>
      <w:szCs w:val="24"/>
      <w:u w:val="none"/>
    </w:rPr>
  </w:style>
  <w:style w:type="character" w:customStyle="1" w:styleId="107">
    <w:name w:val="font261"/>
    <w:basedOn w:val="36"/>
    <w:qFormat/>
    <w:uiPriority w:val="0"/>
    <w:rPr>
      <w:rFonts w:hint="eastAsia" w:ascii="宋体" w:hAnsi="宋体" w:eastAsia="宋体" w:cs="宋体"/>
      <w:color w:val="1F1F1F"/>
      <w:sz w:val="24"/>
      <w:szCs w:val="24"/>
      <w:u w:val="none"/>
    </w:rPr>
  </w:style>
  <w:style w:type="character" w:customStyle="1" w:styleId="108">
    <w:name w:val="font81"/>
    <w:basedOn w:val="36"/>
    <w:qFormat/>
    <w:uiPriority w:val="0"/>
    <w:rPr>
      <w:rFonts w:hint="eastAsia" w:ascii="微软雅黑" w:hAnsi="微软雅黑" w:eastAsia="微软雅黑" w:cs="微软雅黑"/>
      <w:color w:val="000000"/>
      <w:sz w:val="18"/>
      <w:szCs w:val="18"/>
      <w:u w:val="none"/>
    </w:rPr>
  </w:style>
  <w:style w:type="character" w:customStyle="1" w:styleId="109">
    <w:name w:val="font371"/>
    <w:basedOn w:val="36"/>
    <w:qFormat/>
    <w:uiPriority w:val="0"/>
    <w:rPr>
      <w:rFonts w:ascii="宋体" w:hAnsi="宋体" w:eastAsia="宋体" w:cs="宋体"/>
      <w:color w:val="000000"/>
      <w:sz w:val="18"/>
      <w:szCs w:val="18"/>
      <w:u w:val="none"/>
    </w:rPr>
  </w:style>
  <w:style w:type="character" w:customStyle="1" w:styleId="110">
    <w:name w:val="font291"/>
    <w:basedOn w:val="36"/>
    <w:qFormat/>
    <w:uiPriority w:val="0"/>
    <w:rPr>
      <w:rFonts w:hint="eastAsia" w:ascii="宋体" w:hAnsi="宋体" w:eastAsia="宋体" w:cs="宋体"/>
      <w:color w:val="000000"/>
      <w:sz w:val="24"/>
      <w:szCs w:val="24"/>
      <w:u w:val="none"/>
    </w:rPr>
  </w:style>
  <w:style w:type="character" w:customStyle="1" w:styleId="111">
    <w:name w:val="font321"/>
    <w:basedOn w:val="36"/>
    <w:qFormat/>
    <w:uiPriority w:val="0"/>
    <w:rPr>
      <w:rFonts w:ascii="Arial" w:hAnsi="Arial" w:cs="Arial"/>
      <w:color w:val="000000"/>
      <w:sz w:val="24"/>
      <w:szCs w:val="24"/>
      <w:u w:val="none"/>
    </w:rPr>
  </w:style>
  <w:style w:type="character" w:customStyle="1" w:styleId="112">
    <w:name w:val="font301"/>
    <w:basedOn w:val="36"/>
    <w:qFormat/>
    <w:uiPriority w:val="0"/>
    <w:rPr>
      <w:rFonts w:hint="default" w:ascii="Arial" w:hAnsi="Arial" w:cs="Arial"/>
      <w:color w:val="000000"/>
      <w:sz w:val="24"/>
      <w:szCs w:val="24"/>
      <w:u w:val="none"/>
    </w:rPr>
  </w:style>
  <w:style w:type="character" w:customStyle="1" w:styleId="113">
    <w:name w:val="font341"/>
    <w:basedOn w:val="36"/>
    <w:qFormat/>
    <w:uiPriority w:val="0"/>
    <w:rPr>
      <w:rFonts w:hint="eastAsia" w:ascii="宋体" w:hAnsi="宋体" w:eastAsia="宋体" w:cs="宋体"/>
      <w:color w:val="000000"/>
      <w:sz w:val="20"/>
      <w:szCs w:val="20"/>
      <w:u w:val="none"/>
    </w:rPr>
  </w:style>
  <w:style w:type="character" w:customStyle="1" w:styleId="114">
    <w:name w:val="font312"/>
    <w:basedOn w:val="36"/>
    <w:qFormat/>
    <w:uiPriority w:val="0"/>
    <w:rPr>
      <w:rFonts w:hint="default" w:ascii="Arial" w:hAnsi="Arial" w:cs="Arial"/>
      <w:color w:val="000000"/>
      <w:sz w:val="20"/>
      <w:szCs w:val="20"/>
      <w:u w:val="none"/>
    </w:rPr>
  </w:style>
  <w:style w:type="character" w:customStyle="1" w:styleId="115">
    <w:name w:val="font331"/>
    <w:basedOn w:val="36"/>
    <w:qFormat/>
    <w:uiPriority w:val="0"/>
    <w:rPr>
      <w:rFonts w:hint="eastAsia" w:ascii="宋体" w:hAnsi="宋体" w:eastAsia="宋体" w:cs="宋体"/>
      <w:color w:val="000000"/>
      <w:sz w:val="24"/>
      <w:szCs w:val="24"/>
      <w:u w:val="none"/>
    </w:rPr>
  </w:style>
  <w:style w:type="character" w:customStyle="1" w:styleId="116">
    <w:name w:val="font381"/>
    <w:basedOn w:val="36"/>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73</Pages>
  <Words>39787</Words>
  <Characters>41345</Characters>
  <Lines>422</Lines>
  <Paragraphs>118</Paragraphs>
  <TotalTime>35</TotalTime>
  <ScaleCrop>false</ScaleCrop>
  <LinksUpToDate>false</LinksUpToDate>
  <CharactersWithSpaces>42925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2023-09-25T17:17:00Z</dcterms:created>
  <dc:creator>Administrator</dc:creator>
  <cp:lastModifiedBy>456</cp:lastModifiedBy>
  <cp:lastPrinted>2024-04-25T04:22:00Z</cp:lastPrinted>
  <dcterms:modified xsi:type="dcterms:W3CDTF">2026-05-20T02:31:41Z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C086339E985C4E24804EC56DB9E92BBB_13</vt:lpwstr>
  </property>
  <property fmtid="{D5CDD505-2E9C-101B-9397-08002B2CF9AE}" pid="4" name="KSOTemplateDocerSaveRecord">
    <vt:lpwstr>eyJoZGlkIjoiMjA3ODQ0Zjk5MTc3OWJiYmUyZTM2NjllYTAzNzZlNTAiLCJ1c2VySWQiOiIyODI2MTk1NTAifQ==</vt:lpwstr>
  </property>
</Properties>
</file>