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5F7553">
      <w:pPr>
        <w:jc w:val="right"/>
        <w:rPr>
          <w:rFonts w:ascii="黑体" w:eastAsia="黑体"/>
          <w:szCs w:val="21"/>
        </w:rPr>
      </w:pPr>
    </w:p>
    <w:p w14:paraId="59F994BF">
      <w:pPr>
        <w:pStyle w:val="40"/>
        <w:ind w:firstLine="400"/>
      </w:pPr>
    </w:p>
    <w:p w14:paraId="14D60297"/>
    <w:p w14:paraId="2454813A"/>
    <w:p w14:paraId="0E6FD606"/>
    <w:p w14:paraId="4AEC015E">
      <w:pPr>
        <w:ind w:right="-28"/>
        <w:jc w:val="center"/>
        <w:textAlignment w:val="bottom"/>
        <w:rPr>
          <w:rFonts w:ascii="黑体" w:hAnsi="黑体" w:eastAsia="黑体" w:cs="黑体"/>
          <w:bCs/>
          <w:spacing w:val="57"/>
          <w:sz w:val="96"/>
          <w:szCs w:val="96"/>
        </w:rPr>
      </w:pPr>
      <w:r>
        <w:rPr>
          <w:rFonts w:hint="eastAsia" w:ascii="黑体" w:hAnsi="黑体" w:eastAsia="黑体" w:cs="黑体"/>
          <w:bCs/>
          <w:spacing w:val="57"/>
          <w:sz w:val="96"/>
          <w:szCs w:val="96"/>
        </w:rPr>
        <w:t>公开采购文件</w:t>
      </w:r>
    </w:p>
    <w:p w14:paraId="4628AC5D"/>
    <w:p w14:paraId="02C9B376">
      <w:pPr>
        <w:pStyle w:val="2"/>
      </w:pPr>
    </w:p>
    <w:p w14:paraId="0F75CF01"/>
    <w:p w14:paraId="2B8CC322"/>
    <w:p w14:paraId="22D1C992"/>
    <w:p w14:paraId="328E86F3"/>
    <w:p w14:paraId="1A12592F"/>
    <w:p w14:paraId="1C35B6DE"/>
    <w:tbl>
      <w:tblPr>
        <w:tblStyle w:val="32"/>
        <w:tblW w:w="0" w:type="auto"/>
        <w:tblInd w:w="-29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602"/>
        <w:gridCol w:w="6177"/>
      </w:tblGrid>
      <w:tr w14:paraId="38416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2602" w:type="dxa"/>
            <w:noWrap/>
            <w:vAlign w:val="center"/>
          </w:tcPr>
          <w:p w14:paraId="6FD91FBC">
            <w:pPr>
              <w:spacing w:before="200"/>
              <w:jc w:val="both"/>
              <w:rPr>
                <w:rFonts w:hint="eastAsia" w:asciiTheme="minorEastAsia" w:hAnsiTheme="minorEastAsia" w:eastAsiaTheme="minorEastAsia" w:cstheme="minorEastAsia"/>
                <w:bCs/>
                <w:sz w:val="28"/>
                <w:szCs w:val="22"/>
              </w:rPr>
            </w:pPr>
            <w:r>
              <w:rPr>
                <w:rFonts w:hint="eastAsia" w:asciiTheme="minorEastAsia" w:hAnsiTheme="minorEastAsia" w:eastAsiaTheme="minorEastAsia" w:cstheme="minorEastAsia"/>
                <w:bCs/>
                <w:sz w:val="28"/>
                <w:szCs w:val="22"/>
              </w:rPr>
              <w:t>项目名称：</w:t>
            </w:r>
          </w:p>
        </w:tc>
        <w:tc>
          <w:tcPr>
            <w:tcW w:w="6177" w:type="dxa"/>
            <w:noWrap/>
            <w:vAlign w:val="center"/>
          </w:tcPr>
          <w:p w14:paraId="40D68C12">
            <w:pPr>
              <w:spacing w:before="200"/>
              <w:jc w:val="both"/>
              <w:rPr>
                <w:rFonts w:hint="eastAsia" w:asciiTheme="minorEastAsia" w:hAnsiTheme="minorEastAsia" w:eastAsiaTheme="minorEastAsia" w:cstheme="minorEastAsia"/>
                <w:bCs/>
                <w:sz w:val="28"/>
                <w:szCs w:val="22"/>
              </w:rPr>
            </w:pPr>
            <w:r>
              <w:rPr>
                <w:rFonts w:hint="eastAsia" w:asciiTheme="minorEastAsia" w:hAnsiTheme="minorEastAsia" w:eastAsiaTheme="minorEastAsia" w:cstheme="minorEastAsia"/>
                <w:bCs/>
                <w:sz w:val="28"/>
                <w:szCs w:val="22"/>
              </w:rPr>
              <w:t>东莞能源集团安全信息化管理系统建设项目</w:t>
            </w:r>
          </w:p>
        </w:tc>
      </w:tr>
      <w:tr w14:paraId="514A8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trPr>
        <w:tc>
          <w:tcPr>
            <w:tcW w:w="2602" w:type="dxa"/>
            <w:noWrap/>
            <w:vAlign w:val="center"/>
          </w:tcPr>
          <w:p w14:paraId="6A543730">
            <w:pPr>
              <w:spacing w:before="200"/>
              <w:jc w:val="both"/>
              <w:rPr>
                <w:rFonts w:hint="eastAsia" w:asciiTheme="minorEastAsia" w:hAnsiTheme="minorEastAsia" w:eastAsiaTheme="minorEastAsia" w:cstheme="minorEastAsia"/>
                <w:bCs/>
                <w:sz w:val="28"/>
                <w:szCs w:val="22"/>
              </w:rPr>
            </w:pPr>
            <w:r>
              <w:rPr>
                <w:rFonts w:hint="eastAsia" w:asciiTheme="minorEastAsia" w:hAnsiTheme="minorEastAsia" w:eastAsiaTheme="minorEastAsia" w:cstheme="minorEastAsia"/>
                <w:bCs/>
                <w:sz w:val="28"/>
                <w:szCs w:val="22"/>
              </w:rPr>
              <w:t>项目采购编号：</w:t>
            </w:r>
          </w:p>
        </w:tc>
        <w:tc>
          <w:tcPr>
            <w:tcW w:w="6177" w:type="dxa"/>
            <w:noWrap/>
            <w:vAlign w:val="center"/>
          </w:tcPr>
          <w:p w14:paraId="0A7FFF78">
            <w:pPr>
              <w:spacing w:before="200"/>
              <w:jc w:val="both"/>
              <w:rPr>
                <w:rFonts w:hint="eastAsia" w:asciiTheme="minorEastAsia" w:hAnsiTheme="minorEastAsia" w:eastAsiaTheme="minorEastAsia" w:cstheme="minorEastAsia"/>
                <w:bCs/>
                <w:sz w:val="28"/>
                <w:szCs w:val="22"/>
                <w:u w:val="none"/>
              </w:rPr>
            </w:pPr>
            <w:r>
              <w:rPr>
                <w:rFonts w:hint="eastAsia" w:asciiTheme="minorEastAsia" w:hAnsiTheme="minorEastAsia" w:eastAsiaTheme="minorEastAsia" w:cstheme="minorEastAsia"/>
                <w:bCs/>
                <w:sz w:val="28"/>
                <w:szCs w:val="22"/>
                <w:u w:val="none"/>
              </w:rPr>
              <w:t>WTZB2026DG0013</w:t>
            </w:r>
          </w:p>
        </w:tc>
      </w:tr>
      <w:tr w14:paraId="0B3E9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7" w:hRule="atLeast"/>
        </w:trPr>
        <w:tc>
          <w:tcPr>
            <w:tcW w:w="2602" w:type="dxa"/>
            <w:noWrap/>
            <w:vAlign w:val="center"/>
          </w:tcPr>
          <w:p w14:paraId="177B4DDC">
            <w:pPr>
              <w:spacing w:before="200"/>
              <w:jc w:val="both"/>
              <w:rPr>
                <w:rFonts w:hint="eastAsia" w:asciiTheme="minorEastAsia" w:hAnsiTheme="minorEastAsia" w:eastAsiaTheme="minorEastAsia" w:cstheme="minorEastAsia"/>
                <w:bCs/>
                <w:sz w:val="28"/>
                <w:szCs w:val="22"/>
              </w:rPr>
            </w:pPr>
            <w:r>
              <w:rPr>
                <w:rFonts w:hint="eastAsia" w:asciiTheme="minorEastAsia" w:hAnsiTheme="minorEastAsia" w:eastAsiaTheme="minorEastAsia" w:cstheme="minorEastAsia"/>
                <w:bCs/>
                <w:sz w:val="28"/>
                <w:szCs w:val="22"/>
              </w:rPr>
              <w:t>采购人：</w:t>
            </w:r>
          </w:p>
        </w:tc>
        <w:tc>
          <w:tcPr>
            <w:tcW w:w="6177" w:type="dxa"/>
            <w:noWrap/>
            <w:vAlign w:val="center"/>
          </w:tcPr>
          <w:p w14:paraId="5EA6C864">
            <w:pPr>
              <w:spacing w:before="200"/>
              <w:jc w:val="both"/>
              <w:rPr>
                <w:rFonts w:hint="eastAsia" w:asciiTheme="minorEastAsia" w:hAnsiTheme="minorEastAsia" w:eastAsiaTheme="minorEastAsia" w:cstheme="minorEastAsia"/>
                <w:bCs/>
                <w:sz w:val="28"/>
                <w:szCs w:val="22"/>
                <w:u w:val="none"/>
                <w:lang w:eastAsia="zh-CN"/>
              </w:rPr>
            </w:pPr>
            <w:r>
              <w:rPr>
                <w:rFonts w:hint="eastAsia" w:asciiTheme="minorEastAsia" w:hAnsiTheme="minorEastAsia" w:eastAsiaTheme="minorEastAsia" w:cstheme="minorEastAsia"/>
                <w:bCs/>
                <w:sz w:val="28"/>
                <w:szCs w:val="22"/>
                <w:u w:val="none"/>
                <w:lang w:eastAsia="zh-CN"/>
              </w:rPr>
              <w:t>东莞市能源投资集团有限公司</w:t>
            </w:r>
          </w:p>
        </w:tc>
      </w:tr>
      <w:tr w14:paraId="6F0C9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7" w:hRule="atLeast"/>
        </w:trPr>
        <w:tc>
          <w:tcPr>
            <w:tcW w:w="2602" w:type="dxa"/>
            <w:noWrap/>
            <w:vAlign w:val="center"/>
          </w:tcPr>
          <w:p w14:paraId="38193757">
            <w:pPr>
              <w:spacing w:before="200"/>
              <w:jc w:val="both"/>
              <w:rPr>
                <w:rFonts w:hint="eastAsia" w:asciiTheme="minorEastAsia" w:hAnsiTheme="minorEastAsia" w:eastAsiaTheme="minorEastAsia" w:cstheme="minorEastAsia"/>
                <w:bCs/>
                <w:sz w:val="28"/>
                <w:szCs w:val="22"/>
              </w:rPr>
            </w:pPr>
            <w:r>
              <w:rPr>
                <w:rFonts w:hint="eastAsia" w:asciiTheme="minorEastAsia" w:hAnsiTheme="minorEastAsia" w:eastAsiaTheme="minorEastAsia" w:cstheme="minorEastAsia"/>
                <w:bCs/>
                <w:sz w:val="28"/>
                <w:szCs w:val="22"/>
              </w:rPr>
              <w:t>采购代理：</w:t>
            </w:r>
          </w:p>
        </w:tc>
        <w:tc>
          <w:tcPr>
            <w:tcW w:w="6177" w:type="dxa"/>
            <w:noWrap/>
            <w:vAlign w:val="center"/>
          </w:tcPr>
          <w:p w14:paraId="5BDEBD7E">
            <w:pPr>
              <w:spacing w:before="200"/>
              <w:jc w:val="both"/>
              <w:rPr>
                <w:rFonts w:hint="eastAsia" w:asciiTheme="minorEastAsia" w:hAnsiTheme="minorEastAsia" w:eastAsiaTheme="minorEastAsia" w:cstheme="minorEastAsia"/>
                <w:bCs/>
                <w:sz w:val="28"/>
                <w:szCs w:val="22"/>
              </w:rPr>
            </w:pPr>
            <w:r>
              <w:rPr>
                <w:rFonts w:hint="eastAsia" w:asciiTheme="minorEastAsia" w:hAnsiTheme="minorEastAsia" w:eastAsiaTheme="minorEastAsia" w:cstheme="minorEastAsia"/>
                <w:bCs/>
                <w:sz w:val="28"/>
                <w:szCs w:val="22"/>
              </w:rPr>
              <w:t>广州宏达工程顾问集团有限公司</w:t>
            </w:r>
          </w:p>
        </w:tc>
      </w:tr>
    </w:tbl>
    <w:p w14:paraId="078F6782">
      <w:pPr>
        <w:jc w:val="center"/>
        <w:rPr>
          <w:rFonts w:ascii="黑体" w:eastAsia="黑体"/>
          <w:szCs w:val="21"/>
        </w:rPr>
      </w:pPr>
    </w:p>
    <w:p w14:paraId="4C214923">
      <w:pPr>
        <w:jc w:val="center"/>
        <w:rPr>
          <w:rFonts w:ascii="黑体" w:eastAsia="黑体"/>
          <w:szCs w:val="21"/>
        </w:rPr>
      </w:pPr>
    </w:p>
    <w:p w14:paraId="46FDFD68">
      <w:pPr>
        <w:jc w:val="center"/>
        <w:rPr>
          <w:rFonts w:ascii="黑体" w:eastAsia="黑体"/>
          <w:szCs w:val="21"/>
        </w:rPr>
      </w:pPr>
    </w:p>
    <w:p w14:paraId="7A9D1723">
      <w:pPr>
        <w:pStyle w:val="40"/>
        <w:ind w:firstLine="400"/>
      </w:pPr>
    </w:p>
    <w:p w14:paraId="0EF25D22">
      <w:pPr>
        <w:jc w:val="both"/>
        <w:rPr>
          <w:rFonts w:ascii="黑体" w:eastAsia="黑体"/>
          <w:szCs w:val="21"/>
        </w:rPr>
      </w:pPr>
    </w:p>
    <w:p w14:paraId="4D953D3E">
      <w:pPr>
        <w:spacing w:before="200"/>
        <w:jc w:val="center"/>
        <w:rPr>
          <w:rFonts w:ascii="黑体" w:hAnsi="黑体" w:eastAsia="黑体" w:cs="黑体"/>
          <w:bCs/>
          <w:sz w:val="32"/>
          <w:szCs w:val="24"/>
        </w:rPr>
      </w:pPr>
      <w:r>
        <w:rPr>
          <w:rFonts w:hint="eastAsia" w:ascii="黑体" w:hAnsi="黑体" w:eastAsia="黑体" w:cs="黑体"/>
          <w:bCs/>
          <w:sz w:val="32"/>
          <w:szCs w:val="24"/>
        </w:rPr>
        <w:t>20</w:t>
      </w:r>
      <w:r>
        <w:rPr>
          <w:rFonts w:hint="eastAsia" w:ascii="黑体" w:hAnsi="黑体" w:eastAsia="黑体" w:cs="黑体"/>
          <w:bCs/>
          <w:sz w:val="32"/>
          <w:szCs w:val="24"/>
          <w:lang w:val="en-US" w:eastAsia="zh-CN"/>
        </w:rPr>
        <w:t>26</w:t>
      </w:r>
      <w:r>
        <w:rPr>
          <w:rFonts w:hint="eastAsia" w:ascii="黑体" w:hAnsi="黑体" w:eastAsia="黑体" w:cs="黑体"/>
          <w:bCs/>
          <w:sz w:val="32"/>
          <w:szCs w:val="24"/>
        </w:rPr>
        <w:t xml:space="preserve">年 </w:t>
      </w:r>
      <w:r>
        <w:rPr>
          <w:rFonts w:hint="eastAsia" w:ascii="黑体" w:hAnsi="黑体" w:eastAsia="黑体" w:cs="黑体"/>
          <w:bCs/>
          <w:sz w:val="32"/>
          <w:szCs w:val="24"/>
          <w:lang w:val="en-US" w:eastAsia="zh-CN"/>
        </w:rPr>
        <w:t xml:space="preserve">4 </w:t>
      </w:r>
      <w:r>
        <w:rPr>
          <w:rFonts w:hint="eastAsia" w:ascii="黑体" w:hAnsi="黑体" w:eastAsia="黑体" w:cs="黑体"/>
          <w:bCs/>
          <w:sz w:val="32"/>
          <w:szCs w:val="24"/>
        </w:rPr>
        <w:t>月</w:t>
      </w:r>
    </w:p>
    <w:p w14:paraId="373DB058">
      <w:pPr>
        <w:sectPr>
          <w:footerReference r:id="rId7" w:type="first"/>
          <w:headerReference r:id="rId5" w:type="even"/>
          <w:footerReference r:id="rId6" w:type="even"/>
          <w:pgSz w:w="11906" w:h="16838"/>
          <w:pgMar w:top="1440" w:right="1800" w:bottom="1440" w:left="1800" w:header="708" w:footer="708" w:gutter="0"/>
          <w:pgNumType w:start="1"/>
          <w:cols w:space="708" w:num="1"/>
          <w:titlePg/>
          <w:docGrid w:type="lines" w:linePitch="360" w:charSpace="0"/>
        </w:sectPr>
      </w:pPr>
    </w:p>
    <w:p w14:paraId="69FC3B88">
      <w:pPr>
        <w:pStyle w:val="25"/>
        <w:ind w:left="0" w:leftChars="0"/>
        <w:rPr>
          <w:sz w:val="40"/>
          <w:szCs w:val="40"/>
        </w:rPr>
      </w:pPr>
      <w:r>
        <w:rPr>
          <w:rFonts w:hint="eastAsia"/>
          <w:sz w:val="40"/>
          <w:szCs w:val="40"/>
        </w:rPr>
        <w:t>目录</w:t>
      </w:r>
    </w:p>
    <w:p w14:paraId="369604FA">
      <w:pPr>
        <w:pStyle w:val="21"/>
        <w:tabs>
          <w:tab w:val="left" w:pos="-200"/>
          <w:tab w:val="right" w:leader="dot" w:pos="830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TOC \o "1-3" \h \u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_Toc28921 </w:instrText>
      </w:r>
      <w:r>
        <w:rPr>
          <w:rFonts w:hint="eastAsia" w:asciiTheme="minorEastAsia" w:hAnsiTheme="minorEastAsia" w:eastAsiaTheme="minorEastAsia" w:cstheme="minorEastAsia"/>
          <w:sz w:val="21"/>
          <w:szCs w:val="21"/>
        </w:rPr>
        <w:fldChar w:fldCharType="separate"/>
      </w:r>
      <w:r>
        <w:rPr>
          <w:rFonts w:hint="eastAsia"/>
          <w:sz w:val="21"/>
          <w:szCs w:val="21"/>
        </w:rPr>
        <w:t>第一部分投</w:t>
      </w:r>
      <w:r>
        <w:rPr>
          <w:rFonts w:hint="eastAsia"/>
          <w:sz w:val="21"/>
          <w:szCs w:val="21"/>
          <w:highlight w:val="none"/>
        </w:rPr>
        <w:t>标邀请</w:t>
      </w:r>
      <w:r>
        <w:rPr>
          <w:sz w:val="21"/>
          <w:szCs w:val="21"/>
        </w:rPr>
        <w:tab/>
      </w:r>
      <w:r>
        <w:rPr>
          <w:sz w:val="21"/>
          <w:szCs w:val="21"/>
        </w:rPr>
        <w:fldChar w:fldCharType="begin"/>
      </w:r>
      <w:r>
        <w:rPr>
          <w:sz w:val="21"/>
          <w:szCs w:val="21"/>
        </w:rPr>
        <w:instrText xml:space="preserve"> PAGEREF _Toc28921 \h </w:instrText>
      </w:r>
      <w:r>
        <w:rPr>
          <w:sz w:val="21"/>
          <w:szCs w:val="21"/>
        </w:rPr>
        <w:fldChar w:fldCharType="separate"/>
      </w:r>
      <w:r>
        <w:rPr>
          <w:sz w:val="21"/>
          <w:szCs w:val="21"/>
        </w:rPr>
        <w:t>1</w:t>
      </w:r>
      <w:r>
        <w:rPr>
          <w:sz w:val="21"/>
          <w:szCs w:val="21"/>
        </w:rPr>
        <w:fldChar w:fldCharType="end"/>
      </w:r>
      <w:r>
        <w:rPr>
          <w:rFonts w:hint="eastAsia" w:asciiTheme="minorEastAsia" w:hAnsiTheme="minorEastAsia" w:eastAsiaTheme="minorEastAsia" w:cstheme="minorEastAsia"/>
          <w:sz w:val="21"/>
          <w:szCs w:val="21"/>
        </w:rPr>
        <w:fldChar w:fldCharType="end"/>
      </w:r>
    </w:p>
    <w:p w14:paraId="429F21C0">
      <w:pPr>
        <w:pStyle w:val="2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_Toc11865 </w:instrText>
      </w:r>
      <w:r>
        <w:rPr>
          <w:rFonts w:hint="eastAsia" w:asciiTheme="minorEastAsia" w:hAnsiTheme="minorEastAsia" w:eastAsiaTheme="minorEastAsia" w:cstheme="minorEastAsia"/>
          <w:sz w:val="21"/>
          <w:szCs w:val="21"/>
        </w:rPr>
        <w:fldChar w:fldCharType="separate"/>
      </w:r>
      <w:r>
        <w:rPr>
          <w:rFonts w:hint="eastAsia" w:ascii="宋体" w:hAnsi="宋体" w:cs="宋体"/>
          <w:sz w:val="21"/>
          <w:szCs w:val="21"/>
          <w:highlight w:val="none"/>
        </w:rPr>
        <w:t>投标邀请书</w:t>
      </w:r>
      <w:r>
        <w:rPr>
          <w:sz w:val="21"/>
          <w:szCs w:val="21"/>
        </w:rPr>
        <w:tab/>
      </w:r>
      <w:r>
        <w:rPr>
          <w:sz w:val="21"/>
          <w:szCs w:val="21"/>
        </w:rPr>
        <w:fldChar w:fldCharType="begin"/>
      </w:r>
      <w:r>
        <w:rPr>
          <w:sz w:val="21"/>
          <w:szCs w:val="21"/>
        </w:rPr>
        <w:instrText xml:space="preserve"> PAGEREF _Toc11865 \h </w:instrText>
      </w:r>
      <w:r>
        <w:rPr>
          <w:sz w:val="21"/>
          <w:szCs w:val="21"/>
        </w:rPr>
        <w:fldChar w:fldCharType="separate"/>
      </w:r>
      <w:r>
        <w:rPr>
          <w:sz w:val="21"/>
          <w:szCs w:val="21"/>
        </w:rPr>
        <w:t>1</w:t>
      </w:r>
      <w:r>
        <w:rPr>
          <w:sz w:val="21"/>
          <w:szCs w:val="21"/>
        </w:rPr>
        <w:fldChar w:fldCharType="end"/>
      </w:r>
      <w:r>
        <w:rPr>
          <w:rFonts w:hint="eastAsia" w:asciiTheme="minorEastAsia" w:hAnsiTheme="minorEastAsia" w:eastAsiaTheme="minorEastAsia" w:cstheme="minorEastAsia"/>
          <w:sz w:val="21"/>
          <w:szCs w:val="21"/>
        </w:rPr>
        <w:fldChar w:fldCharType="end"/>
      </w:r>
    </w:p>
    <w:p w14:paraId="04F3F177">
      <w:pPr>
        <w:pStyle w:val="21"/>
        <w:tabs>
          <w:tab w:val="left" w:pos="-200"/>
          <w:tab w:val="right" w:leader="dot" w:pos="830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_Toc10132 </w:instrText>
      </w:r>
      <w:r>
        <w:rPr>
          <w:rFonts w:hint="eastAsia" w:asciiTheme="minorEastAsia" w:hAnsiTheme="minorEastAsia" w:eastAsiaTheme="minorEastAsia" w:cstheme="minorEastAsia"/>
          <w:sz w:val="21"/>
          <w:szCs w:val="21"/>
        </w:rPr>
        <w:fldChar w:fldCharType="separate"/>
      </w:r>
      <w:r>
        <w:rPr>
          <w:rFonts w:hint="eastAsia"/>
          <w:sz w:val="21"/>
          <w:szCs w:val="21"/>
        </w:rPr>
        <w:t>第二部分相关资料表格</w:t>
      </w:r>
      <w:r>
        <w:rPr>
          <w:sz w:val="21"/>
          <w:szCs w:val="21"/>
        </w:rPr>
        <w:tab/>
      </w:r>
      <w:r>
        <w:rPr>
          <w:sz w:val="21"/>
          <w:szCs w:val="21"/>
        </w:rPr>
        <w:fldChar w:fldCharType="begin"/>
      </w:r>
      <w:r>
        <w:rPr>
          <w:sz w:val="21"/>
          <w:szCs w:val="21"/>
        </w:rPr>
        <w:instrText xml:space="preserve"> PAGEREF _Toc10132 \h </w:instrText>
      </w:r>
      <w:r>
        <w:rPr>
          <w:sz w:val="21"/>
          <w:szCs w:val="21"/>
        </w:rPr>
        <w:fldChar w:fldCharType="separate"/>
      </w:r>
      <w:r>
        <w:rPr>
          <w:sz w:val="21"/>
          <w:szCs w:val="21"/>
        </w:rPr>
        <w:t>4</w:t>
      </w:r>
      <w:r>
        <w:rPr>
          <w:sz w:val="21"/>
          <w:szCs w:val="21"/>
        </w:rPr>
        <w:fldChar w:fldCharType="end"/>
      </w:r>
      <w:r>
        <w:rPr>
          <w:rFonts w:hint="eastAsia" w:asciiTheme="minorEastAsia" w:hAnsiTheme="minorEastAsia" w:eastAsiaTheme="minorEastAsia" w:cstheme="minorEastAsia"/>
          <w:sz w:val="21"/>
          <w:szCs w:val="21"/>
        </w:rPr>
        <w:fldChar w:fldCharType="end"/>
      </w:r>
    </w:p>
    <w:p w14:paraId="58AAEAAB">
      <w:pPr>
        <w:pStyle w:val="2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_Toc13439 </w:instrText>
      </w:r>
      <w:r>
        <w:rPr>
          <w:rFonts w:hint="eastAsia" w:asciiTheme="minorEastAsia" w:hAnsiTheme="minorEastAsia" w:eastAsiaTheme="minorEastAsia" w:cstheme="minorEastAsia"/>
          <w:sz w:val="21"/>
          <w:szCs w:val="21"/>
        </w:rPr>
        <w:fldChar w:fldCharType="separate"/>
      </w:r>
      <w:r>
        <w:rPr>
          <w:rFonts w:hint="eastAsia" w:ascii="宋体" w:hAnsi="宋体" w:cs="宋体"/>
          <w:sz w:val="21"/>
          <w:szCs w:val="21"/>
        </w:rPr>
        <w:t>附表一：投标资料表</w:t>
      </w:r>
      <w:r>
        <w:rPr>
          <w:sz w:val="21"/>
          <w:szCs w:val="21"/>
        </w:rPr>
        <w:tab/>
      </w:r>
      <w:r>
        <w:rPr>
          <w:sz w:val="21"/>
          <w:szCs w:val="21"/>
        </w:rPr>
        <w:fldChar w:fldCharType="begin"/>
      </w:r>
      <w:r>
        <w:rPr>
          <w:sz w:val="21"/>
          <w:szCs w:val="21"/>
        </w:rPr>
        <w:instrText xml:space="preserve"> PAGEREF _Toc13439 \h </w:instrText>
      </w:r>
      <w:r>
        <w:rPr>
          <w:sz w:val="21"/>
          <w:szCs w:val="21"/>
        </w:rPr>
        <w:fldChar w:fldCharType="separate"/>
      </w:r>
      <w:r>
        <w:rPr>
          <w:sz w:val="21"/>
          <w:szCs w:val="21"/>
        </w:rPr>
        <w:t>4</w:t>
      </w:r>
      <w:r>
        <w:rPr>
          <w:sz w:val="21"/>
          <w:szCs w:val="21"/>
        </w:rPr>
        <w:fldChar w:fldCharType="end"/>
      </w:r>
      <w:r>
        <w:rPr>
          <w:rFonts w:hint="eastAsia" w:asciiTheme="minorEastAsia" w:hAnsiTheme="minorEastAsia" w:eastAsiaTheme="minorEastAsia" w:cstheme="minorEastAsia"/>
          <w:sz w:val="21"/>
          <w:szCs w:val="21"/>
        </w:rPr>
        <w:fldChar w:fldCharType="end"/>
      </w:r>
    </w:p>
    <w:p w14:paraId="37563E55">
      <w:pPr>
        <w:pStyle w:val="2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_Toc15830 </w:instrText>
      </w:r>
      <w:r>
        <w:rPr>
          <w:rFonts w:hint="eastAsia" w:asciiTheme="minorEastAsia" w:hAnsiTheme="minorEastAsia" w:eastAsiaTheme="minorEastAsia" w:cstheme="minorEastAsia"/>
          <w:sz w:val="21"/>
          <w:szCs w:val="21"/>
        </w:rPr>
        <w:fldChar w:fldCharType="separate"/>
      </w:r>
      <w:r>
        <w:rPr>
          <w:rFonts w:hint="eastAsia" w:ascii="宋体" w:hAnsi="宋体" w:cs="宋体"/>
          <w:sz w:val="21"/>
          <w:szCs w:val="21"/>
        </w:rPr>
        <w:t>附表二：商务技术评分及价格权重表（满分100分）</w:t>
      </w:r>
      <w:r>
        <w:rPr>
          <w:sz w:val="21"/>
          <w:szCs w:val="21"/>
        </w:rPr>
        <w:tab/>
      </w:r>
      <w:r>
        <w:rPr>
          <w:sz w:val="21"/>
          <w:szCs w:val="21"/>
        </w:rPr>
        <w:fldChar w:fldCharType="begin"/>
      </w:r>
      <w:r>
        <w:rPr>
          <w:sz w:val="21"/>
          <w:szCs w:val="21"/>
        </w:rPr>
        <w:instrText xml:space="preserve"> PAGEREF _Toc15830 \h </w:instrText>
      </w:r>
      <w:r>
        <w:rPr>
          <w:sz w:val="21"/>
          <w:szCs w:val="21"/>
        </w:rPr>
        <w:fldChar w:fldCharType="separate"/>
      </w:r>
      <w:r>
        <w:rPr>
          <w:sz w:val="21"/>
          <w:szCs w:val="21"/>
        </w:rPr>
        <w:t>7</w:t>
      </w:r>
      <w:r>
        <w:rPr>
          <w:sz w:val="21"/>
          <w:szCs w:val="21"/>
        </w:rPr>
        <w:fldChar w:fldCharType="end"/>
      </w:r>
      <w:r>
        <w:rPr>
          <w:rFonts w:hint="eastAsia" w:asciiTheme="minorEastAsia" w:hAnsiTheme="minorEastAsia" w:eastAsiaTheme="minorEastAsia" w:cstheme="minorEastAsia"/>
          <w:sz w:val="21"/>
          <w:szCs w:val="21"/>
        </w:rPr>
        <w:fldChar w:fldCharType="end"/>
      </w:r>
    </w:p>
    <w:p w14:paraId="72ABCB52">
      <w:pPr>
        <w:pStyle w:val="21"/>
        <w:tabs>
          <w:tab w:val="left" w:pos="-200"/>
          <w:tab w:val="right" w:leader="dot" w:pos="830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_Toc957 </w:instrText>
      </w:r>
      <w:r>
        <w:rPr>
          <w:rFonts w:hint="eastAsia" w:asciiTheme="minorEastAsia" w:hAnsiTheme="minorEastAsia" w:eastAsiaTheme="minorEastAsia" w:cstheme="minorEastAsia"/>
          <w:sz w:val="21"/>
          <w:szCs w:val="21"/>
        </w:rPr>
        <w:fldChar w:fldCharType="separate"/>
      </w:r>
      <w:r>
        <w:rPr>
          <w:rFonts w:hint="eastAsia"/>
          <w:sz w:val="21"/>
          <w:szCs w:val="21"/>
        </w:rPr>
        <w:t>第三部分用户需求书</w:t>
      </w:r>
      <w:r>
        <w:rPr>
          <w:sz w:val="21"/>
          <w:szCs w:val="21"/>
        </w:rPr>
        <w:tab/>
      </w:r>
      <w:r>
        <w:rPr>
          <w:sz w:val="21"/>
          <w:szCs w:val="21"/>
        </w:rPr>
        <w:fldChar w:fldCharType="begin"/>
      </w:r>
      <w:r>
        <w:rPr>
          <w:sz w:val="21"/>
          <w:szCs w:val="21"/>
        </w:rPr>
        <w:instrText xml:space="preserve"> PAGEREF _Toc957 \h </w:instrText>
      </w:r>
      <w:r>
        <w:rPr>
          <w:sz w:val="21"/>
          <w:szCs w:val="21"/>
        </w:rPr>
        <w:fldChar w:fldCharType="separate"/>
      </w:r>
      <w:r>
        <w:rPr>
          <w:sz w:val="21"/>
          <w:szCs w:val="21"/>
        </w:rPr>
        <w:t>13</w:t>
      </w:r>
      <w:r>
        <w:rPr>
          <w:sz w:val="21"/>
          <w:szCs w:val="21"/>
        </w:rPr>
        <w:fldChar w:fldCharType="end"/>
      </w:r>
      <w:r>
        <w:rPr>
          <w:rFonts w:hint="eastAsia" w:asciiTheme="minorEastAsia" w:hAnsiTheme="minorEastAsia" w:eastAsiaTheme="minorEastAsia" w:cstheme="minorEastAsia"/>
          <w:sz w:val="21"/>
          <w:szCs w:val="21"/>
        </w:rPr>
        <w:fldChar w:fldCharType="end"/>
      </w:r>
    </w:p>
    <w:p w14:paraId="1C31FE87">
      <w:pPr>
        <w:pStyle w:val="2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_Toc30133 </w:instrText>
      </w:r>
      <w:r>
        <w:rPr>
          <w:rFonts w:hint="eastAsia" w:asciiTheme="minorEastAsia" w:hAnsiTheme="minorEastAsia" w:eastAsiaTheme="minorEastAsia" w:cstheme="minorEastAsia"/>
          <w:sz w:val="21"/>
          <w:szCs w:val="21"/>
        </w:rPr>
        <w:fldChar w:fldCharType="separate"/>
      </w:r>
      <w:r>
        <w:rPr>
          <w:rFonts w:hint="eastAsia" w:ascii="宋体" w:hAnsi="宋体"/>
          <w:sz w:val="21"/>
          <w:szCs w:val="21"/>
        </w:rPr>
        <w:t>第一章 商务需求书</w:t>
      </w:r>
      <w:r>
        <w:rPr>
          <w:sz w:val="21"/>
          <w:szCs w:val="21"/>
        </w:rPr>
        <w:tab/>
      </w:r>
      <w:r>
        <w:rPr>
          <w:sz w:val="21"/>
          <w:szCs w:val="21"/>
        </w:rPr>
        <w:fldChar w:fldCharType="begin"/>
      </w:r>
      <w:r>
        <w:rPr>
          <w:sz w:val="21"/>
          <w:szCs w:val="21"/>
        </w:rPr>
        <w:instrText xml:space="preserve"> PAGEREF _Toc30133 \h </w:instrText>
      </w:r>
      <w:r>
        <w:rPr>
          <w:sz w:val="21"/>
          <w:szCs w:val="21"/>
        </w:rPr>
        <w:fldChar w:fldCharType="separate"/>
      </w:r>
      <w:r>
        <w:rPr>
          <w:sz w:val="21"/>
          <w:szCs w:val="21"/>
        </w:rPr>
        <w:t>13</w:t>
      </w:r>
      <w:r>
        <w:rPr>
          <w:sz w:val="21"/>
          <w:szCs w:val="21"/>
        </w:rPr>
        <w:fldChar w:fldCharType="end"/>
      </w:r>
      <w:r>
        <w:rPr>
          <w:rFonts w:hint="eastAsia" w:asciiTheme="minorEastAsia" w:hAnsiTheme="minorEastAsia" w:eastAsiaTheme="minorEastAsia" w:cstheme="minorEastAsia"/>
          <w:sz w:val="21"/>
          <w:szCs w:val="21"/>
        </w:rPr>
        <w:fldChar w:fldCharType="end"/>
      </w:r>
    </w:p>
    <w:p w14:paraId="60B117F4">
      <w:pPr>
        <w:pStyle w:val="2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_Toc22644 </w:instrText>
      </w:r>
      <w:r>
        <w:rPr>
          <w:rFonts w:hint="eastAsia" w:asciiTheme="minorEastAsia" w:hAnsiTheme="minorEastAsia" w:eastAsiaTheme="minorEastAsia" w:cstheme="minorEastAsia"/>
          <w:sz w:val="21"/>
          <w:szCs w:val="21"/>
        </w:rPr>
        <w:fldChar w:fldCharType="separate"/>
      </w:r>
      <w:r>
        <w:rPr>
          <w:rFonts w:hint="eastAsia" w:ascii="宋体" w:hAnsi="宋体"/>
          <w:sz w:val="21"/>
          <w:szCs w:val="21"/>
        </w:rPr>
        <w:t>第二章 技术需求书</w:t>
      </w:r>
      <w:r>
        <w:rPr>
          <w:sz w:val="21"/>
          <w:szCs w:val="21"/>
        </w:rPr>
        <w:tab/>
      </w:r>
      <w:r>
        <w:rPr>
          <w:sz w:val="21"/>
          <w:szCs w:val="21"/>
        </w:rPr>
        <w:fldChar w:fldCharType="begin"/>
      </w:r>
      <w:r>
        <w:rPr>
          <w:sz w:val="21"/>
          <w:szCs w:val="21"/>
        </w:rPr>
        <w:instrText xml:space="preserve"> PAGEREF _Toc22644 \h </w:instrText>
      </w:r>
      <w:r>
        <w:rPr>
          <w:sz w:val="21"/>
          <w:szCs w:val="21"/>
        </w:rPr>
        <w:fldChar w:fldCharType="separate"/>
      </w:r>
      <w:r>
        <w:rPr>
          <w:sz w:val="21"/>
          <w:szCs w:val="21"/>
        </w:rPr>
        <w:t>15</w:t>
      </w:r>
      <w:r>
        <w:rPr>
          <w:sz w:val="21"/>
          <w:szCs w:val="21"/>
        </w:rPr>
        <w:fldChar w:fldCharType="end"/>
      </w:r>
      <w:r>
        <w:rPr>
          <w:rFonts w:hint="eastAsia" w:asciiTheme="minorEastAsia" w:hAnsiTheme="minorEastAsia" w:eastAsiaTheme="minorEastAsia" w:cstheme="minorEastAsia"/>
          <w:sz w:val="21"/>
          <w:szCs w:val="21"/>
        </w:rPr>
        <w:fldChar w:fldCharType="end"/>
      </w:r>
    </w:p>
    <w:p w14:paraId="324FDF6F">
      <w:pPr>
        <w:pStyle w:val="1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_Toc15151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bCs w:val="0"/>
          <w:kern w:val="2"/>
          <w:sz w:val="21"/>
          <w:szCs w:val="21"/>
          <w:lang w:val="en-US" w:eastAsia="zh-CN" w:bidi="ar-SA"/>
        </w:rPr>
        <w:t>1 项目概述</w:t>
      </w:r>
      <w:r>
        <w:rPr>
          <w:sz w:val="21"/>
          <w:szCs w:val="21"/>
        </w:rPr>
        <w:tab/>
      </w:r>
      <w:r>
        <w:rPr>
          <w:sz w:val="21"/>
          <w:szCs w:val="21"/>
        </w:rPr>
        <w:fldChar w:fldCharType="begin"/>
      </w:r>
      <w:r>
        <w:rPr>
          <w:sz w:val="21"/>
          <w:szCs w:val="21"/>
        </w:rPr>
        <w:instrText xml:space="preserve"> PAGEREF _Toc15151 \h </w:instrText>
      </w:r>
      <w:r>
        <w:rPr>
          <w:sz w:val="21"/>
          <w:szCs w:val="21"/>
        </w:rPr>
        <w:fldChar w:fldCharType="separate"/>
      </w:r>
      <w:r>
        <w:rPr>
          <w:sz w:val="21"/>
          <w:szCs w:val="21"/>
        </w:rPr>
        <w:t>15</w:t>
      </w:r>
      <w:r>
        <w:rPr>
          <w:sz w:val="21"/>
          <w:szCs w:val="21"/>
        </w:rPr>
        <w:fldChar w:fldCharType="end"/>
      </w:r>
      <w:r>
        <w:rPr>
          <w:rFonts w:hint="eastAsia" w:asciiTheme="minorEastAsia" w:hAnsiTheme="minorEastAsia" w:eastAsiaTheme="minorEastAsia" w:cstheme="minorEastAsia"/>
          <w:sz w:val="21"/>
          <w:szCs w:val="21"/>
        </w:rPr>
        <w:fldChar w:fldCharType="end"/>
      </w:r>
    </w:p>
    <w:p w14:paraId="4624C269">
      <w:pPr>
        <w:pStyle w:val="1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_Toc4937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bCs w:val="0"/>
          <w:kern w:val="2"/>
          <w:sz w:val="21"/>
          <w:szCs w:val="21"/>
          <w:lang w:val="en-US" w:eastAsia="zh-CN" w:bidi="ar-SA"/>
        </w:rPr>
        <w:t>2 一期总体架构设计</w:t>
      </w:r>
      <w:r>
        <w:rPr>
          <w:sz w:val="21"/>
          <w:szCs w:val="21"/>
        </w:rPr>
        <w:tab/>
      </w:r>
      <w:r>
        <w:rPr>
          <w:sz w:val="21"/>
          <w:szCs w:val="21"/>
        </w:rPr>
        <w:fldChar w:fldCharType="begin"/>
      </w:r>
      <w:r>
        <w:rPr>
          <w:sz w:val="21"/>
          <w:szCs w:val="21"/>
        </w:rPr>
        <w:instrText xml:space="preserve"> PAGEREF _Toc4937 \h </w:instrText>
      </w:r>
      <w:r>
        <w:rPr>
          <w:sz w:val="21"/>
          <w:szCs w:val="21"/>
        </w:rPr>
        <w:fldChar w:fldCharType="separate"/>
      </w:r>
      <w:r>
        <w:rPr>
          <w:sz w:val="21"/>
          <w:szCs w:val="21"/>
        </w:rPr>
        <w:t>18</w:t>
      </w:r>
      <w:r>
        <w:rPr>
          <w:sz w:val="21"/>
          <w:szCs w:val="21"/>
        </w:rPr>
        <w:fldChar w:fldCharType="end"/>
      </w:r>
      <w:r>
        <w:rPr>
          <w:rFonts w:hint="eastAsia" w:asciiTheme="minorEastAsia" w:hAnsiTheme="minorEastAsia" w:eastAsiaTheme="minorEastAsia" w:cstheme="minorEastAsia"/>
          <w:sz w:val="21"/>
          <w:szCs w:val="21"/>
        </w:rPr>
        <w:fldChar w:fldCharType="end"/>
      </w:r>
    </w:p>
    <w:p w14:paraId="36107084">
      <w:pPr>
        <w:pStyle w:val="1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_Toc26247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bCs w:val="0"/>
          <w:kern w:val="2"/>
          <w:sz w:val="21"/>
          <w:szCs w:val="21"/>
          <w:lang w:val="en-US" w:eastAsia="zh-CN" w:bidi="ar-SA"/>
        </w:rPr>
        <w:t>3 一期详细需求</w:t>
      </w:r>
      <w:r>
        <w:rPr>
          <w:sz w:val="21"/>
          <w:szCs w:val="21"/>
        </w:rPr>
        <w:tab/>
      </w:r>
      <w:r>
        <w:rPr>
          <w:sz w:val="21"/>
          <w:szCs w:val="21"/>
        </w:rPr>
        <w:fldChar w:fldCharType="begin"/>
      </w:r>
      <w:r>
        <w:rPr>
          <w:sz w:val="21"/>
          <w:szCs w:val="21"/>
        </w:rPr>
        <w:instrText xml:space="preserve"> PAGEREF _Toc26247 \h </w:instrText>
      </w:r>
      <w:r>
        <w:rPr>
          <w:sz w:val="21"/>
          <w:szCs w:val="21"/>
        </w:rPr>
        <w:fldChar w:fldCharType="separate"/>
      </w:r>
      <w:r>
        <w:rPr>
          <w:sz w:val="21"/>
          <w:szCs w:val="21"/>
        </w:rPr>
        <w:t>26</w:t>
      </w:r>
      <w:r>
        <w:rPr>
          <w:sz w:val="21"/>
          <w:szCs w:val="21"/>
        </w:rPr>
        <w:fldChar w:fldCharType="end"/>
      </w:r>
      <w:r>
        <w:rPr>
          <w:rFonts w:hint="eastAsia" w:asciiTheme="minorEastAsia" w:hAnsiTheme="minorEastAsia" w:eastAsiaTheme="minorEastAsia" w:cstheme="minorEastAsia"/>
          <w:sz w:val="21"/>
          <w:szCs w:val="21"/>
        </w:rPr>
        <w:fldChar w:fldCharType="end"/>
      </w:r>
    </w:p>
    <w:p w14:paraId="2254FF32">
      <w:pPr>
        <w:pStyle w:val="1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_Toc1244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bCs/>
          <w:kern w:val="2"/>
          <w:sz w:val="21"/>
          <w:szCs w:val="21"/>
          <w:lang w:val="en-US" w:eastAsia="zh-CN" w:bidi="ar-SA"/>
        </w:rPr>
        <w:t>4 非功能性需求</w:t>
      </w:r>
      <w:r>
        <w:rPr>
          <w:sz w:val="21"/>
          <w:szCs w:val="21"/>
        </w:rPr>
        <w:tab/>
      </w:r>
      <w:r>
        <w:rPr>
          <w:sz w:val="21"/>
          <w:szCs w:val="21"/>
        </w:rPr>
        <w:fldChar w:fldCharType="begin"/>
      </w:r>
      <w:r>
        <w:rPr>
          <w:sz w:val="21"/>
          <w:szCs w:val="21"/>
        </w:rPr>
        <w:instrText xml:space="preserve"> PAGEREF _Toc1244 \h </w:instrText>
      </w:r>
      <w:r>
        <w:rPr>
          <w:sz w:val="21"/>
          <w:szCs w:val="21"/>
        </w:rPr>
        <w:fldChar w:fldCharType="separate"/>
      </w:r>
      <w:r>
        <w:rPr>
          <w:sz w:val="21"/>
          <w:szCs w:val="21"/>
        </w:rPr>
        <w:t>46</w:t>
      </w:r>
      <w:r>
        <w:rPr>
          <w:sz w:val="21"/>
          <w:szCs w:val="21"/>
        </w:rPr>
        <w:fldChar w:fldCharType="end"/>
      </w:r>
      <w:r>
        <w:rPr>
          <w:rFonts w:hint="eastAsia" w:asciiTheme="minorEastAsia" w:hAnsiTheme="minorEastAsia" w:eastAsiaTheme="minorEastAsia" w:cstheme="minorEastAsia"/>
          <w:sz w:val="21"/>
          <w:szCs w:val="21"/>
        </w:rPr>
        <w:fldChar w:fldCharType="end"/>
      </w:r>
    </w:p>
    <w:p w14:paraId="4572FFA7">
      <w:pPr>
        <w:pStyle w:val="1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_Toc8606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bCs/>
          <w:kern w:val="2"/>
          <w:sz w:val="21"/>
          <w:szCs w:val="21"/>
          <w:lang w:val="en-US" w:eastAsia="zh-CN" w:bidi="ar-SA"/>
        </w:rPr>
        <w:t>5 接口需求</w:t>
      </w:r>
      <w:r>
        <w:rPr>
          <w:sz w:val="21"/>
          <w:szCs w:val="21"/>
        </w:rPr>
        <w:tab/>
      </w:r>
      <w:r>
        <w:rPr>
          <w:sz w:val="21"/>
          <w:szCs w:val="21"/>
        </w:rPr>
        <w:fldChar w:fldCharType="begin"/>
      </w:r>
      <w:r>
        <w:rPr>
          <w:sz w:val="21"/>
          <w:szCs w:val="21"/>
        </w:rPr>
        <w:instrText xml:space="preserve"> PAGEREF _Toc8606 \h </w:instrText>
      </w:r>
      <w:r>
        <w:rPr>
          <w:sz w:val="21"/>
          <w:szCs w:val="21"/>
        </w:rPr>
        <w:fldChar w:fldCharType="separate"/>
      </w:r>
      <w:r>
        <w:rPr>
          <w:sz w:val="21"/>
          <w:szCs w:val="21"/>
        </w:rPr>
        <w:t>48</w:t>
      </w:r>
      <w:r>
        <w:rPr>
          <w:sz w:val="21"/>
          <w:szCs w:val="21"/>
        </w:rPr>
        <w:fldChar w:fldCharType="end"/>
      </w:r>
      <w:r>
        <w:rPr>
          <w:rFonts w:hint="eastAsia" w:asciiTheme="minorEastAsia" w:hAnsiTheme="minorEastAsia" w:eastAsiaTheme="minorEastAsia" w:cstheme="minorEastAsia"/>
          <w:sz w:val="21"/>
          <w:szCs w:val="21"/>
        </w:rPr>
        <w:fldChar w:fldCharType="end"/>
      </w:r>
    </w:p>
    <w:p w14:paraId="6B1D0380">
      <w:pPr>
        <w:pStyle w:val="1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_Toc25666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bCs/>
          <w:kern w:val="2"/>
          <w:sz w:val="21"/>
          <w:szCs w:val="21"/>
          <w:lang w:val="en-US" w:eastAsia="zh-CN" w:bidi="ar-SA"/>
        </w:rPr>
        <w:t>6 实施计划</w:t>
      </w:r>
      <w:r>
        <w:rPr>
          <w:sz w:val="21"/>
          <w:szCs w:val="21"/>
        </w:rPr>
        <w:tab/>
      </w:r>
      <w:r>
        <w:rPr>
          <w:sz w:val="21"/>
          <w:szCs w:val="21"/>
        </w:rPr>
        <w:fldChar w:fldCharType="begin"/>
      </w:r>
      <w:r>
        <w:rPr>
          <w:sz w:val="21"/>
          <w:szCs w:val="21"/>
        </w:rPr>
        <w:instrText xml:space="preserve"> PAGEREF _Toc25666 \h </w:instrText>
      </w:r>
      <w:r>
        <w:rPr>
          <w:sz w:val="21"/>
          <w:szCs w:val="21"/>
        </w:rPr>
        <w:fldChar w:fldCharType="separate"/>
      </w:r>
      <w:r>
        <w:rPr>
          <w:sz w:val="21"/>
          <w:szCs w:val="21"/>
        </w:rPr>
        <w:t>48</w:t>
      </w:r>
      <w:r>
        <w:rPr>
          <w:sz w:val="21"/>
          <w:szCs w:val="21"/>
        </w:rPr>
        <w:fldChar w:fldCharType="end"/>
      </w:r>
      <w:r>
        <w:rPr>
          <w:rFonts w:hint="eastAsia" w:asciiTheme="minorEastAsia" w:hAnsiTheme="minorEastAsia" w:eastAsiaTheme="minorEastAsia" w:cstheme="minorEastAsia"/>
          <w:sz w:val="21"/>
          <w:szCs w:val="21"/>
        </w:rPr>
        <w:fldChar w:fldCharType="end"/>
      </w:r>
    </w:p>
    <w:p w14:paraId="0109A9AE">
      <w:pPr>
        <w:pStyle w:val="1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_Toc4362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bCs/>
          <w:kern w:val="2"/>
          <w:sz w:val="21"/>
          <w:szCs w:val="21"/>
          <w:lang w:val="en-US" w:eastAsia="zh-CN" w:bidi="ar-SA"/>
        </w:rPr>
        <w:t>7 验收标准</w:t>
      </w:r>
      <w:r>
        <w:rPr>
          <w:sz w:val="21"/>
          <w:szCs w:val="21"/>
        </w:rPr>
        <w:tab/>
      </w:r>
      <w:r>
        <w:rPr>
          <w:sz w:val="21"/>
          <w:szCs w:val="21"/>
        </w:rPr>
        <w:fldChar w:fldCharType="begin"/>
      </w:r>
      <w:r>
        <w:rPr>
          <w:sz w:val="21"/>
          <w:szCs w:val="21"/>
        </w:rPr>
        <w:instrText xml:space="preserve"> PAGEREF _Toc4362 \h </w:instrText>
      </w:r>
      <w:r>
        <w:rPr>
          <w:sz w:val="21"/>
          <w:szCs w:val="21"/>
        </w:rPr>
        <w:fldChar w:fldCharType="separate"/>
      </w:r>
      <w:r>
        <w:rPr>
          <w:sz w:val="21"/>
          <w:szCs w:val="21"/>
        </w:rPr>
        <w:t>49</w:t>
      </w:r>
      <w:r>
        <w:rPr>
          <w:sz w:val="21"/>
          <w:szCs w:val="21"/>
        </w:rPr>
        <w:fldChar w:fldCharType="end"/>
      </w:r>
      <w:r>
        <w:rPr>
          <w:rFonts w:hint="eastAsia" w:asciiTheme="minorEastAsia" w:hAnsiTheme="minorEastAsia" w:eastAsiaTheme="minorEastAsia" w:cstheme="minorEastAsia"/>
          <w:sz w:val="21"/>
          <w:szCs w:val="21"/>
        </w:rPr>
        <w:fldChar w:fldCharType="end"/>
      </w:r>
    </w:p>
    <w:p w14:paraId="7E3A7A37">
      <w:pPr>
        <w:pStyle w:val="1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_Toc11846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bCs/>
          <w:kern w:val="2"/>
          <w:sz w:val="21"/>
          <w:szCs w:val="21"/>
          <w:lang w:val="en-US" w:eastAsia="zh-CN" w:bidi="ar-SA"/>
        </w:rPr>
        <w:t>8 风险分析与应对措施</w:t>
      </w:r>
      <w:r>
        <w:rPr>
          <w:sz w:val="21"/>
          <w:szCs w:val="21"/>
        </w:rPr>
        <w:tab/>
      </w:r>
      <w:r>
        <w:rPr>
          <w:sz w:val="21"/>
          <w:szCs w:val="21"/>
        </w:rPr>
        <w:fldChar w:fldCharType="begin"/>
      </w:r>
      <w:r>
        <w:rPr>
          <w:sz w:val="21"/>
          <w:szCs w:val="21"/>
        </w:rPr>
        <w:instrText xml:space="preserve"> PAGEREF _Toc11846 \h </w:instrText>
      </w:r>
      <w:r>
        <w:rPr>
          <w:sz w:val="21"/>
          <w:szCs w:val="21"/>
        </w:rPr>
        <w:fldChar w:fldCharType="separate"/>
      </w:r>
      <w:r>
        <w:rPr>
          <w:sz w:val="21"/>
          <w:szCs w:val="21"/>
        </w:rPr>
        <w:t>50</w:t>
      </w:r>
      <w:r>
        <w:rPr>
          <w:sz w:val="21"/>
          <w:szCs w:val="21"/>
        </w:rPr>
        <w:fldChar w:fldCharType="end"/>
      </w:r>
      <w:r>
        <w:rPr>
          <w:rFonts w:hint="eastAsia" w:asciiTheme="minorEastAsia" w:hAnsiTheme="minorEastAsia" w:eastAsiaTheme="minorEastAsia" w:cstheme="minorEastAsia"/>
          <w:sz w:val="21"/>
          <w:szCs w:val="21"/>
        </w:rPr>
        <w:fldChar w:fldCharType="end"/>
      </w:r>
    </w:p>
    <w:p w14:paraId="77E154DE">
      <w:pPr>
        <w:pStyle w:val="1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_Toc9932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bCs/>
          <w:kern w:val="2"/>
          <w:sz w:val="21"/>
          <w:szCs w:val="21"/>
          <w:lang w:val="en-US" w:eastAsia="zh-CN" w:bidi="ar-SA"/>
        </w:rPr>
        <w:t>9 硬件要求</w:t>
      </w:r>
      <w:r>
        <w:rPr>
          <w:sz w:val="21"/>
          <w:szCs w:val="21"/>
        </w:rPr>
        <w:tab/>
      </w:r>
      <w:r>
        <w:rPr>
          <w:sz w:val="21"/>
          <w:szCs w:val="21"/>
        </w:rPr>
        <w:fldChar w:fldCharType="begin"/>
      </w:r>
      <w:r>
        <w:rPr>
          <w:sz w:val="21"/>
          <w:szCs w:val="21"/>
        </w:rPr>
        <w:instrText xml:space="preserve"> PAGEREF _Toc9932 \h </w:instrText>
      </w:r>
      <w:r>
        <w:rPr>
          <w:sz w:val="21"/>
          <w:szCs w:val="21"/>
        </w:rPr>
        <w:fldChar w:fldCharType="separate"/>
      </w:r>
      <w:r>
        <w:rPr>
          <w:sz w:val="21"/>
          <w:szCs w:val="21"/>
        </w:rPr>
        <w:t>50</w:t>
      </w:r>
      <w:r>
        <w:rPr>
          <w:sz w:val="21"/>
          <w:szCs w:val="21"/>
        </w:rPr>
        <w:fldChar w:fldCharType="end"/>
      </w:r>
      <w:r>
        <w:rPr>
          <w:rFonts w:hint="eastAsia" w:asciiTheme="minorEastAsia" w:hAnsiTheme="minorEastAsia" w:eastAsiaTheme="minorEastAsia" w:cstheme="minorEastAsia"/>
          <w:sz w:val="21"/>
          <w:szCs w:val="21"/>
        </w:rPr>
        <w:fldChar w:fldCharType="end"/>
      </w:r>
    </w:p>
    <w:p w14:paraId="741EE96A">
      <w:pPr>
        <w:pStyle w:val="21"/>
        <w:tabs>
          <w:tab w:val="left" w:pos="-200"/>
          <w:tab w:val="right" w:leader="dot" w:pos="830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_Toc23482 </w:instrText>
      </w:r>
      <w:r>
        <w:rPr>
          <w:rFonts w:hint="eastAsia" w:asciiTheme="minorEastAsia" w:hAnsiTheme="minorEastAsia" w:eastAsiaTheme="minorEastAsia" w:cstheme="minorEastAsia"/>
          <w:sz w:val="21"/>
          <w:szCs w:val="21"/>
        </w:rPr>
        <w:fldChar w:fldCharType="separate"/>
      </w:r>
      <w:r>
        <w:rPr>
          <w:rFonts w:hint="eastAsia"/>
          <w:sz w:val="21"/>
          <w:szCs w:val="21"/>
        </w:rPr>
        <w:t>第四部分投标人须知</w:t>
      </w:r>
      <w:r>
        <w:rPr>
          <w:sz w:val="21"/>
          <w:szCs w:val="21"/>
        </w:rPr>
        <w:tab/>
      </w:r>
      <w:r>
        <w:rPr>
          <w:sz w:val="21"/>
          <w:szCs w:val="21"/>
        </w:rPr>
        <w:fldChar w:fldCharType="begin"/>
      </w:r>
      <w:r>
        <w:rPr>
          <w:sz w:val="21"/>
          <w:szCs w:val="21"/>
        </w:rPr>
        <w:instrText xml:space="preserve"> PAGEREF _Toc23482 \h </w:instrText>
      </w:r>
      <w:r>
        <w:rPr>
          <w:sz w:val="21"/>
          <w:szCs w:val="21"/>
        </w:rPr>
        <w:fldChar w:fldCharType="separate"/>
      </w:r>
      <w:r>
        <w:rPr>
          <w:sz w:val="21"/>
          <w:szCs w:val="21"/>
        </w:rPr>
        <w:t>52</w:t>
      </w:r>
      <w:r>
        <w:rPr>
          <w:sz w:val="21"/>
          <w:szCs w:val="21"/>
        </w:rPr>
        <w:fldChar w:fldCharType="end"/>
      </w:r>
      <w:r>
        <w:rPr>
          <w:rFonts w:hint="eastAsia" w:asciiTheme="minorEastAsia" w:hAnsiTheme="minorEastAsia" w:eastAsiaTheme="minorEastAsia" w:cstheme="minorEastAsia"/>
          <w:sz w:val="21"/>
          <w:szCs w:val="21"/>
        </w:rPr>
        <w:fldChar w:fldCharType="end"/>
      </w:r>
    </w:p>
    <w:p w14:paraId="0C3415EA">
      <w:pPr>
        <w:pStyle w:val="2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_Toc29659 </w:instrText>
      </w:r>
      <w:r>
        <w:rPr>
          <w:rFonts w:hint="eastAsia" w:asciiTheme="minorEastAsia" w:hAnsiTheme="minorEastAsia" w:eastAsiaTheme="minorEastAsia" w:cstheme="minorEastAsia"/>
          <w:sz w:val="21"/>
          <w:szCs w:val="21"/>
        </w:rPr>
        <w:fldChar w:fldCharType="separate"/>
      </w:r>
      <w:r>
        <w:rPr>
          <w:rFonts w:hint="default" w:ascii="宋体" w:hAnsi="宋体"/>
          <w:sz w:val="21"/>
          <w:szCs w:val="21"/>
        </w:rPr>
        <w:t xml:space="preserve">一、 </w:t>
      </w:r>
      <w:r>
        <w:rPr>
          <w:rFonts w:hint="eastAsia" w:ascii="宋体" w:hAnsi="宋体"/>
          <w:sz w:val="21"/>
          <w:szCs w:val="21"/>
        </w:rPr>
        <w:t>说明</w:t>
      </w:r>
      <w:r>
        <w:rPr>
          <w:sz w:val="21"/>
          <w:szCs w:val="21"/>
        </w:rPr>
        <w:tab/>
      </w:r>
      <w:r>
        <w:rPr>
          <w:sz w:val="21"/>
          <w:szCs w:val="21"/>
        </w:rPr>
        <w:fldChar w:fldCharType="begin"/>
      </w:r>
      <w:r>
        <w:rPr>
          <w:sz w:val="21"/>
          <w:szCs w:val="21"/>
        </w:rPr>
        <w:instrText xml:space="preserve"> PAGEREF _Toc29659 \h </w:instrText>
      </w:r>
      <w:r>
        <w:rPr>
          <w:sz w:val="21"/>
          <w:szCs w:val="21"/>
        </w:rPr>
        <w:fldChar w:fldCharType="separate"/>
      </w:r>
      <w:r>
        <w:rPr>
          <w:sz w:val="21"/>
          <w:szCs w:val="21"/>
        </w:rPr>
        <w:t>52</w:t>
      </w:r>
      <w:r>
        <w:rPr>
          <w:sz w:val="21"/>
          <w:szCs w:val="21"/>
        </w:rPr>
        <w:fldChar w:fldCharType="end"/>
      </w:r>
      <w:r>
        <w:rPr>
          <w:rFonts w:hint="eastAsia" w:asciiTheme="minorEastAsia" w:hAnsiTheme="minorEastAsia" w:eastAsiaTheme="minorEastAsia" w:cstheme="minorEastAsia"/>
          <w:sz w:val="21"/>
          <w:szCs w:val="21"/>
        </w:rPr>
        <w:fldChar w:fldCharType="end"/>
      </w:r>
    </w:p>
    <w:p w14:paraId="27DCE206">
      <w:pPr>
        <w:pStyle w:val="1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_Toc3946 </w:instrText>
      </w:r>
      <w:r>
        <w:rPr>
          <w:rFonts w:hint="eastAsia" w:asciiTheme="minorEastAsia" w:hAnsiTheme="minorEastAsia" w:eastAsiaTheme="minorEastAsia" w:cstheme="minorEastAsia"/>
          <w:sz w:val="21"/>
          <w:szCs w:val="21"/>
        </w:rPr>
        <w:fldChar w:fldCharType="separate"/>
      </w:r>
      <w:r>
        <w:rPr>
          <w:rFonts w:hint="default" w:ascii="宋体" w:hAnsi="宋体" w:eastAsia="宋体" w:cs="宋体"/>
          <w:bCs/>
          <w:sz w:val="21"/>
          <w:szCs w:val="21"/>
          <w:lang w:val="en-US" w:eastAsia="zh-CN" w:bidi="ar-SA"/>
        </w:rPr>
        <w:t>1.</w:t>
      </w:r>
      <w:r>
        <w:rPr>
          <w:rFonts w:hint="eastAsia" w:ascii="宋体" w:hAnsi="宋体" w:cs="宋体"/>
          <w:sz w:val="21"/>
          <w:szCs w:val="21"/>
        </w:rPr>
        <w:t>适用范围</w:t>
      </w:r>
      <w:r>
        <w:rPr>
          <w:sz w:val="21"/>
          <w:szCs w:val="21"/>
        </w:rPr>
        <w:tab/>
      </w:r>
      <w:r>
        <w:rPr>
          <w:sz w:val="21"/>
          <w:szCs w:val="21"/>
        </w:rPr>
        <w:fldChar w:fldCharType="begin"/>
      </w:r>
      <w:r>
        <w:rPr>
          <w:sz w:val="21"/>
          <w:szCs w:val="21"/>
        </w:rPr>
        <w:instrText xml:space="preserve"> PAGEREF _Toc3946 \h </w:instrText>
      </w:r>
      <w:r>
        <w:rPr>
          <w:sz w:val="21"/>
          <w:szCs w:val="21"/>
        </w:rPr>
        <w:fldChar w:fldCharType="separate"/>
      </w:r>
      <w:r>
        <w:rPr>
          <w:sz w:val="21"/>
          <w:szCs w:val="21"/>
        </w:rPr>
        <w:t>52</w:t>
      </w:r>
      <w:r>
        <w:rPr>
          <w:sz w:val="21"/>
          <w:szCs w:val="21"/>
        </w:rPr>
        <w:fldChar w:fldCharType="end"/>
      </w:r>
      <w:r>
        <w:rPr>
          <w:rFonts w:hint="eastAsia" w:asciiTheme="minorEastAsia" w:hAnsiTheme="minorEastAsia" w:eastAsiaTheme="minorEastAsia" w:cstheme="minorEastAsia"/>
          <w:sz w:val="21"/>
          <w:szCs w:val="21"/>
        </w:rPr>
        <w:fldChar w:fldCharType="end"/>
      </w:r>
    </w:p>
    <w:p w14:paraId="79DA778B">
      <w:pPr>
        <w:pStyle w:val="1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_Toc14042 </w:instrText>
      </w:r>
      <w:r>
        <w:rPr>
          <w:rFonts w:hint="eastAsia" w:asciiTheme="minorEastAsia" w:hAnsiTheme="minorEastAsia" w:eastAsiaTheme="minorEastAsia" w:cstheme="minorEastAsia"/>
          <w:sz w:val="21"/>
          <w:szCs w:val="21"/>
        </w:rPr>
        <w:fldChar w:fldCharType="separate"/>
      </w:r>
      <w:r>
        <w:rPr>
          <w:rFonts w:hint="default" w:ascii="宋体" w:hAnsi="宋体" w:eastAsia="宋体" w:cs="宋体"/>
          <w:bCs/>
          <w:sz w:val="21"/>
          <w:szCs w:val="21"/>
          <w:lang w:val="en-US" w:eastAsia="zh-CN" w:bidi="ar-SA"/>
        </w:rPr>
        <w:t>2.</w:t>
      </w:r>
      <w:r>
        <w:rPr>
          <w:rFonts w:hint="eastAsia" w:ascii="宋体" w:hAnsi="宋体" w:cs="宋体"/>
          <w:sz w:val="21"/>
          <w:szCs w:val="21"/>
        </w:rPr>
        <w:t>定义</w:t>
      </w:r>
      <w:r>
        <w:rPr>
          <w:sz w:val="21"/>
          <w:szCs w:val="21"/>
        </w:rPr>
        <w:tab/>
      </w:r>
      <w:r>
        <w:rPr>
          <w:sz w:val="21"/>
          <w:szCs w:val="21"/>
        </w:rPr>
        <w:fldChar w:fldCharType="begin"/>
      </w:r>
      <w:r>
        <w:rPr>
          <w:sz w:val="21"/>
          <w:szCs w:val="21"/>
        </w:rPr>
        <w:instrText xml:space="preserve"> PAGEREF _Toc14042 \h </w:instrText>
      </w:r>
      <w:r>
        <w:rPr>
          <w:sz w:val="21"/>
          <w:szCs w:val="21"/>
        </w:rPr>
        <w:fldChar w:fldCharType="separate"/>
      </w:r>
      <w:r>
        <w:rPr>
          <w:sz w:val="21"/>
          <w:szCs w:val="21"/>
        </w:rPr>
        <w:t>52</w:t>
      </w:r>
      <w:r>
        <w:rPr>
          <w:sz w:val="21"/>
          <w:szCs w:val="21"/>
        </w:rPr>
        <w:fldChar w:fldCharType="end"/>
      </w:r>
      <w:r>
        <w:rPr>
          <w:rFonts w:hint="eastAsia" w:asciiTheme="minorEastAsia" w:hAnsiTheme="minorEastAsia" w:eastAsiaTheme="minorEastAsia" w:cstheme="minorEastAsia"/>
          <w:sz w:val="21"/>
          <w:szCs w:val="21"/>
        </w:rPr>
        <w:fldChar w:fldCharType="end"/>
      </w:r>
    </w:p>
    <w:p w14:paraId="36D3D948">
      <w:pPr>
        <w:pStyle w:val="1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_Toc8290 </w:instrText>
      </w:r>
      <w:r>
        <w:rPr>
          <w:rFonts w:hint="eastAsia" w:asciiTheme="minorEastAsia" w:hAnsiTheme="minorEastAsia" w:eastAsiaTheme="minorEastAsia" w:cstheme="minorEastAsia"/>
          <w:sz w:val="21"/>
          <w:szCs w:val="21"/>
        </w:rPr>
        <w:fldChar w:fldCharType="separate"/>
      </w:r>
      <w:r>
        <w:rPr>
          <w:rFonts w:hint="default" w:ascii="宋体" w:hAnsi="宋体" w:eastAsia="宋体" w:cs="宋体"/>
          <w:bCs/>
          <w:sz w:val="21"/>
          <w:szCs w:val="21"/>
          <w:lang w:val="en-US" w:eastAsia="zh-CN" w:bidi="ar-SA"/>
        </w:rPr>
        <w:t>3.</w:t>
      </w:r>
      <w:r>
        <w:rPr>
          <w:rFonts w:hint="eastAsia" w:ascii="宋体" w:hAnsi="宋体" w:cs="宋体"/>
          <w:sz w:val="21"/>
          <w:szCs w:val="21"/>
        </w:rPr>
        <w:t>货物和服务</w:t>
      </w:r>
      <w:r>
        <w:rPr>
          <w:sz w:val="21"/>
          <w:szCs w:val="21"/>
        </w:rPr>
        <w:tab/>
      </w:r>
      <w:r>
        <w:rPr>
          <w:sz w:val="21"/>
          <w:szCs w:val="21"/>
        </w:rPr>
        <w:fldChar w:fldCharType="begin"/>
      </w:r>
      <w:r>
        <w:rPr>
          <w:sz w:val="21"/>
          <w:szCs w:val="21"/>
        </w:rPr>
        <w:instrText xml:space="preserve"> PAGEREF _Toc8290 \h </w:instrText>
      </w:r>
      <w:r>
        <w:rPr>
          <w:sz w:val="21"/>
          <w:szCs w:val="21"/>
        </w:rPr>
        <w:fldChar w:fldCharType="separate"/>
      </w:r>
      <w:r>
        <w:rPr>
          <w:sz w:val="21"/>
          <w:szCs w:val="21"/>
        </w:rPr>
        <w:t>52</w:t>
      </w:r>
      <w:r>
        <w:rPr>
          <w:sz w:val="21"/>
          <w:szCs w:val="21"/>
        </w:rPr>
        <w:fldChar w:fldCharType="end"/>
      </w:r>
      <w:r>
        <w:rPr>
          <w:rFonts w:hint="eastAsia" w:asciiTheme="minorEastAsia" w:hAnsiTheme="minorEastAsia" w:eastAsiaTheme="minorEastAsia" w:cstheme="minorEastAsia"/>
          <w:sz w:val="21"/>
          <w:szCs w:val="21"/>
        </w:rPr>
        <w:fldChar w:fldCharType="end"/>
      </w:r>
    </w:p>
    <w:p w14:paraId="4C16CA3B">
      <w:pPr>
        <w:pStyle w:val="1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_Toc6581 </w:instrText>
      </w:r>
      <w:r>
        <w:rPr>
          <w:rFonts w:hint="eastAsia" w:asciiTheme="minorEastAsia" w:hAnsiTheme="minorEastAsia" w:eastAsiaTheme="minorEastAsia" w:cstheme="minorEastAsia"/>
          <w:sz w:val="21"/>
          <w:szCs w:val="21"/>
        </w:rPr>
        <w:fldChar w:fldCharType="separate"/>
      </w:r>
      <w:r>
        <w:rPr>
          <w:rFonts w:hint="default" w:ascii="宋体" w:hAnsi="宋体" w:eastAsia="宋体" w:cs="宋体"/>
          <w:bCs/>
          <w:sz w:val="21"/>
          <w:szCs w:val="21"/>
          <w:lang w:val="en-US" w:eastAsia="zh-CN" w:bidi="ar-SA"/>
        </w:rPr>
        <w:t>4.</w:t>
      </w:r>
      <w:r>
        <w:rPr>
          <w:rFonts w:hint="eastAsia" w:ascii="宋体" w:hAnsi="宋体" w:cs="宋体"/>
          <w:sz w:val="21"/>
          <w:szCs w:val="21"/>
        </w:rPr>
        <w:t>投标费用</w:t>
      </w:r>
      <w:r>
        <w:rPr>
          <w:sz w:val="21"/>
          <w:szCs w:val="21"/>
        </w:rPr>
        <w:tab/>
      </w:r>
      <w:r>
        <w:rPr>
          <w:sz w:val="21"/>
          <w:szCs w:val="21"/>
        </w:rPr>
        <w:fldChar w:fldCharType="begin"/>
      </w:r>
      <w:r>
        <w:rPr>
          <w:sz w:val="21"/>
          <w:szCs w:val="21"/>
        </w:rPr>
        <w:instrText xml:space="preserve"> PAGEREF _Toc6581 \h </w:instrText>
      </w:r>
      <w:r>
        <w:rPr>
          <w:sz w:val="21"/>
          <w:szCs w:val="21"/>
        </w:rPr>
        <w:fldChar w:fldCharType="separate"/>
      </w:r>
      <w:r>
        <w:rPr>
          <w:sz w:val="21"/>
          <w:szCs w:val="21"/>
        </w:rPr>
        <w:t>53</w:t>
      </w:r>
      <w:r>
        <w:rPr>
          <w:sz w:val="21"/>
          <w:szCs w:val="21"/>
        </w:rPr>
        <w:fldChar w:fldCharType="end"/>
      </w:r>
      <w:r>
        <w:rPr>
          <w:rFonts w:hint="eastAsia" w:asciiTheme="minorEastAsia" w:hAnsiTheme="minorEastAsia" w:eastAsiaTheme="minorEastAsia" w:cstheme="minorEastAsia"/>
          <w:sz w:val="21"/>
          <w:szCs w:val="21"/>
        </w:rPr>
        <w:fldChar w:fldCharType="end"/>
      </w:r>
    </w:p>
    <w:p w14:paraId="42676138">
      <w:pPr>
        <w:pStyle w:val="1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_Toc19367 </w:instrText>
      </w:r>
      <w:r>
        <w:rPr>
          <w:rFonts w:hint="eastAsia" w:asciiTheme="minorEastAsia" w:hAnsiTheme="minorEastAsia" w:eastAsiaTheme="minorEastAsia" w:cstheme="minorEastAsia"/>
          <w:sz w:val="21"/>
          <w:szCs w:val="21"/>
        </w:rPr>
        <w:fldChar w:fldCharType="separate"/>
      </w:r>
      <w:r>
        <w:rPr>
          <w:rFonts w:hint="default" w:ascii="宋体" w:hAnsi="宋体" w:eastAsia="宋体" w:cs="宋体"/>
          <w:bCs/>
          <w:sz w:val="21"/>
          <w:szCs w:val="21"/>
          <w:lang w:val="en-US" w:eastAsia="zh-CN" w:bidi="ar-SA"/>
        </w:rPr>
        <w:t>5.</w:t>
      </w:r>
      <w:r>
        <w:rPr>
          <w:rFonts w:hint="eastAsia" w:ascii="宋体" w:hAnsi="宋体" w:cs="宋体"/>
          <w:sz w:val="21"/>
          <w:szCs w:val="21"/>
        </w:rPr>
        <w:t>知识产权</w:t>
      </w:r>
      <w:r>
        <w:rPr>
          <w:sz w:val="21"/>
          <w:szCs w:val="21"/>
        </w:rPr>
        <w:tab/>
      </w:r>
      <w:r>
        <w:rPr>
          <w:sz w:val="21"/>
          <w:szCs w:val="21"/>
        </w:rPr>
        <w:fldChar w:fldCharType="begin"/>
      </w:r>
      <w:r>
        <w:rPr>
          <w:sz w:val="21"/>
          <w:szCs w:val="21"/>
        </w:rPr>
        <w:instrText xml:space="preserve"> PAGEREF _Toc19367 \h </w:instrText>
      </w:r>
      <w:r>
        <w:rPr>
          <w:sz w:val="21"/>
          <w:szCs w:val="21"/>
        </w:rPr>
        <w:fldChar w:fldCharType="separate"/>
      </w:r>
      <w:r>
        <w:rPr>
          <w:sz w:val="21"/>
          <w:szCs w:val="21"/>
        </w:rPr>
        <w:t>53</w:t>
      </w:r>
      <w:r>
        <w:rPr>
          <w:sz w:val="21"/>
          <w:szCs w:val="21"/>
        </w:rPr>
        <w:fldChar w:fldCharType="end"/>
      </w:r>
      <w:r>
        <w:rPr>
          <w:rFonts w:hint="eastAsia" w:asciiTheme="minorEastAsia" w:hAnsiTheme="minorEastAsia" w:eastAsiaTheme="minorEastAsia" w:cstheme="minorEastAsia"/>
          <w:sz w:val="21"/>
          <w:szCs w:val="21"/>
        </w:rPr>
        <w:fldChar w:fldCharType="end"/>
      </w:r>
    </w:p>
    <w:p w14:paraId="5DBBF5AA">
      <w:pPr>
        <w:pStyle w:val="1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_Toc23807 </w:instrText>
      </w:r>
      <w:r>
        <w:rPr>
          <w:rFonts w:hint="eastAsia" w:asciiTheme="minorEastAsia" w:hAnsiTheme="minorEastAsia" w:eastAsiaTheme="minorEastAsia" w:cstheme="minorEastAsia"/>
          <w:sz w:val="21"/>
          <w:szCs w:val="21"/>
        </w:rPr>
        <w:fldChar w:fldCharType="separate"/>
      </w:r>
      <w:r>
        <w:rPr>
          <w:rFonts w:hint="default" w:ascii="宋体" w:hAnsi="宋体" w:eastAsia="宋体" w:cs="宋体"/>
          <w:bCs/>
          <w:sz w:val="21"/>
          <w:szCs w:val="21"/>
          <w:lang w:val="en-US" w:eastAsia="zh-CN" w:bidi="ar-SA"/>
        </w:rPr>
        <w:t>6.</w:t>
      </w:r>
      <w:r>
        <w:rPr>
          <w:rFonts w:hint="eastAsia" w:ascii="宋体" w:hAnsi="宋体" w:cs="宋体"/>
          <w:sz w:val="21"/>
          <w:szCs w:val="21"/>
        </w:rPr>
        <w:t>关于联合体投标</w:t>
      </w:r>
      <w:r>
        <w:rPr>
          <w:sz w:val="21"/>
          <w:szCs w:val="21"/>
        </w:rPr>
        <w:tab/>
      </w:r>
      <w:r>
        <w:rPr>
          <w:sz w:val="21"/>
          <w:szCs w:val="21"/>
        </w:rPr>
        <w:fldChar w:fldCharType="begin"/>
      </w:r>
      <w:r>
        <w:rPr>
          <w:sz w:val="21"/>
          <w:szCs w:val="21"/>
        </w:rPr>
        <w:instrText xml:space="preserve"> PAGEREF _Toc23807 \h </w:instrText>
      </w:r>
      <w:r>
        <w:rPr>
          <w:sz w:val="21"/>
          <w:szCs w:val="21"/>
        </w:rPr>
        <w:fldChar w:fldCharType="separate"/>
      </w:r>
      <w:r>
        <w:rPr>
          <w:sz w:val="21"/>
          <w:szCs w:val="21"/>
        </w:rPr>
        <w:t>53</w:t>
      </w:r>
      <w:r>
        <w:rPr>
          <w:sz w:val="21"/>
          <w:szCs w:val="21"/>
        </w:rPr>
        <w:fldChar w:fldCharType="end"/>
      </w:r>
      <w:r>
        <w:rPr>
          <w:rFonts w:hint="eastAsia" w:asciiTheme="minorEastAsia" w:hAnsiTheme="minorEastAsia" w:eastAsiaTheme="minorEastAsia" w:cstheme="minorEastAsia"/>
          <w:sz w:val="21"/>
          <w:szCs w:val="21"/>
        </w:rPr>
        <w:fldChar w:fldCharType="end"/>
      </w:r>
    </w:p>
    <w:p w14:paraId="2706E98E">
      <w:pPr>
        <w:pStyle w:val="1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_Toc28831 </w:instrText>
      </w:r>
      <w:r>
        <w:rPr>
          <w:rFonts w:hint="eastAsia" w:asciiTheme="minorEastAsia" w:hAnsiTheme="minorEastAsia" w:eastAsiaTheme="minorEastAsia" w:cstheme="minorEastAsia"/>
          <w:sz w:val="21"/>
          <w:szCs w:val="21"/>
        </w:rPr>
        <w:fldChar w:fldCharType="separate"/>
      </w:r>
      <w:r>
        <w:rPr>
          <w:rFonts w:hint="default" w:ascii="宋体" w:hAnsi="宋体" w:eastAsia="宋体" w:cs="宋体"/>
          <w:bCs/>
          <w:sz w:val="21"/>
          <w:szCs w:val="21"/>
          <w:lang w:val="en-US" w:eastAsia="zh-CN" w:bidi="ar-SA"/>
        </w:rPr>
        <w:t>7.</w:t>
      </w:r>
      <w:r>
        <w:rPr>
          <w:rFonts w:hint="eastAsia" w:ascii="宋体" w:hAnsi="宋体" w:cs="宋体"/>
          <w:sz w:val="21"/>
          <w:szCs w:val="21"/>
        </w:rPr>
        <w:t>关于分支机构投标</w:t>
      </w:r>
      <w:r>
        <w:rPr>
          <w:sz w:val="21"/>
          <w:szCs w:val="21"/>
        </w:rPr>
        <w:tab/>
      </w:r>
      <w:r>
        <w:rPr>
          <w:sz w:val="21"/>
          <w:szCs w:val="21"/>
        </w:rPr>
        <w:fldChar w:fldCharType="begin"/>
      </w:r>
      <w:r>
        <w:rPr>
          <w:sz w:val="21"/>
          <w:szCs w:val="21"/>
        </w:rPr>
        <w:instrText xml:space="preserve"> PAGEREF _Toc28831 \h </w:instrText>
      </w:r>
      <w:r>
        <w:rPr>
          <w:sz w:val="21"/>
          <w:szCs w:val="21"/>
        </w:rPr>
        <w:fldChar w:fldCharType="separate"/>
      </w:r>
      <w:r>
        <w:rPr>
          <w:sz w:val="21"/>
          <w:szCs w:val="21"/>
        </w:rPr>
        <w:t>54</w:t>
      </w:r>
      <w:r>
        <w:rPr>
          <w:sz w:val="21"/>
          <w:szCs w:val="21"/>
        </w:rPr>
        <w:fldChar w:fldCharType="end"/>
      </w:r>
      <w:r>
        <w:rPr>
          <w:rFonts w:hint="eastAsia" w:asciiTheme="minorEastAsia" w:hAnsiTheme="minorEastAsia" w:eastAsiaTheme="minorEastAsia" w:cstheme="minorEastAsia"/>
          <w:sz w:val="21"/>
          <w:szCs w:val="21"/>
        </w:rPr>
        <w:fldChar w:fldCharType="end"/>
      </w:r>
    </w:p>
    <w:p w14:paraId="1FC8FF35">
      <w:pPr>
        <w:pStyle w:val="1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_Toc26424 </w:instrText>
      </w:r>
      <w:r>
        <w:rPr>
          <w:rFonts w:hint="eastAsia" w:asciiTheme="minorEastAsia" w:hAnsiTheme="minorEastAsia" w:eastAsiaTheme="minorEastAsia" w:cstheme="minorEastAsia"/>
          <w:sz w:val="21"/>
          <w:szCs w:val="21"/>
        </w:rPr>
        <w:fldChar w:fldCharType="separate"/>
      </w:r>
      <w:r>
        <w:rPr>
          <w:rFonts w:hint="default" w:ascii="宋体" w:hAnsi="宋体" w:eastAsia="宋体" w:cs="宋体"/>
          <w:bCs/>
          <w:sz w:val="21"/>
          <w:szCs w:val="21"/>
          <w:lang w:val="en-US" w:eastAsia="zh-CN" w:bidi="ar-SA"/>
        </w:rPr>
        <w:t>8.</w:t>
      </w:r>
      <w:r>
        <w:rPr>
          <w:rFonts w:hint="eastAsia" w:ascii="宋体" w:hAnsi="宋体" w:cs="宋体"/>
          <w:sz w:val="21"/>
          <w:szCs w:val="21"/>
        </w:rPr>
        <w:t>踏勘现场</w:t>
      </w:r>
      <w:r>
        <w:rPr>
          <w:sz w:val="21"/>
          <w:szCs w:val="21"/>
        </w:rPr>
        <w:tab/>
      </w:r>
      <w:r>
        <w:rPr>
          <w:sz w:val="21"/>
          <w:szCs w:val="21"/>
        </w:rPr>
        <w:fldChar w:fldCharType="begin"/>
      </w:r>
      <w:r>
        <w:rPr>
          <w:sz w:val="21"/>
          <w:szCs w:val="21"/>
        </w:rPr>
        <w:instrText xml:space="preserve"> PAGEREF _Toc26424 \h </w:instrText>
      </w:r>
      <w:r>
        <w:rPr>
          <w:sz w:val="21"/>
          <w:szCs w:val="21"/>
        </w:rPr>
        <w:fldChar w:fldCharType="separate"/>
      </w:r>
      <w:r>
        <w:rPr>
          <w:sz w:val="21"/>
          <w:szCs w:val="21"/>
        </w:rPr>
        <w:t>54</w:t>
      </w:r>
      <w:r>
        <w:rPr>
          <w:sz w:val="21"/>
          <w:szCs w:val="21"/>
        </w:rPr>
        <w:fldChar w:fldCharType="end"/>
      </w:r>
      <w:r>
        <w:rPr>
          <w:rFonts w:hint="eastAsia" w:asciiTheme="minorEastAsia" w:hAnsiTheme="minorEastAsia" w:eastAsiaTheme="minorEastAsia" w:cstheme="minorEastAsia"/>
          <w:sz w:val="21"/>
          <w:szCs w:val="21"/>
        </w:rPr>
        <w:fldChar w:fldCharType="end"/>
      </w:r>
    </w:p>
    <w:p w14:paraId="118767CB">
      <w:pPr>
        <w:pStyle w:val="2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_Toc5552 </w:instrText>
      </w:r>
      <w:r>
        <w:rPr>
          <w:rFonts w:hint="eastAsia" w:asciiTheme="minorEastAsia" w:hAnsiTheme="minorEastAsia" w:eastAsiaTheme="minorEastAsia" w:cstheme="minorEastAsia"/>
          <w:sz w:val="21"/>
          <w:szCs w:val="21"/>
        </w:rPr>
        <w:fldChar w:fldCharType="separate"/>
      </w:r>
      <w:r>
        <w:rPr>
          <w:rFonts w:hint="default" w:ascii="宋体" w:hAnsi="宋体" w:cs="宋体"/>
          <w:sz w:val="21"/>
          <w:szCs w:val="21"/>
        </w:rPr>
        <w:t xml:space="preserve">二、 </w:t>
      </w:r>
      <w:r>
        <w:rPr>
          <w:rFonts w:hint="eastAsia" w:ascii="宋体" w:hAnsi="宋体" w:cs="宋体"/>
          <w:sz w:val="21"/>
          <w:szCs w:val="21"/>
        </w:rPr>
        <w:t>采购文件</w:t>
      </w:r>
      <w:r>
        <w:rPr>
          <w:sz w:val="21"/>
          <w:szCs w:val="21"/>
        </w:rPr>
        <w:tab/>
      </w:r>
      <w:r>
        <w:rPr>
          <w:sz w:val="21"/>
          <w:szCs w:val="21"/>
        </w:rPr>
        <w:fldChar w:fldCharType="begin"/>
      </w:r>
      <w:r>
        <w:rPr>
          <w:sz w:val="21"/>
          <w:szCs w:val="21"/>
        </w:rPr>
        <w:instrText xml:space="preserve"> PAGEREF _Toc5552 \h </w:instrText>
      </w:r>
      <w:r>
        <w:rPr>
          <w:sz w:val="21"/>
          <w:szCs w:val="21"/>
        </w:rPr>
        <w:fldChar w:fldCharType="separate"/>
      </w:r>
      <w:r>
        <w:rPr>
          <w:sz w:val="21"/>
          <w:szCs w:val="21"/>
        </w:rPr>
        <w:t>54</w:t>
      </w:r>
      <w:r>
        <w:rPr>
          <w:sz w:val="21"/>
          <w:szCs w:val="21"/>
        </w:rPr>
        <w:fldChar w:fldCharType="end"/>
      </w:r>
      <w:r>
        <w:rPr>
          <w:rFonts w:hint="eastAsia" w:asciiTheme="minorEastAsia" w:hAnsiTheme="minorEastAsia" w:eastAsiaTheme="minorEastAsia" w:cstheme="minorEastAsia"/>
          <w:sz w:val="21"/>
          <w:szCs w:val="21"/>
        </w:rPr>
        <w:fldChar w:fldCharType="end"/>
      </w:r>
    </w:p>
    <w:p w14:paraId="43A0D98D">
      <w:pPr>
        <w:pStyle w:val="1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_Toc8050 </w:instrText>
      </w:r>
      <w:r>
        <w:rPr>
          <w:rFonts w:hint="eastAsia" w:asciiTheme="minorEastAsia" w:hAnsiTheme="minorEastAsia" w:eastAsiaTheme="minorEastAsia" w:cstheme="minorEastAsia"/>
          <w:sz w:val="21"/>
          <w:szCs w:val="21"/>
        </w:rPr>
        <w:fldChar w:fldCharType="separate"/>
      </w:r>
      <w:r>
        <w:rPr>
          <w:rFonts w:hint="default" w:ascii="宋体" w:hAnsi="宋体" w:eastAsia="宋体" w:cs="宋体"/>
          <w:bCs/>
          <w:sz w:val="21"/>
          <w:szCs w:val="21"/>
          <w:lang w:val="en-US" w:eastAsia="zh-CN" w:bidi="ar-SA"/>
        </w:rPr>
        <w:t>9.</w:t>
      </w:r>
      <w:r>
        <w:rPr>
          <w:rFonts w:hint="eastAsia" w:ascii="宋体" w:hAnsi="宋体" w:cs="宋体"/>
          <w:sz w:val="21"/>
          <w:szCs w:val="21"/>
        </w:rPr>
        <w:t>采购文件的组成</w:t>
      </w:r>
      <w:r>
        <w:rPr>
          <w:sz w:val="21"/>
          <w:szCs w:val="21"/>
        </w:rPr>
        <w:tab/>
      </w:r>
      <w:r>
        <w:rPr>
          <w:sz w:val="21"/>
          <w:szCs w:val="21"/>
        </w:rPr>
        <w:fldChar w:fldCharType="begin"/>
      </w:r>
      <w:r>
        <w:rPr>
          <w:sz w:val="21"/>
          <w:szCs w:val="21"/>
        </w:rPr>
        <w:instrText xml:space="preserve"> PAGEREF _Toc8050 \h </w:instrText>
      </w:r>
      <w:r>
        <w:rPr>
          <w:sz w:val="21"/>
          <w:szCs w:val="21"/>
        </w:rPr>
        <w:fldChar w:fldCharType="separate"/>
      </w:r>
      <w:r>
        <w:rPr>
          <w:sz w:val="21"/>
          <w:szCs w:val="21"/>
        </w:rPr>
        <w:t>54</w:t>
      </w:r>
      <w:r>
        <w:rPr>
          <w:sz w:val="21"/>
          <w:szCs w:val="21"/>
        </w:rPr>
        <w:fldChar w:fldCharType="end"/>
      </w:r>
      <w:r>
        <w:rPr>
          <w:rFonts w:hint="eastAsia" w:asciiTheme="minorEastAsia" w:hAnsiTheme="minorEastAsia" w:eastAsiaTheme="minorEastAsia" w:cstheme="minorEastAsia"/>
          <w:sz w:val="21"/>
          <w:szCs w:val="21"/>
        </w:rPr>
        <w:fldChar w:fldCharType="end"/>
      </w:r>
    </w:p>
    <w:p w14:paraId="63AE013E">
      <w:pPr>
        <w:pStyle w:val="1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_Toc7904 </w:instrText>
      </w:r>
      <w:r>
        <w:rPr>
          <w:rFonts w:hint="eastAsia" w:asciiTheme="minorEastAsia" w:hAnsiTheme="minorEastAsia" w:eastAsiaTheme="minorEastAsia" w:cstheme="minorEastAsia"/>
          <w:sz w:val="21"/>
          <w:szCs w:val="21"/>
        </w:rPr>
        <w:fldChar w:fldCharType="separate"/>
      </w:r>
      <w:r>
        <w:rPr>
          <w:rFonts w:hint="default" w:ascii="宋体" w:hAnsi="宋体" w:eastAsia="宋体" w:cs="宋体"/>
          <w:bCs/>
          <w:sz w:val="21"/>
          <w:szCs w:val="21"/>
          <w:lang w:val="en-US" w:eastAsia="zh-CN" w:bidi="ar-SA"/>
        </w:rPr>
        <w:t>10.</w:t>
      </w:r>
      <w:r>
        <w:rPr>
          <w:rFonts w:hint="eastAsia" w:ascii="宋体" w:hAnsi="宋体" w:cs="宋体"/>
          <w:sz w:val="21"/>
          <w:szCs w:val="21"/>
        </w:rPr>
        <w:t>采购文件的澄清或修改</w:t>
      </w:r>
      <w:r>
        <w:rPr>
          <w:sz w:val="21"/>
          <w:szCs w:val="21"/>
        </w:rPr>
        <w:tab/>
      </w:r>
      <w:r>
        <w:rPr>
          <w:sz w:val="21"/>
          <w:szCs w:val="21"/>
        </w:rPr>
        <w:fldChar w:fldCharType="begin"/>
      </w:r>
      <w:r>
        <w:rPr>
          <w:sz w:val="21"/>
          <w:szCs w:val="21"/>
        </w:rPr>
        <w:instrText xml:space="preserve"> PAGEREF _Toc7904 \h </w:instrText>
      </w:r>
      <w:r>
        <w:rPr>
          <w:sz w:val="21"/>
          <w:szCs w:val="21"/>
        </w:rPr>
        <w:fldChar w:fldCharType="separate"/>
      </w:r>
      <w:r>
        <w:rPr>
          <w:sz w:val="21"/>
          <w:szCs w:val="21"/>
        </w:rPr>
        <w:t>55</w:t>
      </w:r>
      <w:r>
        <w:rPr>
          <w:sz w:val="21"/>
          <w:szCs w:val="21"/>
        </w:rPr>
        <w:fldChar w:fldCharType="end"/>
      </w:r>
      <w:r>
        <w:rPr>
          <w:rFonts w:hint="eastAsia" w:asciiTheme="minorEastAsia" w:hAnsiTheme="minorEastAsia" w:eastAsiaTheme="minorEastAsia" w:cstheme="minorEastAsia"/>
          <w:sz w:val="21"/>
          <w:szCs w:val="21"/>
        </w:rPr>
        <w:fldChar w:fldCharType="end"/>
      </w:r>
    </w:p>
    <w:p w14:paraId="5EEB82AC">
      <w:pPr>
        <w:pStyle w:val="2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_Toc30185 </w:instrText>
      </w:r>
      <w:r>
        <w:rPr>
          <w:rFonts w:hint="eastAsia" w:asciiTheme="minorEastAsia" w:hAnsiTheme="minorEastAsia" w:eastAsiaTheme="minorEastAsia" w:cstheme="minorEastAsia"/>
          <w:sz w:val="21"/>
          <w:szCs w:val="21"/>
        </w:rPr>
        <w:fldChar w:fldCharType="separate"/>
      </w:r>
      <w:r>
        <w:rPr>
          <w:rFonts w:hint="default" w:ascii="宋体" w:hAnsi="宋体" w:cs="宋体"/>
          <w:sz w:val="21"/>
          <w:szCs w:val="21"/>
        </w:rPr>
        <w:t xml:space="preserve">三、 </w:t>
      </w:r>
      <w:r>
        <w:rPr>
          <w:rFonts w:hint="eastAsia" w:ascii="宋体" w:hAnsi="宋体" w:cs="宋体"/>
          <w:sz w:val="21"/>
          <w:szCs w:val="21"/>
        </w:rPr>
        <w:t>投标文件的编制</w:t>
      </w:r>
      <w:r>
        <w:rPr>
          <w:sz w:val="21"/>
          <w:szCs w:val="21"/>
        </w:rPr>
        <w:tab/>
      </w:r>
      <w:r>
        <w:rPr>
          <w:sz w:val="21"/>
          <w:szCs w:val="21"/>
        </w:rPr>
        <w:fldChar w:fldCharType="begin"/>
      </w:r>
      <w:r>
        <w:rPr>
          <w:sz w:val="21"/>
          <w:szCs w:val="21"/>
        </w:rPr>
        <w:instrText xml:space="preserve"> PAGEREF _Toc30185 \h </w:instrText>
      </w:r>
      <w:r>
        <w:rPr>
          <w:sz w:val="21"/>
          <w:szCs w:val="21"/>
        </w:rPr>
        <w:fldChar w:fldCharType="separate"/>
      </w:r>
      <w:r>
        <w:rPr>
          <w:sz w:val="21"/>
          <w:szCs w:val="21"/>
        </w:rPr>
        <w:t>55</w:t>
      </w:r>
      <w:r>
        <w:rPr>
          <w:sz w:val="21"/>
          <w:szCs w:val="21"/>
        </w:rPr>
        <w:fldChar w:fldCharType="end"/>
      </w:r>
      <w:r>
        <w:rPr>
          <w:rFonts w:hint="eastAsia" w:asciiTheme="minorEastAsia" w:hAnsiTheme="minorEastAsia" w:eastAsiaTheme="minorEastAsia" w:cstheme="minorEastAsia"/>
          <w:sz w:val="21"/>
          <w:szCs w:val="21"/>
        </w:rPr>
        <w:fldChar w:fldCharType="end"/>
      </w:r>
    </w:p>
    <w:p w14:paraId="751C9251">
      <w:pPr>
        <w:pStyle w:val="1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_Toc11906 </w:instrText>
      </w:r>
      <w:r>
        <w:rPr>
          <w:rFonts w:hint="eastAsia" w:asciiTheme="minorEastAsia" w:hAnsiTheme="minorEastAsia" w:eastAsiaTheme="minorEastAsia" w:cstheme="minorEastAsia"/>
          <w:sz w:val="21"/>
          <w:szCs w:val="21"/>
        </w:rPr>
        <w:fldChar w:fldCharType="separate"/>
      </w:r>
      <w:r>
        <w:rPr>
          <w:rFonts w:hint="default" w:ascii="宋体" w:hAnsi="宋体" w:eastAsia="宋体" w:cs="宋体"/>
          <w:bCs/>
          <w:sz w:val="21"/>
          <w:szCs w:val="21"/>
          <w:lang w:val="en-US" w:eastAsia="zh-CN" w:bidi="ar-SA"/>
        </w:rPr>
        <w:t>11.</w:t>
      </w:r>
      <w:r>
        <w:rPr>
          <w:rFonts w:hint="eastAsia" w:ascii="宋体" w:hAnsi="宋体" w:cs="宋体"/>
          <w:sz w:val="21"/>
          <w:szCs w:val="21"/>
        </w:rPr>
        <w:t>投标文件的语言及度量衡单位</w:t>
      </w:r>
      <w:r>
        <w:rPr>
          <w:sz w:val="21"/>
          <w:szCs w:val="21"/>
        </w:rPr>
        <w:tab/>
      </w:r>
      <w:r>
        <w:rPr>
          <w:sz w:val="21"/>
          <w:szCs w:val="21"/>
        </w:rPr>
        <w:fldChar w:fldCharType="begin"/>
      </w:r>
      <w:r>
        <w:rPr>
          <w:sz w:val="21"/>
          <w:szCs w:val="21"/>
        </w:rPr>
        <w:instrText xml:space="preserve"> PAGEREF _Toc11906 \h </w:instrText>
      </w:r>
      <w:r>
        <w:rPr>
          <w:sz w:val="21"/>
          <w:szCs w:val="21"/>
        </w:rPr>
        <w:fldChar w:fldCharType="separate"/>
      </w:r>
      <w:r>
        <w:rPr>
          <w:sz w:val="21"/>
          <w:szCs w:val="21"/>
        </w:rPr>
        <w:t>55</w:t>
      </w:r>
      <w:r>
        <w:rPr>
          <w:sz w:val="21"/>
          <w:szCs w:val="21"/>
        </w:rPr>
        <w:fldChar w:fldCharType="end"/>
      </w:r>
      <w:r>
        <w:rPr>
          <w:rFonts w:hint="eastAsia" w:asciiTheme="minorEastAsia" w:hAnsiTheme="minorEastAsia" w:eastAsiaTheme="minorEastAsia" w:cstheme="minorEastAsia"/>
          <w:sz w:val="21"/>
          <w:szCs w:val="21"/>
        </w:rPr>
        <w:fldChar w:fldCharType="end"/>
      </w:r>
    </w:p>
    <w:p w14:paraId="2B48074E">
      <w:pPr>
        <w:pStyle w:val="1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_Toc21130 </w:instrText>
      </w:r>
      <w:r>
        <w:rPr>
          <w:rFonts w:hint="eastAsia" w:asciiTheme="minorEastAsia" w:hAnsiTheme="minorEastAsia" w:eastAsiaTheme="minorEastAsia" w:cstheme="minorEastAsia"/>
          <w:sz w:val="21"/>
          <w:szCs w:val="21"/>
        </w:rPr>
        <w:fldChar w:fldCharType="separate"/>
      </w:r>
      <w:r>
        <w:rPr>
          <w:rFonts w:hint="default" w:ascii="宋体" w:hAnsi="宋体" w:eastAsia="宋体" w:cs="宋体"/>
          <w:bCs/>
          <w:sz w:val="21"/>
          <w:szCs w:val="21"/>
          <w:lang w:val="en-US" w:eastAsia="zh-CN" w:bidi="ar-SA"/>
        </w:rPr>
        <w:t>12.</w:t>
      </w:r>
      <w:r>
        <w:rPr>
          <w:rFonts w:hint="eastAsia" w:ascii="宋体" w:hAnsi="宋体" w:cs="宋体"/>
          <w:sz w:val="21"/>
          <w:szCs w:val="21"/>
        </w:rPr>
        <w:t>投标文件的组成</w:t>
      </w:r>
      <w:r>
        <w:rPr>
          <w:sz w:val="21"/>
          <w:szCs w:val="21"/>
        </w:rPr>
        <w:tab/>
      </w:r>
      <w:r>
        <w:rPr>
          <w:sz w:val="21"/>
          <w:szCs w:val="21"/>
        </w:rPr>
        <w:fldChar w:fldCharType="begin"/>
      </w:r>
      <w:r>
        <w:rPr>
          <w:sz w:val="21"/>
          <w:szCs w:val="21"/>
        </w:rPr>
        <w:instrText xml:space="preserve"> PAGEREF _Toc21130 \h </w:instrText>
      </w:r>
      <w:r>
        <w:rPr>
          <w:sz w:val="21"/>
          <w:szCs w:val="21"/>
        </w:rPr>
        <w:fldChar w:fldCharType="separate"/>
      </w:r>
      <w:r>
        <w:rPr>
          <w:sz w:val="21"/>
          <w:szCs w:val="21"/>
        </w:rPr>
        <w:t>55</w:t>
      </w:r>
      <w:r>
        <w:rPr>
          <w:sz w:val="21"/>
          <w:szCs w:val="21"/>
        </w:rPr>
        <w:fldChar w:fldCharType="end"/>
      </w:r>
      <w:r>
        <w:rPr>
          <w:rFonts w:hint="eastAsia" w:asciiTheme="minorEastAsia" w:hAnsiTheme="minorEastAsia" w:eastAsiaTheme="minorEastAsia" w:cstheme="minorEastAsia"/>
          <w:sz w:val="21"/>
          <w:szCs w:val="21"/>
        </w:rPr>
        <w:fldChar w:fldCharType="end"/>
      </w:r>
    </w:p>
    <w:p w14:paraId="729C1E53">
      <w:pPr>
        <w:pStyle w:val="1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_Toc10286 </w:instrText>
      </w:r>
      <w:r>
        <w:rPr>
          <w:rFonts w:hint="eastAsia" w:asciiTheme="minorEastAsia" w:hAnsiTheme="minorEastAsia" w:eastAsiaTheme="minorEastAsia" w:cstheme="minorEastAsia"/>
          <w:sz w:val="21"/>
          <w:szCs w:val="21"/>
        </w:rPr>
        <w:fldChar w:fldCharType="separate"/>
      </w:r>
      <w:r>
        <w:rPr>
          <w:rFonts w:hint="default" w:ascii="宋体" w:hAnsi="宋体" w:eastAsia="宋体" w:cs="宋体"/>
          <w:bCs/>
          <w:sz w:val="21"/>
          <w:szCs w:val="21"/>
          <w:lang w:val="en-US" w:eastAsia="zh-CN" w:bidi="ar-SA"/>
        </w:rPr>
        <w:t>13.</w:t>
      </w:r>
      <w:r>
        <w:rPr>
          <w:rFonts w:hint="eastAsia" w:ascii="宋体" w:hAnsi="宋体" w:cs="宋体"/>
          <w:sz w:val="21"/>
          <w:szCs w:val="21"/>
        </w:rPr>
        <w:t>投标文件编制</w:t>
      </w:r>
      <w:r>
        <w:rPr>
          <w:sz w:val="21"/>
          <w:szCs w:val="21"/>
        </w:rPr>
        <w:tab/>
      </w:r>
      <w:r>
        <w:rPr>
          <w:sz w:val="21"/>
          <w:szCs w:val="21"/>
        </w:rPr>
        <w:fldChar w:fldCharType="begin"/>
      </w:r>
      <w:r>
        <w:rPr>
          <w:sz w:val="21"/>
          <w:szCs w:val="21"/>
        </w:rPr>
        <w:instrText xml:space="preserve"> PAGEREF _Toc10286 \h </w:instrText>
      </w:r>
      <w:r>
        <w:rPr>
          <w:sz w:val="21"/>
          <w:szCs w:val="21"/>
        </w:rPr>
        <w:fldChar w:fldCharType="separate"/>
      </w:r>
      <w:r>
        <w:rPr>
          <w:sz w:val="21"/>
          <w:szCs w:val="21"/>
        </w:rPr>
        <w:t>55</w:t>
      </w:r>
      <w:r>
        <w:rPr>
          <w:sz w:val="21"/>
          <w:szCs w:val="21"/>
        </w:rPr>
        <w:fldChar w:fldCharType="end"/>
      </w:r>
      <w:r>
        <w:rPr>
          <w:rFonts w:hint="eastAsia" w:asciiTheme="minorEastAsia" w:hAnsiTheme="minorEastAsia" w:eastAsiaTheme="minorEastAsia" w:cstheme="minorEastAsia"/>
          <w:sz w:val="21"/>
          <w:szCs w:val="21"/>
        </w:rPr>
        <w:fldChar w:fldCharType="end"/>
      </w:r>
    </w:p>
    <w:p w14:paraId="328D6A7E">
      <w:pPr>
        <w:pStyle w:val="1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_Toc8315 </w:instrText>
      </w:r>
      <w:r>
        <w:rPr>
          <w:rFonts w:hint="eastAsia" w:asciiTheme="minorEastAsia" w:hAnsiTheme="minorEastAsia" w:eastAsiaTheme="minorEastAsia" w:cstheme="minorEastAsia"/>
          <w:sz w:val="21"/>
          <w:szCs w:val="21"/>
        </w:rPr>
        <w:fldChar w:fldCharType="separate"/>
      </w:r>
      <w:r>
        <w:rPr>
          <w:rFonts w:hint="default" w:ascii="宋体" w:hAnsi="宋体" w:eastAsia="宋体" w:cs="宋体"/>
          <w:bCs/>
          <w:sz w:val="21"/>
          <w:szCs w:val="21"/>
          <w:lang w:val="en-US" w:eastAsia="zh-CN" w:bidi="ar-SA"/>
        </w:rPr>
        <w:t>14.</w:t>
      </w:r>
      <w:r>
        <w:rPr>
          <w:rFonts w:hint="eastAsia" w:ascii="宋体" w:hAnsi="宋体" w:cs="宋体"/>
          <w:sz w:val="21"/>
          <w:szCs w:val="21"/>
        </w:rPr>
        <w:t>投标报价说明</w:t>
      </w:r>
      <w:r>
        <w:rPr>
          <w:sz w:val="21"/>
          <w:szCs w:val="21"/>
        </w:rPr>
        <w:tab/>
      </w:r>
      <w:r>
        <w:rPr>
          <w:sz w:val="21"/>
          <w:szCs w:val="21"/>
        </w:rPr>
        <w:fldChar w:fldCharType="begin"/>
      </w:r>
      <w:r>
        <w:rPr>
          <w:sz w:val="21"/>
          <w:szCs w:val="21"/>
        </w:rPr>
        <w:instrText xml:space="preserve"> PAGEREF _Toc8315 \h </w:instrText>
      </w:r>
      <w:r>
        <w:rPr>
          <w:sz w:val="21"/>
          <w:szCs w:val="21"/>
        </w:rPr>
        <w:fldChar w:fldCharType="separate"/>
      </w:r>
      <w:r>
        <w:rPr>
          <w:sz w:val="21"/>
          <w:szCs w:val="21"/>
        </w:rPr>
        <w:t>56</w:t>
      </w:r>
      <w:r>
        <w:rPr>
          <w:sz w:val="21"/>
          <w:szCs w:val="21"/>
        </w:rPr>
        <w:fldChar w:fldCharType="end"/>
      </w:r>
      <w:r>
        <w:rPr>
          <w:rFonts w:hint="eastAsia" w:asciiTheme="minorEastAsia" w:hAnsiTheme="minorEastAsia" w:eastAsiaTheme="minorEastAsia" w:cstheme="minorEastAsia"/>
          <w:sz w:val="21"/>
          <w:szCs w:val="21"/>
        </w:rPr>
        <w:fldChar w:fldCharType="end"/>
      </w:r>
    </w:p>
    <w:p w14:paraId="18AEEE12">
      <w:pPr>
        <w:pStyle w:val="1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_Toc20633 </w:instrText>
      </w:r>
      <w:r>
        <w:rPr>
          <w:rFonts w:hint="eastAsia" w:asciiTheme="minorEastAsia" w:hAnsiTheme="minorEastAsia" w:eastAsiaTheme="minorEastAsia" w:cstheme="minorEastAsia"/>
          <w:sz w:val="21"/>
          <w:szCs w:val="21"/>
        </w:rPr>
        <w:fldChar w:fldCharType="separate"/>
      </w:r>
      <w:r>
        <w:rPr>
          <w:rFonts w:hint="default" w:ascii="宋体" w:hAnsi="宋体" w:cs="宋体"/>
          <w:sz w:val="21"/>
          <w:szCs w:val="21"/>
        </w:rPr>
        <w:t xml:space="preserve">四、 </w:t>
      </w:r>
      <w:r>
        <w:rPr>
          <w:rFonts w:hint="eastAsia" w:ascii="宋体" w:hAnsi="宋体" w:cs="宋体"/>
          <w:sz w:val="21"/>
          <w:szCs w:val="21"/>
          <w:highlight w:val="none"/>
        </w:rPr>
        <w:t>投标文件的递交</w:t>
      </w:r>
      <w:r>
        <w:rPr>
          <w:sz w:val="21"/>
          <w:szCs w:val="21"/>
        </w:rPr>
        <w:tab/>
      </w:r>
      <w:r>
        <w:rPr>
          <w:sz w:val="21"/>
          <w:szCs w:val="21"/>
        </w:rPr>
        <w:fldChar w:fldCharType="begin"/>
      </w:r>
      <w:r>
        <w:rPr>
          <w:sz w:val="21"/>
          <w:szCs w:val="21"/>
        </w:rPr>
        <w:instrText xml:space="preserve"> PAGEREF _Toc20633 \h </w:instrText>
      </w:r>
      <w:r>
        <w:rPr>
          <w:sz w:val="21"/>
          <w:szCs w:val="21"/>
        </w:rPr>
        <w:fldChar w:fldCharType="separate"/>
      </w:r>
      <w:r>
        <w:rPr>
          <w:sz w:val="21"/>
          <w:szCs w:val="21"/>
        </w:rPr>
        <w:t>58</w:t>
      </w:r>
      <w:r>
        <w:rPr>
          <w:sz w:val="21"/>
          <w:szCs w:val="21"/>
        </w:rPr>
        <w:fldChar w:fldCharType="end"/>
      </w:r>
      <w:r>
        <w:rPr>
          <w:rFonts w:hint="eastAsia" w:asciiTheme="minorEastAsia" w:hAnsiTheme="minorEastAsia" w:eastAsiaTheme="minorEastAsia" w:cstheme="minorEastAsia"/>
          <w:sz w:val="21"/>
          <w:szCs w:val="21"/>
        </w:rPr>
        <w:fldChar w:fldCharType="end"/>
      </w:r>
    </w:p>
    <w:p w14:paraId="580A0F53">
      <w:pPr>
        <w:pStyle w:val="1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_Toc10019 </w:instrText>
      </w:r>
      <w:r>
        <w:rPr>
          <w:rFonts w:hint="eastAsia" w:asciiTheme="minorEastAsia" w:hAnsiTheme="minorEastAsia" w:eastAsiaTheme="minorEastAsia" w:cstheme="minorEastAsia"/>
          <w:sz w:val="21"/>
          <w:szCs w:val="21"/>
        </w:rPr>
        <w:fldChar w:fldCharType="separate"/>
      </w:r>
      <w:r>
        <w:rPr>
          <w:rFonts w:hint="default" w:ascii="宋体" w:hAnsi="宋体" w:cs="宋体"/>
          <w:sz w:val="21"/>
          <w:szCs w:val="21"/>
        </w:rPr>
        <w:t xml:space="preserve">五、 </w:t>
      </w:r>
      <w:r>
        <w:rPr>
          <w:rFonts w:hint="eastAsia" w:ascii="宋体" w:hAnsi="宋体" w:cs="宋体"/>
          <w:sz w:val="21"/>
          <w:szCs w:val="21"/>
        </w:rPr>
        <w:t>开标与评标</w:t>
      </w:r>
      <w:r>
        <w:rPr>
          <w:sz w:val="21"/>
          <w:szCs w:val="21"/>
        </w:rPr>
        <w:tab/>
      </w:r>
      <w:r>
        <w:rPr>
          <w:sz w:val="21"/>
          <w:szCs w:val="21"/>
        </w:rPr>
        <w:fldChar w:fldCharType="begin"/>
      </w:r>
      <w:r>
        <w:rPr>
          <w:sz w:val="21"/>
          <w:szCs w:val="21"/>
        </w:rPr>
        <w:instrText xml:space="preserve"> PAGEREF _Toc10019 \h </w:instrText>
      </w:r>
      <w:r>
        <w:rPr>
          <w:sz w:val="21"/>
          <w:szCs w:val="21"/>
        </w:rPr>
        <w:fldChar w:fldCharType="separate"/>
      </w:r>
      <w:r>
        <w:rPr>
          <w:sz w:val="21"/>
          <w:szCs w:val="21"/>
        </w:rPr>
        <w:t>60</w:t>
      </w:r>
      <w:r>
        <w:rPr>
          <w:sz w:val="21"/>
          <w:szCs w:val="21"/>
        </w:rPr>
        <w:fldChar w:fldCharType="end"/>
      </w:r>
      <w:r>
        <w:rPr>
          <w:rFonts w:hint="eastAsia" w:asciiTheme="minorEastAsia" w:hAnsiTheme="minorEastAsia" w:eastAsiaTheme="minorEastAsia" w:cstheme="minorEastAsia"/>
          <w:sz w:val="21"/>
          <w:szCs w:val="21"/>
        </w:rPr>
        <w:fldChar w:fldCharType="end"/>
      </w:r>
    </w:p>
    <w:p w14:paraId="0B90586D">
      <w:pPr>
        <w:pStyle w:val="1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_Toc6405 </w:instrText>
      </w:r>
      <w:r>
        <w:rPr>
          <w:rFonts w:hint="eastAsia" w:asciiTheme="minorEastAsia" w:hAnsiTheme="minorEastAsia" w:eastAsiaTheme="minorEastAsia" w:cstheme="minorEastAsia"/>
          <w:sz w:val="21"/>
          <w:szCs w:val="21"/>
        </w:rPr>
        <w:fldChar w:fldCharType="separate"/>
      </w:r>
      <w:r>
        <w:rPr>
          <w:rFonts w:hint="default" w:ascii="宋体" w:hAnsi="宋体" w:cs="宋体"/>
          <w:sz w:val="21"/>
          <w:szCs w:val="21"/>
        </w:rPr>
        <w:t xml:space="preserve">六、 </w:t>
      </w:r>
      <w:r>
        <w:rPr>
          <w:rFonts w:hint="eastAsia" w:ascii="宋体" w:hAnsi="宋体" w:cs="宋体"/>
          <w:sz w:val="21"/>
          <w:szCs w:val="21"/>
        </w:rPr>
        <w:t>授予合同</w:t>
      </w:r>
      <w:r>
        <w:rPr>
          <w:sz w:val="21"/>
          <w:szCs w:val="21"/>
        </w:rPr>
        <w:tab/>
      </w:r>
      <w:r>
        <w:rPr>
          <w:sz w:val="21"/>
          <w:szCs w:val="21"/>
        </w:rPr>
        <w:fldChar w:fldCharType="begin"/>
      </w:r>
      <w:r>
        <w:rPr>
          <w:sz w:val="21"/>
          <w:szCs w:val="21"/>
        </w:rPr>
        <w:instrText xml:space="preserve"> PAGEREF _Toc6405 \h </w:instrText>
      </w:r>
      <w:r>
        <w:rPr>
          <w:sz w:val="21"/>
          <w:szCs w:val="21"/>
        </w:rPr>
        <w:fldChar w:fldCharType="separate"/>
      </w:r>
      <w:r>
        <w:rPr>
          <w:sz w:val="21"/>
          <w:szCs w:val="21"/>
        </w:rPr>
        <w:t>64</w:t>
      </w:r>
      <w:r>
        <w:rPr>
          <w:sz w:val="21"/>
          <w:szCs w:val="21"/>
        </w:rPr>
        <w:fldChar w:fldCharType="end"/>
      </w:r>
      <w:r>
        <w:rPr>
          <w:rFonts w:hint="eastAsia" w:asciiTheme="minorEastAsia" w:hAnsiTheme="minorEastAsia" w:eastAsiaTheme="minorEastAsia" w:cstheme="minorEastAsia"/>
          <w:sz w:val="21"/>
          <w:szCs w:val="21"/>
        </w:rPr>
        <w:fldChar w:fldCharType="end"/>
      </w:r>
    </w:p>
    <w:p w14:paraId="092696EF">
      <w:pPr>
        <w:pStyle w:val="1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_Toc9293 </w:instrText>
      </w:r>
      <w:r>
        <w:rPr>
          <w:rFonts w:hint="eastAsia" w:asciiTheme="minorEastAsia" w:hAnsiTheme="minorEastAsia" w:eastAsiaTheme="minorEastAsia" w:cstheme="minorEastAsia"/>
          <w:sz w:val="21"/>
          <w:szCs w:val="21"/>
        </w:rPr>
        <w:fldChar w:fldCharType="separate"/>
      </w:r>
      <w:r>
        <w:rPr>
          <w:rFonts w:hint="default" w:ascii="宋体" w:hAnsi="宋体" w:cs="宋体"/>
          <w:sz w:val="21"/>
          <w:szCs w:val="21"/>
        </w:rPr>
        <w:t xml:space="preserve">七、 </w:t>
      </w:r>
      <w:r>
        <w:rPr>
          <w:rFonts w:hint="eastAsia" w:ascii="宋体" w:hAnsi="宋体" w:cs="宋体"/>
          <w:sz w:val="21"/>
          <w:szCs w:val="21"/>
        </w:rPr>
        <w:t>异议</w:t>
      </w:r>
      <w:r>
        <w:rPr>
          <w:sz w:val="21"/>
          <w:szCs w:val="21"/>
        </w:rPr>
        <w:tab/>
      </w:r>
      <w:r>
        <w:rPr>
          <w:sz w:val="21"/>
          <w:szCs w:val="21"/>
        </w:rPr>
        <w:fldChar w:fldCharType="begin"/>
      </w:r>
      <w:r>
        <w:rPr>
          <w:sz w:val="21"/>
          <w:szCs w:val="21"/>
        </w:rPr>
        <w:instrText xml:space="preserve"> PAGEREF _Toc9293 \h </w:instrText>
      </w:r>
      <w:r>
        <w:rPr>
          <w:sz w:val="21"/>
          <w:szCs w:val="21"/>
        </w:rPr>
        <w:fldChar w:fldCharType="separate"/>
      </w:r>
      <w:r>
        <w:rPr>
          <w:sz w:val="21"/>
          <w:szCs w:val="21"/>
        </w:rPr>
        <w:t>66</w:t>
      </w:r>
      <w:r>
        <w:rPr>
          <w:sz w:val="21"/>
          <w:szCs w:val="21"/>
        </w:rPr>
        <w:fldChar w:fldCharType="end"/>
      </w:r>
      <w:r>
        <w:rPr>
          <w:rFonts w:hint="eastAsia" w:asciiTheme="minorEastAsia" w:hAnsiTheme="minorEastAsia" w:eastAsiaTheme="minorEastAsia" w:cstheme="minorEastAsia"/>
          <w:sz w:val="21"/>
          <w:szCs w:val="21"/>
        </w:rPr>
        <w:fldChar w:fldCharType="end"/>
      </w:r>
    </w:p>
    <w:p w14:paraId="27D2CFFF">
      <w:pPr>
        <w:pStyle w:val="1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_Toc23395 </w:instrText>
      </w:r>
      <w:r>
        <w:rPr>
          <w:rFonts w:hint="eastAsia" w:asciiTheme="minorEastAsia" w:hAnsiTheme="minorEastAsia" w:eastAsiaTheme="minorEastAsia" w:cstheme="minorEastAsia"/>
          <w:sz w:val="21"/>
          <w:szCs w:val="21"/>
        </w:rPr>
        <w:fldChar w:fldCharType="separate"/>
      </w:r>
      <w:r>
        <w:rPr>
          <w:rFonts w:hint="default" w:ascii="宋体" w:hAnsi="宋体" w:cs="宋体"/>
          <w:sz w:val="21"/>
          <w:szCs w:val="21"/>
        </w:rPr>
        <w:t xml:space="preserve">八、 </w:t>
      </w:r>
      <w:r>
        <w:rPr>
          <w:rFonts w:hint="eastAsia" w:ascii="宋体" w:hAnsi="宋体" w:cs="宋体"/>
          <w:sz w:val="21"/>
          <w:szCs w:val="21"/>
        </w:rPr>
        <w:t>其他</w:t>
      </w:r>
      <w:r>
        <w:rPr>
          <w:sz w:val="21"/>
          <w:szCs w:val="21"/>
        </w:rPr>
        <w:tab/>
      </w:r>
      <w:r>
        <w:rPr>
          <w:sz w:val="21"/>
          <w:szCs w:val="21"/>
        </w:rPr>
        <w:fldChar w:fldCharType="begin"/>
      </w:r>
      <w:r>
        <w:rPr>
          <w:sz w:val="21"/>
          <w:szCs w:val="21"/>
        </w:rPr>
        <w:instrText xml:space="preserve"> PAGEREF _Toc23395 \h </w:instrText>
      </w:r>
      <w:r>
        <w:rPr>
          <w:sz w:val="21"/>
          <w:szCs w:val="21"/>
        </w:rPr>
        <w:fldChar w:fldCharType="separate"/>
      </w:r>
      <w:r>
        <w:rPr>
          <w:sz w:val="21"/>
          <w:szCs w:val="21"/>
        </w:rPr>
        <w:t>67</w:t>
      </w:r>
      <w:r>
        <w:rPr>
          <w:sz w:val="21"/>
          <w:szCs w:val="21"/>
        </w:rPr>
        <w:fldChar w:fldCharType="end"/>
      </w:r>
      <w:r>
        <w:rPr>
          <w:rFonts w:hint="eastAsia" w:asciiTheme="minorEastAsia" w:hAnsiTheme="minorEastAsia" w:eastAsiaTheme="minorEastAsia" w:cstheme="minorEastAsia"/>
          <w:sz w:val="21"/>
          <w:szCs w:val="21"/>
        </w:rPr>
        <w:fldChar w:fldCharType="end"/>
      </w:r>
    </w:p>
    <w:p w14:paraId="05CE6E0E">
      <w:pPr>
        <w:pStyle w:val="21"/>
        <w:tabs>
          <w:tab w:val="left" w:pos="-200"/>
          <w:tab w:val="right" w:leader="dot" w:pos="830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_Toc30789 </w:instrText>
      </w:r>
      <w:r>
        <w:rPr>
          <w:rFonts w:hint="eastAsia" w:asciiTheme="minorEastAsia" w:hAnsiTheme="minorEastAsia" w:eastAsiaTheme="minorEastAsia" w:cstheme="minorEastAsia"/>
          <w:sz w:val="21"/>
          <w:szCs w:val="21"/>
        </w:rPr>
        <w:fldChar w:fldCharType="separate"/>
      </w:r>
      <w:r>
        <w:rPr>
          <w:rFonts w:hint="eastAsia"/>
          <w:sz w:val="21"/>
          <w:szCs w:val="21"/>
        </w:rPr>
        <w:t>第五部分  合同条款格式</w:t>
      </w:r>
      <w:r>
        <w:rPr>
          <w:sz w:val="21"/>
          <w:szCs w:val="21"/>
        </w:rPr>
        <w:tab/>
      </w:r>
      <w:r>
        <w:rPr>
          <w:sz w:val="21"/>
          <w:szCs w:val="21"/>
        </w:rPr>
        <w:fldChar w:fldCharType="begin"/>
      </w:r>
      <w:r>
        <w:rPr>
          <w:sz w:val="21"/>
          <w:szCs w:val="21"/>
        </w:rPr>
        <w:instrText xml:space="preserve"> PAGEREF _Toc30789 \h </w:instrText>
      </w:r>
      <w:r>
        <w:rPr>
          <w:sz w:val="21"/>
          <w:szCs w:val="21"/>
        </w:rPr>
        <w:fldChar w:fldCharType="separate"/>
      </w:r>
      <w:r>
        <w:rPr>
          <w:sz w:val="21"/>
          <w:szCs w:val="21"/>
        </w:rPr>
        <w:t>68</w:t>
      </w:r>
      <w:r>
        <w:rPr>
          <w:sz w:val="21"/>
          <w:szCs w:val="21"/>
        </w:rPr>
        <w:fldChar w:fldCharType="end"/>
      </w:r>
      <w:r>
        <w:rPr>
          <w:rFonts w:hint="eastAsia" w:asciiTheme="minorEastAsia" w:hAnsiTheme="minorEastAsia" w:eastAsiaTheme="minorEastAsia" w:cstheme="minorEastAsia"/>
          <w:sz w:val="21"/>
          <w:szCs w:val="21"/>
        </w:rPr>
        <w:fldChar w:fldCharType="end"/>
      </w:r>
    </w:p>
    <w:p w14:paraId="6831FE99">
      <w:pPr>
        <w:pStyle w:val="2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_Toc13410 </w:instrText>
      </w:r>
      <w:r>
        <w:rPr>
          <w:rFonts w:hint="eastAsia" w:asciiTheme="minorEastAsia" w:hAnsiTheme="minorEastAsia" w:eastAsiaTheme="minorEastAsia" w:cstheme="minorEastAsia"/>
          <w:sz w:val="21"/>
          <w:szCs w:val="21"/>
        </w:rPr>
        <w:fldChar w:fldCharType="separate"/>
      </w:r>
      <w:r>
        <w:rPr>
          <w:rFonts w:hint="eastAsia" w:ascii="宋体" w:hAnsi="宋体" w:cs="宋体"/>
          <w:sz w:val="21"/>
          <w:szCs w:val="21"/>
        </w:rPr>
        <w:t>附件1:阳光合作协议</w:t>
      </w:r>
      <w:r>
        <w:rPr>
          <w:sz w:val="21"/>
          <w:szCs w:val="21"/>
        </w:rPr>
        <w:tab/>
      </w:r>
      <w:r>
        <w:rPr>
          <w:sz w:val="21"/>
          <w:szCs w:val="21"/>
        </w:rPr>
        <w:fldChar w:fldCharType="begin"/>
      </w:r>
      <w:r>
        <w:rPr>
          <w:sz w:val="21"/>
          <w:szCs w:val="21"/>
        </w:rPr>
        <w:instrText xml:space="preserve"> PAGEREF _Toc13410 \h </w:instrText>
      </w:r>
      <w:r>
        <w:rPr>
          <w:sz w:val="21"/>
          <w:szCs w:val="21"/>
        </w:rPr>
        <w:fldChar w:fldCharType="separate"/>
      </w:r>
      <w:r>
        <w:rPr>
          <w:sz w:val="21"/>
          <w:szCs w:val="21"/>
        </w:rPr>
        <w:t>74</w:t>
      </w:r>
      <w:r>
        <w:rPr>
          <w:sz w:val="21"/>
          <w:szCs w:val="21"/>
        </w:rPr>
        <w:fldChar w:fldCharType="end"/>
      </w:r>
      <w:r>
        <w:rPr>
          <w:rFonts w:hint="eastAsia" w:asciiTheme="minorEastAsia" w:hAnsiTheme="minorEastAsia" w:eastAsiaTheme="minorEastAsia" w:cstheme="minorEastAsia"/>
          <w:sz w:val="21"/>
          <w:szCs w:val="21"/>
        </w:rPr>
        <w:fldChar w:fldCharType="end"/>
      </w:r>
    </w:p>
    <w:p w14:paraId="3A25BDD4">
      <w:pPr>
        <w:pStyle w:val="21"/>
        <w:tabs>
          <w:tab w:val="left" w:pos="-200"/>
          <w:tab w:val="right" w:leader="dot" w:pos="830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_Toc31795 </w:instrText>
      </w:r>
      <w:r>
        <w:rPr>
          <w:rFonts w:hint="eastAsia" w:asciiTheme="minorEastAsia" w:hAnsiTheme="minorEastAsia" w:eastAsiaTheme="minorEastAsia" w:cstheme="minorEastAsia"/>
          <w:sz w:val="21"/>
          <w:szCs w:val="21"/>
        </w:rPr>
        <w:fldChar w:fldCharType="separate"/>
      </w:r>
      <w:r>
        <w:rPr>
          <w:rFonts w:hint="eastAsia"/>
          <w:sz w:val="21"/>
          <w:szCs w:val="21"/>
        </w:rPr>
        <w:t>第六部分附件－投标文件格式</w:t>
      </w:r>
      <w:r>
        <w:rPr>
          <w:sz w:val="21"/>
          <w:szCs w:val="21"/>
        </w:rPr>
        <w:tab/>
      </w:r>
      <w:r>
        <w:rPr>
          <w:sz w:val="21"/>
          <w:szCs w:val="21"/>
        </w:rPr>
        <w:fldChar w:fldCharType="begin"/>
      </w:r>
      <w:r>
        <w:rPr>
          <w:sz w:val="21"/>
          <w:szCs w:val="21"/>
        </w:rPr>
        <w:instrText xml:space="preserve"> PAGEREF _Toc31795 \h </w:instrText>
      </w:r>
      <w:r>
        <w:rPr>
          <w:sz w:val="21"/>
          <w:szCs w:val="21"/>
        </w:rPr>
        <w:fldChar w:fldCharType="separate"/>
      </w:r>
      <w:r>
        <w:rPr>
          <w:sz w:val="21"/>
          <w:szCs w:val="21"/>
        </w:rPr>
        <w:t>76</w:t>
      </w:r>
      <w:r>
        <w:rPr>
          <w:sz w:val="21"/>
          <w:szCs w:val="21"/>
        </w:rPr>
        <w:fldChar w:fldCharType="end"/>
      </w:r>
      <w:r>
        <w:rPr>
          <w:rFonts w:hint="eastAsia" w:asciiTheme="minorEastAsia" w:hAnsiTheme="minorEastAsia" w:eastAsiaTheme="minorEastAsia" w:cstheme="minorEastAsia"/>
          <w:sz w:val="21"/>
          <w:szCs w:val="21"/>
        </w:rPr>
        <w:fldChar w:fldCharType="end"/>
      </w:r>
    </w:p>
    <w:p w14:paraId="4AEE668D">
      <w:pPr>
        <w:pStyle w:val="1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_Toc21237 </w:instrText>
      </w:r>
      <w:r>
        <w:rPr>
          <w:rFonts w:hint="eastAsia" w:asciiTheme="minorEastAsia" w:hAnsiTheme="minorEastAsia" w:eastAsiaTheme="minorEastAsia" w:cstheme="minorEastAsia"/>
          <w:sz w:val="21"/>
          <w:szCs w:val="21"/>
        </w:rPr>
        <w:fldChar w:fldCharType="separate"/>
      </w:r>
      <w:r>
        <w:rPr>
          <w:rFonts w:hint="eastAsia" w:ascii="宋体" w:hAnsi="宋体"/>
          <w:sz w:val="21"/>
          <w:szCs w:val="21"/>
        </w:rPr>
        <w:t>投标文件目录</w:t>
      </w:r>
      <w:r>
        <w:rPr>
          <w:sz w:val="21"/>
          <w:szCs w:val="21"/>
        </w:rPr>
        <w:tab/>
      </w:r>
      <w:r>
        <w:rPr>
          <w:sz w:val="21"/>
          <w:szCs w:val="21"/>
        </w:rPr>
        <w:fldChar w:fldCharType="begin"/>
      </w:r>
      <w:r>
        <w:rPr>
          <w:sz w:val="21"/>
          <w:szCs w:val="21"/>
        </w:rPr>
        <w:instrText xml:space="preserve"> PAGEREF _Toc21237 \h </w:instrText>
      </w:r>
      <w:r>
        <w:rPr>
          <w:sz w:val="21"/>
          <w:szCs w:val="21"/>
        </w:rPr>
        <w:fldChar w:fldCharType="separate"/>
      </w:r>
      <w:r>
        <w:rPr>
          <w:sz w:val="21"/>
          <w:szCs w:val="21"/>
        </w:rPr>
        <w:t>76</w:t>
      </w:r>
      <w:r>
        <w:rPr>
          <w:sz w:val="21"/>
          <w:szCs w:val="21"/>
        </w:rPr>
        <w:fldChar w:fldCharType="end"/>
      </w:r>
      <w:r>
        <w:rPr>
          <w:rFonts w:hint="eastAsia" w:asciiTheme="minorEastAsia" w:hAnsiTheme="minorEastAsia" w:eastAsiaTheme="minorEastAsia" w:cstheme="minorEastAsia"/>
          <w:sz w:val="21"/>
          <w:szCs w:val="21"/>
        </w:rPr>
        <w:fldChar w:fldCharType="end"/>
      </w:r>
    </w:p>
    <w:p w14:paraId="6BD61009">
      <w:pPr>
        <w:pStyle w:val="1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_Toc7168 </w:instrText>
      </w:r>
      <w:r>
        <w:rPr>
          <w:rFonts w:hint="eastAsia" w:asciiTheme="minorEastAsia" w:hAnsiTheme="minorEastAsia" w:eastAsiaTheme="minorEastAsia" w:cstheme="minorEastAsia"/>
          <w:sz w:val="21"/>
          <w:szCs w:val="21"/>
        </w:rPr>
        <w:fldChar w:fldCharType="separate"/>
      </w:r>
      <w:r>
        <w:rPr>
          <w:rFonts w:hint="eastAsia" w:ascii="宋体" w:hAnsi="宋体"/>
          <w:sz w:val="21"/>
          <w:szCs w:val="21"/>
        </w:rPr>
        <w:t>附件1.评分标准索引表</w:t>
      </w:r>
      <w:r>
        <w:rPr>
          <w:sz w:val="21"/>
          <w:szCs w:val="21"/>
        </w:rPr>
        <w:tab/>
      </w:r>
      <w:r>
        <w:rPr>
          <w:sz w:val="21"/>
          <w:szCs w:val="21"/>
        </w:rPr>
        <w:fldChar w:fldCharType="begin"/>
      </w:r>
      <w:r>
        <w:rPr>
          <w:sz w:val="21"/>
          <w:szCs w:val="21"/>
        </w:rPr>
        <w:instrText xml:space="preserve"> PAGEREF _Toc7168 \h </w:instrText>
      </w:r>
      <w:r>
        <w:rPr>
          <w:sz w:val="21"/>
          <w:szCs w:val="21"/>
        </w:rPr>
        <w:fldChar w:fldCharType="separate"/>
      </w:r>
      <w:r>
        <w:rPr>
          <w:sz w:val="21"/>
          <w:szCs w:val="21"/>
        </w:rPr>
        <w:t>77</w:t>
      </w:r>
      <w:r>
        <w:rPr>
          <w:sz w:val="21"/>
          <w:szCs w:val="21"/>
        </w:rPr>
        <w:fldChar w:fldCharType="end"/>
      </w:r>
      <w:r>
        <w:rPr>
          <w:rFonts w:hint="eastAsia" w:asciiTheme="minorEastAsia" w:hAnsiTheme="minorEastAsia" w:eastAsiaTheme="minorEastAsia" w:cstheme="minorEastAsia"/>
          <w:sz w:val="21"/>
          <w:szCs w:val="21"/>
        </w:rPr>
        <w:fldChar w:fldCharType="end"/>
      </w:r>
    </w:p>
    <w:p w14:paraId="732AB01E">
      <w:pPr>
        <w:pStyle w:val="2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_Toc4381 </w:instrText>
      </w:r>
      <w:r>
        <w:rPr>
          <w:rFonts w:hint="eastAsia" w:asciiTheme="minorEastAsia" w:hAnsiTheme="minorEastAsia" w:eastAsiaTheme="minorEastAsia" w:cstheme="minorEastAsia"/>
          <w:sz w:val="21"/>
          <w:szCs w:val="21"/>
        </w:rPr>
        <w:fldChar w:fldCharType="separate"/>
      </w:r>
      <w:r>
        <w:rPr>
          <w:rFonts w:hint="eastAsia"/>
          <w:sz w:val="21"/>
          <w:szCs w:val="21"/>
        </w:rPr>
        <w:t>价格文件</w:t>
      </w:r>
      <w:r>
        <w:rPr>
          <w:sz w:val="21"/>
          <w:szCs w:val="21"/>
        </w:rPr>
        <w:tab/>
      </w:r>
      <w:r>
        <w:rPr>
          <w:sz w:val="21"/>
          <w:szCs w:val="21"/>
        </w:rPr>
        <w:fldChar w:fldCharType="begin"/>
      </w:r>
      <w:r>
        <w:rPr>
          <w:sz w:val="21"/>
          <w:szCs w:val="21"/>
        </w:rPr>
        <w:instrText xml:space="preserve"> PAGEREF _Toc4381 \h </w:instrText>
      </w:r>
      <w:r>
        <w:rPr>
          <w:sz w:val="21"/>
          <w:szCs w:val="21"/>
        </w:rPr>
        <w:fldChar w:fldCharType="separate"/>
      </w:r>
      <w:r>
        <w:rPr>
          <w:sz w:val="21"/>
          <w:szCs w:val="21"/>
        </w:rPr>
        <w:t>78</w:t>
      </w:r>
      <w:r>
        <w:rPr>
          <w:sz w:val="21"/>
          <w:szCs w:val="21"/>
        </w:rPr>
        <w:fldChar w:fldCharType="end"/>
      </w:r>
      <w:r>
        <w:rPr>
          <w:rFonts w:hint="eastAsia" w:asciiTheme="minorEastAsia" w:hAnsiTheme="minorEastAsia" w:eastAsiaTheme="minorEastAsia" w:cstheme="minorEastAsia"/>
          <w:sz w:val="21"/>
          <w:szCs w:val="21"/>
        </w:rPr>
        <w:fldChar w:fldCharType="end"/>
      </w:r>
    </w:p>
    <w:p w14:paraId="6C29CF5E">
      <w:pPr>
        <w:pStyle w:val="2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_Toc22649 </w:instrText>
      </w:r>
      <w:r>
        <w:rPr>
          <w:rFonts w:hint="eastAsia" w:asciiTheme="minorEastAsia" w:hAnsiTheme="minorEastAsia" w:eastAsiaTheme="minorEastAsia" w:cstheme="minorEastAsia"/>
          <w:sz w:val="21"/>
          <w:szCs w:val="21"/>
        </w:rPr>
        <w:fldChar w:fldCharType="separate"/>
      </w:r>
      <w:r>
        <w:rPr>
          <w:rFonts w:hint="eastAsia"/>
          <w:sz w:val="21"/>
          <w:szCs w:val="21"/>
        </w:rPr>
        <w:t>商务文件</w:t>
      </w:r>
      <w:r>
        <w:rPr>
          <w:sz w:val="21"/>
          <w:szCs w:val="21"/>
        </w:rPr>
        <w:tab/>
      </w:r>
      <w:r>
        <w:rPr>
          <w:sz w:val="21"/>
          <w:szCs w:val="21"/>
        </w:rPr>
        <w:fldChar w:fldCharType="begin"/>
      </w:r>
      <w:r>
        <w:rPr>
          <w:sz w:val="21"/>
          <w:szCs w:val="21"/>
        </w:rPr>
        <w:instrText xml:space="preserve"> PAGEREF _Toc22649 \h </w:instrText>
      </w:r>
      <w:r>
        <w:rPr>
          <w:sz w:val="21"/>
          <w:szCs w:val="21"/>
        </w:rPr>
        <w:fldChar w:fldCharType="separate"/>
      </w:r>
      <w:r>
        <w:rPr>
          <w:sz w:val="21"/>
          <w:szCs w:val="21"/>
        </w:rPr>
        <w:t>81</w:t>
      </w:r>
      <w:r>
        <w:rPr>
          <w:sz w:val="21"/>
          <w:szCs w:val="21"/>
        </w:rPr>
        <w:fldChar w:fldCharType="end"/>
      </w:r>
      <w:r>
        <w:rPr>
          <w:rFonts w:hint="eastAsia" w:asciiTheme="minorEastAsia" w:hAnsiTheme="minorEastAsia" w:eastAsiaTheme="minorEastAsia" w:cstheme="minorEastAsia"/>
          <w:sz w:val="21"/>
          <w:szCs w:val="21"/>
        </w:rPr>
        <w:fldChar w:fldCharType="end"/>
      </w:r>
    </w:p>
    <w:p w14:paraId="18A46672">
      <w:pPr>
        <w:pStyle w:val="2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_Toc2045 </w:instrText>
      </w:r>
      <w:r>
        <w:rPr>
          <w:rFonts w:hint="eastAsia" w:asciiTheme="minorEastAsia" w:hAnsiTheme="minorEastAsia" w:eastAsiaTheme="minorEastAsia" w:cstheme="minorEastAsia"/>
          <w:sz w:val="21"/>
          <w:szCs w:val="21"/>
        </w:rPr>
        <w:fldChar w:fldCharType="separate"/>
      </w:r>
      <w:r>
        <w:rPr>
          <w:rFonts w:hint="eastAsia"/>
          <w:sz w:val="21"/>
          <w:szCs w:val="21"/>
        </w:rPr>
        <w:t>技术文件</w:t>
      </w:r>
      <w:r>
        <w:rPr>
          <w:sz w:val="21"/>
          <w:szCs w:val="21"/>
        </w:rPr>
        <w:tab/>
      </w:r>
      <w:r>
        <w:rPr>
          <w:sz w:val="21"/>
          <w:szCs w:val="21"/>
        </w:rPr>
        <w:fldChar w:fldCharType="begin"/>
      </w:r>
      <w:r>
        <w:rPr>
          <w:sz w:val="21"/>
          <w:szCs w:val="21"/>
        </w:rPr>
        <w:instrText xml:space="preserve"> PAGEREF _Toc2045 \h </w:instrText>
      </w:r>
      <w:r>
        <w:rPr>
          <w:sz w:val="21"/>
          <w:szCs w:val="21"/>
        </w:rPr>
        <w:fldChar w:fldCharType="separate"/>
      </w:r>
      <w:r>
        <w:rPr>
          <w:sz w:val="21"/>
          <w:szCs w:val="21"/>
        </w:rPr>
        <w:t>94</w:t>
      </w:r>
      <w:r>
        <w:rPr>
          <w:sz w:val="21"/>
          <w:szCs w:val="21"/>
        </w:rPr>
        <w:fldChar w:fldCharType="end"/>
      </w:r>
      <w:r>
        <w:rPr>
          <w:rFonts w:hint="eastAsia" w:asciiTheme="minorEastAsia" w:hAnsiTheme="minorEastAsia" w:eastAsiaTheme="minorEastAsia" w:cstheme="minorEastAsia"/>
          <w:sz w:val="21"/>
          <w:szCs w:val="21"/>
        </w:rPr>
        <w:fldChar w:fldCharType="end"/>
      </w:r>
    </w:p>
    <w:p w14:paraId="310F63D4">
      <w:pPr>
        <w:pStyle w:val="25"/>
        <w:tabs>
          <w:tab w:val="left" w:pos="-200"/>
          <w:tab w:val="right" w:leader="dot" w:pos="8306"/>
          <w:tab w:val="clear" w:pos="8296"/>
        </w:tabs>
        <w:ind w:left="0" w:leftChars="0" w:firstLine="0" w:firstLineChars="0"/>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HYPERLINK \l _Toc15258 </w:instrText>
      </w:r>
      <w:r>
        <w:rPr>
          <w:rFonts w:hint="eastAsia" w:asciiTheme="minorEastAsia" w:hAnsiTheme="minorEastAsia" w:eastAsiaTheme="minorEastAsia" w:cstheme="minorEastAsia"/>
          <w:sz w:val="21"/>
          <w:szCs w:val="21"/>
        </w:rPr>
        <w:fldChar w:fldCharType="separate"/>
      </w:r>
      <w:r>
        <w:rPr>
          <w:rFonts w:hint="eastAsia" w:eastAsia="黑体"/>
          <w:sz w:val="21"/>
          <w:szCs w:val="21"/>
          <w:highlight w:val="none"/>
        </w:rPr>
        <w:t>唱标信封</w:t>
      </w:r>
      <w:r>
        <w:rPr>
          <w:sz w:val="21"/>
          <w:szCs w:val="21"/>
        </w:rPr>
        <w:tab/>
      </w:r>
      <w:r>
        <w:rPr>
          <w:sz w:val="21"/>
          <w:szCs w:val="21"/>
        </w:rPr>
        <w:fldChar w:fldCharType="begin"/>
      </w:r>
      <w:r>
        <w:rPr>
          <w:sz w:val="21"/>
          <w:szCs w:val="21"/>
        </w:rPr>
        <w:instrText xml:space="preserve"> PAGEREF _Toc15258 \h </w:instrText>
      </w:r>
      <w:r>
        <w:rPr>
          <w:sz w:val="21"/>
          <w:szCs w:val="21"/>
        </w:rPr>
        <w:fldChar w:fldCharType="separate"/>
      </w:r>
      <w:r>
        <w:rPr>
          <w:sz w:val="21"/>
          <w:szCs w:val="21"/>
        </w:rPr>
        <w:t>102</w:t>
      </w:r>
      <w:r>
        <w:rPr>
          <w:sz w:val="21"/>
          <w:szCs w:val="21"/>
        </w:rPr>
        <w:fldChar w:fldCharType="end"/>
      </w:r>
      <w:r>
        <w:rPr>
          <w:rFonts w:hint="eastAsia" w:asciiTheme="minorEastAsia" w:hAnsiTheme="minorEastAsia" w:eastAsiaTheme="minorEastAsia" w:cstheme="minorEastAsia"/>
          <w:sz w:val="21"/>
          <w:szCs w:val="21"/>
        </w:rPr>
        <w:fldChar w:fldCharType="end"/>
      </w:r>
    </w:p>
    <w:p w14:paraId="13BDEACC">
      <w:pPr>
        <w:pStyle w:val="15"/>
        <w:bidi w:val="0"/>
        <w:ind w:left="0" w:leftChars="0"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end"/>
      </w:r>
    </w:p>
    <w:p w14:paraId="3D17530E">
      <w:pPr>
        <w:pStyle w:val="5"/>
        <w:spacing w:before="0" w:after="0" w:line="240" w:lineRule="auto"/>
        <w:outlineLvl w:val="0"/>
        <w:rPr>
          <w:rFonts w:hint="eastAsia"/>
          <w:sz w:val="28"/>
          <w:szCs w:val="28"/>
        </w:rPr>
        <w:sectPr>
          <w:headerReference r:id="rId10" w:type="first"/>
          <w:footerReference r:id="rId12" w:type="first"/>
          <w:headerReference r:id="rId8" w:type="default"/>
          <w:footerReference r:id="rId11" w:type="default"/>
          <w:headerReference r:id="rId9" w:type="even"/>
          <w:pgSz w:w="11906" w:h="16838"/>
          <w:pgMar w:top="1440" w:right="1800" w:bottom="1440" w:left="1800" w:header="708" w:footer="708" w:gutter="0"/>
          <w:cols w:space="708" w:num="1"/>
          <w:titlePg/>
          <w:docGrid w:type="lines" w:linePitch="360" w:charSpace="0"/>
        </w:sectPr>
      </w:pPr>
      <w:bookmarkStart w:id="0" w:name="_Toc31911"/>
      <w:bookmarkStart w:id="1" w:name="_Toc28921"/>
    </w:p>
    <w:p w14:paraId="4F8860AC">
      <w:pPr>
        <w:pStyle w:val="5"/>
        <w:spacing w:before="0" w:after="0" w:line="240" w:lineRule="auto"/>
        <w:outlineLvl w:val="0"/>
        <w:rPr>
          <w:sz w:val="28"/>
          <w:szCs w:val="28"/>
          <w:highlight w:val="none"/>
        </w:rPr>
      </w:pPr>
      <w:r>
        <w:rPr>
          <w:rFonts w:hint="eastAsia"/>
          <w:sz w:val="28"/>
          <w:szCs w:val="28"/>
        </w:rPr>
        <w:t>第一部分投</w:t>
      </w:r>
      <w:r>
        <w:rPr>
          <w:rFonts w:hint="eastAsia"/>
          <w:sz w:val="28"/>
          <w:szCs w:val="28"/>
          <w:highlight w:val="none"/>
        </w:rPr>
        <w:t>标邀请</w:t>
      </w:r>
      <w:bookmarkEnd w:id="0"/>
      <w:bookmarkEnd w:id="1"/>
    </w:p>
    <w:p w14:paraId="61282ADC">
      <w:pPr>
        <w:pStyle w:val="6"/>
        <w:spacing w:before="0" w:after="0" w:line="360" w:lineRule="auto"/>
        <w:jc w:val="center"/>
        <w:rPr>
          <w:rFonts w:ascii="宋体" w:hAnsi="宋体" w:cs="宋体"/>
          <w:highlight w:val="none"/>
        </w:rPr>
      </w:pPr>
      <w:bookmarkStart w:id="2" w:name="_Toc30037"/>
      <w:bookmarkStart w:id="3" w:name="_Toc11865"/>
      <w:r>
        <w:rPr>
          <w:rFonts w:hint="eastAsia" w:ascii="宋体" w:hAnsi="宋体" w:cs="宋体"/>
          <w:highlight w:val="none"/>
        </w:rPr>
        <w:t>投标邀请书</w:t>
      </w:r>
      <w:bookmarkEnd w:id="2"/>
      <w:bookmarkEnd w:id="3"/>
    </w:p>
    <w:p w14:paraId="7628B441">
      <w:pPr>
        <w:ind w:firstLine="422" w:firstLineChars="200"/>
        <w:rPr>
          <w:rFonts w:ascii="宋体" w:hAnsi="宋体"/>
          <w:szCs w:val="21"/>
        </w:rPr>
      </w:pPr>
      <w:r>
        <w:rPr>
          <w:rFonts w:hint="eastAsia" w:ascii="宋体" w:hAnsi="宋体"/>
          <w:b/>
          <w:bCs/>
          <w:szCs w:val="21"/>
          <w:highlight w:val="none"/>
          <w:u w:val="single"/>
        </w:rPr>
        <w:t>广州宏达工程顾问集团有限公司</w:t>
      </w:r>
      <w:r>
        <w:rPr>
          <w:rFonts w:ascii="宋体" w:hAnsi="宋体"/>
          <w:szCs w:val="21"/>
          <w:highlight w:val="none"/>
        </w:rPr>
        <w:t>（以下简称</w:t>
      </w:r>
      <w:r>
        <w:rPr>
          <w:rFonts w:hint="eastAsia" w:ascii="宋体" w:hAnsi="宋体"/>
          <w:szCs w:val="21"/>
          <w:highlight w:val="none"/>
        </w:rPr>
        <w:t>“采购代理机构”</w:t>
      </w:r>
      <w:r>
        <w:rPr>
          <w:rFonts w:ascii="宋体" w:hAnsi="宋体"/>
          <w:szCs w:val="21"/>
          <w:highlight w:val="none"/>
        </w:rPr>
        <w:t>）受</w:t>
      </w:r>
      <w:r>
        <w:rPr>
          <w:rFonts w:hint="eastAsia" w:ascii="宋体" w:hAnsi="宋体"/>
          <w:b/>
          <w:szCs w:val="21"/>
          <w:highlight w:val="none"/>
          <w:u w:val="single"/>
          <w:lang w:eastAsia="zh-CN"/>
        </w:rPr>
        <w:t>东莞市能源投资集团有限公司</w:t>
      </w:r>
      <w:r>
        <w:rPr>
          <w:rFonts w:ascii="宋体" w:hAnsi="宋体"/>
          <w:szCs w:val="21"/>
          <w:highlight w:val="none"/>
        </w:rPr>
        <w:t>（以下简称</w:t>
      </w:r>
      <w:r>
        <w:rPr>
          <w:rFonts w:hint="eastAsia" w:ascii="宋体" w:hAnsi="宋体"/>
          <w:szCs w:val="21"/>
          <w:highlight w:val="none"/>
        </w:rPr>
        <w:t>“采</w:t>
      </w:r>
      <w:r>
        <w:rPr>
          <w:rFonts w:hint="eastAsia" w:ascii="宋体" w:hAnsi="宋体"/>
          <w:szCs w:val="21"/>
        </w:rPr>
        <w:t>购人”</w:t>
      </w:r>
      <w:r>
        <w:rPr>
          <w:rFonts w:ascii="宋体" w:hAnsi="宋体"/>
          <w:szCs w:val="21"/>
        </w:rPr>
        <w:t>）委托，</w:t>
      </w:r>
      <w:r>
        <w:rPr>
          <w:rFonts w:hint="eastAsia" w:ascii="宋体" w:hAnsi="宋体"/>
          <w:szCs w:val="21"/>
        </w:rPr>
        <w:t>现</w:t>
      </w:r>
      <w:r>
        <w:rPr>
          <w:rFonts w:ascii="宋体" w:hAnsi="宋体"/>
          <w:szCs w:val="21"/>
        </w:rPr>
        <w:t>就</w:t>
      </w:r>
      <w:r>
        <w:rPr>
          <w:rFonts w:hint="eastAsia" w:ascii="宋体" w:hAnsi="宋体"/>
          <w:b/>
          <w:szCs w:val="21"/>
          <w:u w:val="single"/>
        </w:rPr>
        <w:t>东莞能源集团安全信息化管理系统建设项目</w:t>
      </w:r>
      <w:r>
        <w:rPr>
          <w:rFonts w:hint="eastAsia" w:ascii="宋体" w:hAnsi="宋体"/>
          <w:szCs w:val="21"/>
        </w:rPr>
        <w:t>（项目编号：</w:t>
      </w:r>
      <w:r>
        <w:rPr>
          <w:rFonts w:hint="eastAsia" w:ascii="宋体" w:hAnsi="宋体"/>
          <w:b/>
          <w:bCs/>
          <w:szCs w:val="21"/>
          <w:u w:val="single"/>
        </w:rPr>
        <w:t>WTZB2026DG0013</w:t>
      </w:r>
      <w:r>
        <w:rPr>
          <w:rFonts w:hint="eastAsia" w:ascii="宋体" w:hAnsi="宋体"/>
          <w:szCs w:val="21"/>
        </w:rPr>
        <w:t>）</w:t>
      </w:r>
      <w:r>
        <w:rPr>
          <w:rFonts w:hint="eastAsia" w:ascii="宋体" w:hAnsi="宋体" w:cs="Times New Roman"/>
          <w:szCs w:val="21"/>
        </w:rPr>
        <w:t>进行国内公开采购</w:t>
      </w:r>
      <w:r>
        <w:rPr>
          <w:rFonts w:hint="eastAsia" w:ascii="宋体" w:hAnsi="宋体"/>
          <w:szCs w:val="21"/>
        </w:rPr>
        <w:t>，欢迎符合采购文件要求的国内投标人参加投标</w:t>
      </w:r>
      <w:r>
        <w:rPr>
          <w:rFonts w:ascii="宋体" w:hAnsi="宋体"/>
          <w:szCs w:val="21"/>
        </w:rPr>
        <w:t>。有关事项如下：</w:t>
      </w:r>
    </w:p>
    <w:p w14:paraId="1C9C1B9D">
      <w:pPr>
        <w:ind w:firstLine="413" w:firstLineChars="196"/>
        <w:rPr>
          <w:rFonts w:ascii="宋体" w:hAnsi="宋体"/>
          <w:b/>
          <w:szCs w:val="21"/>
        </w:rPr>
      </w:pPr>
    </w:p>
    <w:p w14:paraId="4058D803">
      <w:pPr>
        <w:ind w:firstLine="413"/>
        <w:rPr>
          <w:rFonts w:ascii="宋体" w:hAnsi="宋体"/>
          <w:b/>
          <w:szCs w:val="21"/>
        </w:rPr>
      </w:pPr>
      <w:r>
        <w:rPr>
          <w:rFonts w:hint="eastAsia" w:ascii="宋体" w:hAnsi="宋体"/>
          <w:b/>
          <w:szCs w:val="21"/>
        </w:rPr>
        <w:t>一、采购项目概况</w:t>
      </w:r>
    </w:p>
    <w:p w14:paraId="3C789DD4">
      <w:pPr>
        <w:ind w:firstLine="420" w:firstLineChars="200"/>
        <w:rPr>
          <w:rFonts w:ascii="宋体" w:hAnsi="宋体"/>
          <w:szCs w:val="21"/>
        </w:rPr>
      </w:pPr>
      <w:r>
        <w:rPr>
          <w:rFonts w:ascii="宋体" w:hAnsi="宋体"/>
          <w:szCs w:val="21"/>
        </w:rPr>
        <w:t>1</w:t>
      </w:r>
      <w:r>
        <w:rPr>
          <w:rFonts w:hint="eastAsia" w:ascii="宋体" w:hAnsi="宋体"/>
          <w:szCs w:val="21"/>
        </w:rPr>
        <w:t>、采购</w:t>
      </w:r>
      <w:r>
        <w:rPr>
          <w:rFonts w:ascii="宋体" w:hAnsi="宋体"/>
          <w:szCs w:val="21"/>
        </w:rPr>
        <w:t>项目名称</w:t>
      </w:r>
      <w:r>
        <w:rPr>
          <w:rFonts w:hint="eastAsia" w:ascii="宋体" w:hAnsi="宋体"/>
          <w:szCs w:val="21"/>
        </w:rPr>
        <w:t>：</w:t>
      </w:r>
      <w:r>
        <w:rPr>
          <w:rFonts w:hint="eastAsia" w:ascii="宋体" w:hAnsi="宋体"/>
          <w:b w:val="0"/>
          <w:bCs/>
          <w:szCs w:val="21"/>
          <w:u w:val="single"/>
        </w:rPr>
        <w:t>东莞能源集团安全信息化管理系统建设项目</w:t>
      </w:r>
    </w:p>
    <w:p w14:paraId="79811DF8">
      <w:pPr>
        <w:ind w:firstLine="420" w:firstLineChars="200"/>
        <w:rPr>
          <w:rFonts w:ascii="宋体" w:hAnsi="宋体"/>
          <w:szCs w:val="21"/>
        </w:rPr>
      </w:pPr>
      <w:r>
        <w:rPr>
          <w:rFonts w:hint="eastAsia" w:ascii="宋体" w:hAnsi="宋体"/>
          <w:szCs w:val="21"/>
        </w:rPr>
        <w:t>2、</w:t>
      </w:r>
      <w:r>
        <w:rPr>
          <w:rFonts w:ascii="宋体" w:hAnsi="宋体"/>
          <w:szCs w:val="21"/>
        </w:rPr>
        <w:t>预算金额（</w:t>
      </w:r>
      <w:r>
        <w:rPr>
          <w:rFonts w:hint="eastAsia" w:ascii="宋体" w:hAnsi="宋体"/>
          <w:szCs w:val="21"/>
        </w:rPr>
        <w:t>元</w:t>
      </w:r>
      <w:r>
        <w:rPr>
          <w:rFonts w:ascii="宋体" w:hAnsi="宋体"/>
          <w:szCs w:val="21"/>
        </w:rPr>
        <w:t>）</w:t>
      </w:r>
      <w:r>
        <w:rPr>
          <w:rFonts w:hint="eastAsia" w:ascii="宋体" w:hAnsi="宋体"/>
          <w:szCs w:val="21"/>
        </w:rPr>
        <w:t>：</w:t>
      </w:r>
      <w:r>
        <w:rPr>
          <w:rFonts w:hint="eastAsia" w:ascii="宋体" w:hAnsi="宋体"/>
          <w:szCs w:val="21"/>
          <w:u w:val="single"/>
        </w:rPr>
        <w:t>¥</w:t>
      </w:r>
      <w:r>
        <w:rPr>
          <w:rFonts w:hint="eastAsia" w:ascii="宋体" w:hAnsi="宋体"/>
          <w:szCs w:val="21"/>
          <w:u w:val="single"/>
          <w:lang w:val="en-US" w:eastAsia="zh-CN"/>
        </w:rPr>
        <w:t>700,000.00</w:t>
      </w:r>
      <w:r>
        <w:rPr>
          <w:rFonts w:hint="eastAsia" w:ascii="宋体" w:hAnsi="宋体"/>
          <w:szCs w:val="21"/>
          <w:u w:val="single"/>
        </w:rPr>
        <w:t>元</w:t>
      </w:r>
    </w:p>
    <w:p w14:paraId="6FEA8D64">
      <w:pPr>
        <w:ind w:firstLine="420" w:firstLineChars="200"/>
        <w:rPr>
          <w:rFonts w:ascii="宋体" w:hAnsi="宋体"/>
          <w:szCs w:val="21"/>
        </w:rPr>
      </w:pPr>
      <w:r>
        <w:rPr>
          <w:rFonts w:hint="eastAsia" w:ascii="宋体" w:hAnsi="宋体"/>
          <w:szCs w:val="21"/>
        </w:rPr>
        <w:t>3、最高</w:t>
      </w:r>
      <w:r>
        <w:rPr>
          <w:rFonts w:ascii="宋体" w:hAnsi="宋体"/>
          <w:szCs w:val="21"/>
        </w:rPr>
        <w:t>限价</w:t>
      </w:r>
      <w:r>
        <w:rPr>
          <w:rFonts w:hint="eastAsia" w:ascii="宋体" w:hAnsi="宋体"/>
          <w:szCs w:val="21"/>
        </w:rPr>
        <w:t>（元）</w:t>
      </w:r>
      <w:r>
        <w:rPr>
          <w:rFonts w:ascii="宋体" w:hAnsi="宋体"/>
          <w:szCs w:val="21"/>
        </w:rPr>
        <w:t>：</w:t>
      </w:r>
      <w:r>
        <w:rPr>
          <w:rFonts w:hint="eastAsia" w:ascii="宋体" w:hAnsi="宋体"/>
          <w:szCs w:val="21"/>
          <w:u w:val="single"/>
        </w:rPr>
        <w:t>¥</w:t>
      </w:r>
      <w:r>
        <w:rPr>
          <w:rFonts w:hint="eastAsia" w:ascii="宋体" w:hAnsi="宋体"/>
          <w:szCs w:val="21"/>
          <w:u w:val="single"/>
          <w:lang w:val="en-US" w:eastAsia="zh-CN"/>
        </w:rPr>
        <w:t>700,000.00</w:t>
      </w:r>
      <w:r>
        <w:rPr>
          <w:rFonts w:hint="eastAsia" w:ascii="宋体" w:hAnsi="宋体"/>
          <w:szCs w:val="21"/>
          <w:u w:val="single"/>
        </w:rPr>
        <w:t>元</w:t>
      </w:r>
    </w:p>
    <w:p w14:paraId="095C5B68">
      <w:pPr>
        <w:ind w:firstLine="420" w:firstLineChars="200"/>
        <w:rPr>
          <w:rFonts w:ascii="宋体" w:hAnsi="宋体"/>
          <w:szCs w:val="21"/>
        </w:rPr>
      </w:pPr>
      <w:r>
        <w:rPr>
          <w:rFonts w:hint="eastAsia" w:ascii="宋体" w:hAnsi="宋体"/>
          <w:szCs w:val="21"/>
        </w:rPr>
        <w:t>4、项目内容</w:t>
      </w:r>
    </w:p>
    <w:tbl>
      <w:tblPr>
        <w:tblStyle w:val="3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1"/>
        <w:gridCol w:w="1820"/>
        <w:gridCol w:w="1217"/>
        <w:gridCol w:w="4681"/>
      </w:tblGrid>
      <w:tr w14:paraId="27F1E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470" w:type="pct"/>
            <w:vAlign w:val="center"/>
          </w:tcPr>
          <w:p w14:paraId="1B574057">
            <w:pPr>
              <w:spacing w:line="240" w:lineRule="auto"/>
              <w:jc w:val="center"/>
              <w:rPr>
                <w:rFonts w:ascii="宋体" w:hAnsi="宋体" w:cs="宋体"/>
                <w:kern w:val="28"/>
                <w:szCs w:val="21"/>
              </w:rPr>
            </w:pPr>
            <w:r>
              <w:rPr>
                <w:rFonts w:hint="eastAsia" w:ascii="宋体" w:hAnsi="宋体" w:cs="宋体"/>
                <w:kern w:val="28"/>
                <w:szCs w:val="21"/>
              </w:rPr>
              <w:t>采购包号</w:t>
            </w:r>
          </w:p>
        </w:tc>
        <w:tc>
          <w:tcPr>
            <w:tcW w:w="1068" w:type="pct"/>
            <w:vAlign w:val="center"/>
          </w:tcPr>
          <w:p w14:paraId="7CDBD80F">
            <w:pPr>
              <w:spacing w:line="240" w:lineRule="auto"/>
              <w:jc w:val="center"/>
              <w:rPr>
                <w:rFonts w:ascii="宋体" w:hAnsi="宋体" w:cs="宋体"/>
                <w:kern w:val="28"/>
                <w:szCs w:val="21"/>
              </w:rPr>
            </w:pPr>
            <w:r>
              <w:rPr>
                <w:rFonts w:hint="eastAsia" w:ascii="宋体" w:hAnsi="宋体" w:cs="宋体"/>
                <w:kern w:val="28"/>
                <w:szCs w:val="21"/>
              </w:rPr>
              <w:t>项目内容</w:t>
            </w:r>
          </w:p>
        </w:tc>
        <w:tc>
          <w:tcPr>
            <w:tcW w:w="714" w:type="pct"/>
            <w:vAlign w:val="center"/>
          </w:tcPr>
          <w:p w14:paraId="357DC0A6">
            <w:pPr>
              <w:spacing w:line="240" w:lineRule="auto"/>
              <w:jc w:val="center"/>
              <w:rPr>
                <w:rFonts w:ascii="宋体" w:hAnsi="宋体" w:cs="宋体"/>
                <w:kern w:val="28"/>
                <w:szCs w:val="21"/>
              </w:rPr>
            </w:pPr>
            <w:r>
              <w:rPr>
                <w:rFonts w:hint="eastAsia" w:ascii="宋体" w:hAnsi="宋体" w:cs="宋体"/>
                <w:kern w:val="28"/>
                <w:szCs w:val="21"/>
              </w:rPr>
              <w:t>采购服务单位数量</w:t>
            </w:r>
          </w:p>
        </w:tc>
        <w:tc>
          <w:tcPr>
            <w:tcW w:w="2746" w:type="pct"/>
            <w:vAlign w:val="center"/>
          </w:tcPr>
          <w:p w14:paraId="26ACC6A3">
            <w:pPr>
              <w:spacing w:line="240" w:lineRule="auto"/>
              <w:jc w:val="center"/>
              <w:rPr>
                <w:rFonts w:ascii="宋体" w:hAnsi="宋体" w:cs="宋体"/>
                <w:kern w:val="28"/>
                <w:szCs w:val="21"/>
              </w:rPr>
            </w:pPr>
            <w:r>
              <w:rPr>
                <w:rFonts w:hint="eastAsia" w:ascii="宋体" w:hAnsi="宋体" w:cs="宋体"/>
                <w:kern w:val="28"/>
                <w:szCs w:val="21"/>
              </w:rPr>
              <w:t>服务期</w:t>
            </w:r>
          </w:p>
        </w:tc>
      </w:tr>
      <w:tr w14:paraId="01BE5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470" w:type="pct"/>
            <w:vAlign w:val="center"/>
          </w:tcPr>
          <w:p w14:paraId="1E2F85D7">
            <w:pPr>
              <w:spacing w:line="240" w:lineRule="auto"/>
              <w:jc w:val="center"/>
              <w:rPr>
                <w:rFonts w:ascii="宋体" w:hAnsi="宋体" w:cs="宋体"/>
                <w:szCs w:val="21"/>
              </w:rPr>
            </w:pPr>
            <w:r>
              <w:rPr>
                <w:rFonts w:hint="eastAsia" w:ascii="宋体" w:hAnsi="宋体" w:cs="宋体"/>
                <w:szCs w:val="21"/>
              </w:rPr>
              <w:t>A</w:t>
            </w:r>
          </w:p>
        </w:tc>
        <w:tc>
          <w:tcPr>
            <w:tcW w:w="1068" w:type="pct"/>
            <w:vAlign w:val="center"/>
          </w:tcPr>
          <w:p w14:paraId="68797743">
            <w:pPr>
              <w:spacing w:line="240" w:lineRule="auto"/>
              <w:jc w:val="center"/>
              <w:rPr>
                <w:rFonts w:ascii="宋体" w:hAnsi="宋体" w:cs="宋体"/>
                <w:szCs w:val="21"/>
              </w:rPr>
            </w:pPr>
            <w:r>
              <w:rPr>
                <w:rFonts w:hint="eastAsia" w:ascii="宋体" w:hAnsi="宋体"/>
                <w:b w:val="0"/>
                <w:bCs/>
                <w:szCs w:val="21"/>
                <w:u w:val="none"/>
              </w:rPr>
              <w:t>东莞能源集团安全信息化管理系统建设项目</w:t>
            </w:r>
          </w:p>
        </w:tc>
        <w:tc>
          <w:tcPr>
            <w:tcW w:w="714" w:type="pct"/>
            <w:vAlign w:val="center"/>
          </w:tcPr>
          <w:p w14:paraId="2B46493B">
            <w:pPr>
              <w:spacing w:line="240" w:lineRule="auto"/>
              <w:jc w:val="center"/>
              <w:rPr>
                <w:rFonts w:hint="eastAsia" w:ascii="宋体" w:hAnsi="宋体" w:eastAsia="宋体" w:cs="宋体"/>
                <w:szCs w:val="21"/>
                <w:lang w:val="en-US" w:eastAsia="zh-CN"/>
              </w:rPr>
            </w:pPr>
            <w:r>
              <w:rPr>
                <w:rFonts w:hint="eastAsia" w:ascii="宋体" w:hAnsi="宋体" w:cs="宋体"/>
                <w:szCs w:val="21"/>
                <w:lang w:val="en-US" w:eastAsia="zh-CN"/>
              </w:rPr>
              <w:t>1</w:t>
            </w:r>
          </w:p>
        </w:tc>
        <w:tc>
          <w:tcPr>
            <w:tcW w:w="2746" w:type="pct"/>
            <w:vAlign w:val="center"/>
          </w:tcPr>
          <w:p w14:paraId="4052A1AA">
            <w:pPr>
              <w:spacing w:line="240" w:lineRule="auto"/>
              <w:jc w:val="center"/>
              <w:rPr>
                <w:rFonts w:ascii="宋体" w:hAnsi="宋体" w:cs="宋体"/>
                <w:szCs w:val="21"/>
              </w:rPr>
            </w:pPr>
            <w:r>
              <w:rPr>
                <w:rFonts w:hint="eastAsia"/>
              </w:rPr>
              <w:t>自合同签订之日起至2026年12月31日（不含二期）</w:t>
            </w:r>
            <w:r>
              <w:rPr>
                <w:rFonts w:hint="eastAsia"/>
                <w:lang w:eastAsia="zh-CN"/>
              </w:rPr>
              <w:t>。</w:t>
            </w:r>
            <w:r>
              <w:rPr>
                <w:rFonts w:hint="eastAsia" w:asciiTheme="minorEastAsia" w:hAnsiTheme="minorEastAsia" w:cstheme="minorEastAsia"/>
                <w:szCs w:val="21"/>
              </w:rPr>
              <w:t>完成整个项目的建设及上线试运行，系统整体稳定试运行1个月后进行系统初验工作，初验通过即进入为期6个月的系统迭代优化阶段</w:t>
            </w:r>
            <w:r>
              <w:rPr>
                <w:rFonts w:hint="eastAsia"/>
                <w:lang w:eastAsia="zh-CN"/>
              </w:rPr>
              <w:t>。</w:t>
            </w:r>
            <w:r>
              <w:rPr>
                <w:rFonts w:hint="eastAsia" w:asciiTheme="minorEastAsia" w:hAnsiTheme="minorEastAsia" w:cstheme="minorEastAsia"/>
                <w:szCs w:val="21"/>
              </w:rPr>
              <w:t>完成系统建设、上线试运行、初验以及6个月的迭代优化并运行稳定，即具备终验条件，进行终验工作。</w:t>
            </w:r>
          </w:p>
        </w:tc>
      </w:tr>
    </w:tbl>
    <w:p w14:paraId="69C9763B">
      <w:pPr>
        <w:ind w:firstLine="420" w:firstLineChars="200"/>
        <w:rPr>
          <w:rFonts w:ascii="宋体" w:hAnsi="宋体"/>
          <w:szCs w:val="21"/>
        </w:rPr>
      </w:pPr>
      <w:r>
        <w:rPr>
          <w:rFonts w:hint="eastAsia" w:ascii="宋体" w:hAnsi="宋体"/>
          <w:szCs w:val="21"/>
        </w:rPr>
        <w:t>5、项目需求</w:t>
      </w:r>
    </w:p>
    <w:p w14:paraId="56320BEC">
      <w:pPr>
        <w:ind w:firstLine="420" w:firstLineChars="200"/>
        <w:rPr>
          <w:rFonts w:ascii="宋体" w:hAnsi="宋体"/>
          <w:szCs w:val="21"/>
        </w:rPr>
      </w:pPr>
      <w:r>
        <w:rPr>
          <w:rFonts w:hint="eastAsia" w:ascii="宋体" w:hAnsi="宋体"/>
          <w:szCs w:val="21"/>
        </w:rPr>
        <w:t>详细内容请参阅采购文件第三部分《用户需求书》。</w:t>
      </w:r>
    </w:p>
    <w:p w14:paraId="1E369F9E">
      <w:pPr>
        <w:ind w:firstLine="413" w:firstLineChars="196"/>
        <w:rPr>
          <w:rFonts w:ascii="宋体" w:hAnsi="宋体"/>
          <w:b/>
          <w:szCs w:val="21"/>
        </w:rPr>
      </w:pPr>
    </w:p>
    <w:p w14:paraId="2F741F82">
      <w:pPr>
        <w:ind w:firstLine="413" w:firstLineChars="196"/>
        <w:rPr>
          <w:rFonts w:ascii="宋体" w:hAnsi="宋体"/>
          <w:b/>
          <w:szCs w:val="21"/>
        </w:rPr>
      </w:pPr>
      <w:r>
        <w:rPr>
          <w:rFonts w:hint="eastAsia" w:ascii="宋体" w:hAnsi="宋体"/>
          <w:b/>
          <w:szCs w:val="21"/>
        </w:rPr>
        <w:t>二、投标人资格要求</w:t>
      </w:r>
    </w:p>
    <w:p w14:paraId="301B3014">
      <w:pPr>
        <w:ind w:firstLine="411" w:firstLineChars="196"/>
        <w:rPr>
          <w:rFonts w:ascii="宋体" w:hAnsi="宋体"/>
          <w:szCs w:val="21"/>
        </w:rPr>
      </w:pPr>
      <w:r>
        <w:rPr>
          <w:rFonts w:hint="eastAsia" w:ascii="宋体" w:hAnsi="宋体"/>
          <w:szCs w:val="21"/>
        </w:rPr>
        <w:t>1、一般要求：</w:t>
      </w:r>
    </w:p>
    <w:p w14:paraId="73684351">
      <w:pPr>
        <w:ind w:firstLine="420" w:firstLineChars="200"/>
        <w:rPr>
          <w:rFonts w:ascii="宋体" w:hAnsi="宋体"/>
          <w:szCs w:val="21"/>
        </w:rPr>
      </w:pPr>
      <w:r>
        <w:rPr>
          <w:rFonts w:hint="eastAsia" w:ascii="宋体" w:hAnsi="宋体"/>
          <w:szCs w:val="21"/>
        </w:rPr>
        <w:t>（1）投标人须为在中华人民共和国境内登记注册的具有独立承担民事责任能力的法人或其他组织【提供《营业执照》复印件（加盖公章）或《事业单位法人证书》复印件（加盖公章）或其他主体证书复印件（加盖公章）】。</w:t>
      </w:r>
    </w:p>
    <w:p w14:paraId="3CA1C2D9">
      <w:pPr>
        <w:ind w:firstLine="420" w:firstLineChars="200"/>
        <w:rPr>
          <w:rFonts w:ascii="宋体" w:hAnsi="宋体"/>
          <w:szCs w:val="21"/>
          <w:highlight w:val="none"/>
        </w:rPr>
      </w:pPr>
      <w:r>
        <w:rPr>
          <w:rFonts w:hint="eastAsia" w:ascii="宋体" w:hAnsi="宋体"/>
          <w:szCs w:val="21"/>
        </w:rPr>
        <w:t>（2）参加采购活动前三年内，</w:t>
      </w:r>
      <w:r>
        <w:rPr>
          <w:rFonts w:hint="eastAsia" w:ascii="宋体" w:hAnsi="宋体"/>
          <w:szCs w:val="21"/>
          <w:highlight w:val="none"/>
        </w:rPr>
        <w:t>在经营活动中没有重大违法记录（须提供书面声明）。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如有最新发文通知，按最新文件执行）。</w:t>
      </w:r>
    </w:p>
    <w:p w14:paraId="6BB28E6B">
      <w:pPr>
        <w:ind w:firstLine="420" w:firstLineChars="200"/>
        <w:rPr>
          <w:rFonts w:ascii="宋体" w:hAnsi="宋体"/>
          <w:szCs w:val="21"/>
          <w:highlight w:val="none"/>
        </w:rPr>
      </w:pPr>
      <w:r>
        <w:rPr>
          <w:rFonts w:hint="eastAsia" w:ascii="宋体" w:hAnsi="宋体"/>
          <w:szCs w:val="21"/>
          <w:highlight w:val="none"/>
        </w:rPr>
        <w:t>（3）投标人的单位负责人为同一人或者存在直接控股、管理关系的不同投标人，不得参加同一合同项下的采购活动。</w:t>
      </w:r>
    </w:p>
    <w:p w14:paraId="1A2CD913">
      <w:pPr>
        <w:ind w:firstLine="420" w:firstLineChars="200"/>
        <w:rPr>
          <w:rFonts w:ascii="宋体" w:hAnsi="宋体"/>
          <w:szCs w:val="21"/>
          <w:highlight w:val="none"/>
        </w:rPr>
      </w:pPr>
      <w:r>
        <w:rPr>
          <w:rFonts w:hint="eastAsia" w:ascii="宋体" w:hAnsi="宋体"/>
          <w:szCs w:val="21"/>
          <w:highlight w:val="none"/>
        </w:rPr>
        <w:t>（4）未被列入“信用中国”网站(www.creditchina.gov.cn )“失信被执行人或</w:t>
      </w:r>
      <w:r>
        <w:rPr>
          <w:rFonts w:hint="eastAsia"/>
          <w:highlight w:val="none"/>
        </w:rPr>
        <w:t>重大税收违法失信主体名单</w:t>
      </w:r>
      <w:r>
        <w:rPr>
          <w:rFonts w:hint="eastAsia" w:ascii="宋体" w:hAnsi="宋体"/>
          <w:szCs w:val="21"/>
          <w:highlight w:val="none"/>
        </w:rPr>
        <w:t>或政府采购严重违法失信行为记录名单”记录名单。以代理机构于投标截止日当天在“信用中国”网站查询结果为准，如相关失信记录已失效，投标人需提供相关证明资料。</w:t>
      </w:r>
    </w:p>
    <w:p w14:paraId="69AF22A0">
      <w:pPr>
        <w:numPr>
          <w:ilvl w:val="-1"/>
          <w:numId w:val="0"/>
        </w:numPr>
        <w:spacing w:line="360" w:lineRule="auto"/>
        <w:ind w:left="0" w:leftChars="0" w:firstLine="420" w:firstLineChars="200"/>
        <w:rPr>
          <w:rFonts w:hint="eastAsia"/>
          <w:highlight w:val="none"/>
        </w:rPr>
      </w:pPr>
      <w:r>
        <w:rPr>
          <w:rFonts w:hint="eastAsia" w:ascii="宋体" w:hAnsi="宋体"/>
          <w:color w:val="auto"/>
          <w:szCs w:val="21"/>
          <w:highlight w:val="none"/>
        </w:rPr>
        <w:t>（5）未被列入东莞实业投资控股集团有限公司及下属企业相关领域黑名单。</w:t>
      </w:r>
    </w:p>
    <w:p w14:paraId="7680459B">
      <w:pPr>
        <w:ind w:firstLine="420" w:firstLineChars="200"/>
        <w:rPr>
          <w:rFonts w:hint="eastAsia" w:ascii="宋体" w:hAnsi="宋体" w:eastAsia="宋体"/>
          <w:color w:val="auto"/>
          <w:szCs w:val="21"/>
          <w:highlight w:val="none"/>
        </w:rPr>
      </w:pPr>
      <w:r>
        <w:rPr>
          <w:rFonts w:hint="eastAsia" w:ascii="宋体" w:hAnsi="宋体" w:eastAsia="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eastAsia="宋体"/>
          <w:color w:val="auto"/>
          <w:szCs w:val="21"/>
          <w:highlight w:val="none"/>
          <w:lang w:eastAsia="zh-CN"/>
        </w:rPr>
        <w:t>）</w:t>
      </w:r>
      <w:r>
        <w:rPr>
          <w:rFonts w:hint="eastAsia" w:ascii="宋体" w:hAnsi="宋体" w:eastAsia="宋体"/>
          <w:color w:val="auto"/>
          <w:szCs w:val="21"/>
          <w:highlight w:val="none"/>
        </w:rPr>
        <w:t>本项目（</w:t>
      </w:r>
      <w:r>
        <w:rPr>
          <w:rFonts w:hint="eastAsia" w:ascii="宋体" w:hAnsi="宋体"/>
          <w:color w:val="auto"/>
          <w:szCs w:val="21"/>
          <w:highlight w:val="none"/>
          <w:lang w:val="en-US" w:eastAsia="zh-CN"/>
        </w:rPr>
        <w:t>不</w:t>
      </w:r>
      <w:r>
        <w:rPr>
          <w:rFonts w:hint="eastAsia" w:ascii="宋体" w:hAnsi="宋体" w:eastAsia="宋体"/>
          <w:color w:val="auto"/>
          <w:szCs w:val="21"/>
          <w:highlight w:val="none"/>
        </w:rPr>
        <w:t>接受）联合体投标。</w:t>
      </w:r>
    </w:p>
    <w:p w14:paraId="60742320">
      <w:pPr>
        <w:ind w:firstLine="413" w:firstLineChars="196"/>
        <w:rPr>
          <w:rFonts w:ascii="宋体" w:hAnsi="宋体"/>
          <w:b/>
          <w:szCs w:val="21"/>
          <w:highlight w:val="none"/>
        </w:rPr>
      </w:pPr>
      <w:r>
        <w:rPr>
          <w:rFonts w:hint="eastAsia" w:ascii="宋体" w:hAnsi="宋体"/>
          <w:b/>
          <w:szCs w:val="21"/>
          <w:highlight w:val="none"/>
        </w:rPr>
        <w:t>三、获取采购文件方式及要求：</w:t>
      </w:r>
    </w:p>
    <w:p w14:paraId="2B3A4621">
      <w:pPr>
        <w:wordWrap w:val="0"/>
        <w:ind w:firstLine="420" w:firstLineChars="200"/>
        <w:rPr>
          <w:rFonts w:hint="eastAsia" w:ascii="宋体" w:hAnsi="宋体" w:cs="宋体"/>
          <w:szCs w:val="21"/>
          <w:u w:val="single"/>
        </w:rPr>
      </w:pPr>
      <w:r>
        <w:rPr>
          <w:rFonts w:hint="eastAsia" w:ascii="宋体" w:hAnsi="宋体" w:cs="宋体"/>
          <w:szCs w:val="21"/>
        </w:rPr>
        <w:t>本项目不进行实名登记报名，拟参加投标的投标人可于投标截止时间前自行网上下载采购文件。</w:t>
      </w:r>
      <w:r>
        <w:rPr>
          <w:rFonts w:ascii="宋体" w:hAnsi="宋体" w:cs="宋体"/>
          <w:szCs w:val="21"/>
        </w:rPr>
        <w:t>采购文件下载地址：</w:t>
      </w:r>
      <w:r>
        <w:rPr>
          <w:rFonts w:hint="eastAsia" w:ascii="宋体" w:hAnsi="宋体" w:cs="宋体"/>
          <w:szCs w:val="21"/>
          <w:u w:val="single"/>
        </w:rPr>
        <w:t>中国招标投标公共服务平台（http://www.cebpubservice.com/）、东莞实业投资控股集团有限公司-招标采购栏目（http://www.dgsy.com.cn/）、东莞市能源投资集团有限公司（http://www.dg-energy.com/cn/list/30.html）</w:t>
      </w:r>
      <w:r>
        <w:rPr>
          <w:rFonts w:hint="eastAsia" w:ascii="宋体" w:hAnsi="宋体" w:cs="宋体"/>
          <w:szCs w:val="21"/>
          <w:u w:val="single"/>
          <w:lang w:eastAsia="zh-CN"/>
        </w:rPr>
        <w:t>、</w:t>
      </w:r>
      <w:r>
        <w:rPr>
          <w:rFonts w:hint="eastAsia" w:ascii="宋体" w:hAnsi="宋体" w:cs="宋体"/>
          <w:color w:val="auto"/>
          <w:szCs w:val="21"/>
          <w:highlight w:val="none"/>
          <w:u w:val="single"/>
          <w:lang w:eastAsia="zh-CN"/>
        </w:rPr>
        <w:t>广州宏达工程顾问集团有限公司</w:t>
      </w:r>
      <w:r>
        <w:rPr>
          <w:rFonts w:hint="eastAsia" w:ascii="宋体" w:hAnsi="宋体" w:cs="宋体"/>
          <w:color w:val="auto"/>
          <w:szCs w:val="21"/>
          <w:highlight w:val="none"/>
          <w:u w:val="single"/>
        </w:rPr>
        <w:t>网站（</w:t>
      </w:r>
      <w:r>
        <w:rPr>
          <w:rFonts w:hint="eastAsia" w:ascii="宋体" w:hAnsi="宋体" w:eastAsia="宋体" w:cs="宋体"/>
          <w:bCs/>
          <w:color w:val="auto"/>
          <w:sz w:val="21"/>
          <w:szCs w:val="21"/>
          <w:highlight w:val="none"/>
          <w:u w:val="single"/>
          <w:lang w:eastAsia="zh-CN"/>
        </w:rPr>
        <w:t>http://www.wangtat.com.cn/</w:t>
      </w:r>
      <w:r>
        <w:rPr>
          <w:rFonts w:hint="eastAsia" w:ascii="宋体" w:hAnsi="宋体" w:cs="宋体"/>
          <w:color w:val="auto"/>
          <w:szCs w:val="21"/>
          <w:highlight w:val="none"/>
          <w:u w:val="single"/>
        </w:rPr>
        <w:t>）。</w:t>
      </w:r>
    </w:p>
    <w:p w14:paraId="7E8E9CDA">
      <w:pPr>
        <w:ind w:firstLine="413" w:firstLineChars="196"/>
        <w:rPr>
          <w:rFonts w:ascii="宋体" w:hAnsi="宋体"/>
          <w:b/>
          <w:szCs w:val="21"/>
        </w:rPr>
      </w:pPr>
      <w:r>
        <w:rPr>
          <w:rFonts w:hint="eastAsia" w:ascii="宋体" w:hAnsi="宋体"/>
          <w:b/>
          <w:szCs w:val="21"/>
        </w:rPr>
        <w:t>四、投标文件的递交</w:t>
      </w:r>
    </w:p>
    <w:p w14:paraId="202A0E21">
      <w:pPr>
        <w:keepNext w:val="0"/>
        <w:keepLines w:val="0"/>
        <w:pageBreakBefore w:val="0"/>
        <w:widowControl/>
        <w:kinsoku/>
        <w:overflowPunct/>
        <w:topLinePunct w:val="0"/>
        <w:autoSpaceDE/>
        <w:autoSpaceDN/>
        <w:bidi w:val="0"/>
        <w:spacing w:line="384" w:lineRule="exact"/>
        <w:ind w:left="0" w:leftChars="0" w:right="-21" w:rightChars="-10" w:firstLine="218" w:firstLineChars="104"/>
        <w:textAlignment w:val="auto"/>
        <w:rPr>
          <w:rFonts w:hint="eastAsia" w:ascii="宋体" w:hAnsi="宋体"/>
          <w:color w:val="auto"/>
          <w:szCs w:val="21"/>
        </w:rPr>
      </w:pPr>
      <w:r>
        <w:rPr>
          <w:rFonts w:hint="eastAsia" w:ascii="宋体" w:hAnsi="宋体"/>
          <w:color w:val="auto"/>
          <w:szCs w:val="21"/>
        </w:rPr>
        <w:t>1、递交投标文件时间：</w:t>
      </w:r>
      <w:r>
        <w:rPr>
          <w:rFonts w:hint="eastAsia" w:ascii="宋体" w:hAnsi="宋体" w:cs="宋体"/>
          <w:color w:val="auto"/>
          <w:szCs w:val="21"/>
        </w:rPr>
        <w:t>202</w:t>
      </w:r>
      <w:r>
        <w:rPr>
          <w:rFonts w:hint="eastAsia" w:ascii="宋体" w:hAnsi="宋体" w:cs="宋体"/>
          <w:color w:val="auto"/>
          <w:szCs w:val="21"/>
          <w:lang w:val="en-US" w:eastAsia="zh-CN"/>
        </w:rPr>
        <w:t>6</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u w:val="single"/>
          <w:lang w:val="en-US" w:eastAsia="zh-CN"/>
        </w:rPr>
        <w:t>5</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u w:val="single"/>
          <w:lang w:val="en-US" w:eastAsia="zh-CN"/>
        </w:rPr>
        <w:t>22</w:t>
      </w:r>
      <w:r>
        <w:rPr>
          <w:rFonts w:hint="eastAsia" w:ascii="宋体" w:hAnsi="宋体" w:cs="宋体"/>
          <w:color w:val="auto"/>
          <w:szCs w:val="21"/>
          <w:u w:val="single"/>
        </w:rPr>
        <w:t xml:space="preserve"> </w:t>
      </w:r>
      <w:r>
        <w:rPr>
          <w:rFonts w:hint="eastAsia" w:ascii="宋体" w:hAnsi="宋体" w:cs="宋体"/>
          <w:color w:val="auto"/>
          <w:szCs w:val="21"/>
        </w:rPr>
        <w:t>日</w:t>
      </w:r>
      <w:r>
        <w:rPr>
          <w:rFonts w:hint="eastAsia" w:ascii="宋体" w:hAnsi="宋体" w:cs="宋体"/>
          <w:color w:val="auto"/>
          <w:szCs w:val="21"/>
          <w:u w:val="single"/>
          <w:lang w:val="en-US" w:eastAsia="zh-CN"/>
        </w:rPr>
        <w:t xml:space="preserve"> 14 </w:t>
      </w:r>
      <w:r>
        <w:rPr>
          <w:rFonts w:hint="eastAsia" w:ascii="宋体" w:hAnsi="宋体"/>
          <w:color w:val="auto"/>
          <w:szCs w:val="21"/>
        </w:rPr>
        <w:t>:</w:t>
      </w:r>
      <w:r>
        <w:rPr>
          <w:rFonts w:hint="eastAsia" w:ascii="宋体" w:hAnsi="宋体"/>
          <w:color w:val="auto"/>
          <w:szCs w:val="21"/>
          <w:u w:val="single"/>
          <w:lang w:val="en-US" w:eastAsia="zh-CN"/>
        </w:rPr>
        <w:t xml:space="preserve"> 00 </w:t>
      </w:r>
      <w:r>
        <w:rPr>
          <w:rFonts w:ascii="宋体" w:hAnsi="宋体"/>
          <w:color w:val="auto"/>
          <w:szCs w:val="21"/>
        </w:rPr>
        <w:t>-</w:t>
      </w:r>
      <w:r>
        <w:rPr>
          <w:rFonts w:hint="eastAsia" w:ascii="宋体" w:hAnsi="宋体"/>
          <w:color w:val="auto"/>
          <w:szCs w:val="21"/>
          <w:u w:val="single"/>
          <w:lang w:val="en-US" w:eastAsia="zh-CN"/>
        </w:rPr>
        <w:t xml:space="preserve"> 14 </w:t>
      </w:r>
      <w:r>
        <w:rPr>
          <w:rFonts w:hint="eastAsia" w:ascii="宋体" w:hAnsi="宋体"/>
          <w:color w:val="auto"/>
          <w:szCs w:val="21"/>
        </w:rPr>
        <w:t>:</w:t>
      </w:r>
      <w:r>
        <w:rPr>
          <w:rFonts w:hint="eastAsia" w:ascii="宋体" w:hAnsi="宋体"/>
          <w:color w:val="auto"/>
          <w:szCs w:val="21"/>
          <w:u w:val="single"/>
          <w:lang w:val="en-US" w:eastAsia="zh-CN"/>
        </w:rPr>
        <w:t xml:space="preserve"> 30 </w:t>
      </w:r>
      <w:r>
        <w:rPr>
          <w:rFonts w:hint="eastAsia" w:ascii="宋体" w:hAnsi="宋体" w:cs="宋体"/>
          <w:color w:val="auto"/>
          <w:szCs w:val="21"/>
        </w:rPr>
        <w:t>（</w:t>
      </w:r>
      <w:r>
        <w:rPr>
          <w:rFonts w:hint="eastAsia" w:ascii="宋体" w:hAnsi="宋体"/>
          <w:color w:val="auto"/>
          <w:szCs w:val="21"/>
        </w:rPr>
        <w:t>北京时间）。</w:t>
      </w:r>
    </w:p>
    <w:p w14:paraId="63A7BA06">
      <w:pPr>
        <w:keepNext w:val="0"/>
        <w:keepLines w:val="0"/>
        <w:pageBreakBefore w:val="0"/>
        <w:widowControl/>
        <w:kinsoku/>
        <w:overflowPunct/>
        <w:topLinePunct w:val="0"/>
        <w:autoSpaceDE/>
        <w:autoSpaceDN/>
        <w:bidi w:val="0"/>
        <w:spacing w:line="384" w:lineRule="exact"/>
        <w:ind w:left="0" w:leftChars="0" w:right="-21" w:rightChars="-10" w:firstLine="218" w:firstLineChars="104"/>
        <w:textAlignment w:val="auto"/>
        <w:rPr>
          <w:rFonts w:hint="eastAsia" w:ascii="宋体" w:hAnsi="宋体"/>
          <w:b/>
          <w:color w:val="auto"/>
          <w:szCs w:val="21"/>
        </w:rPr>
      </w:pPr>
      <w:r>
        <w:rPr>
          <w:rFonts w:hint="eastAsia" w:ascii="宋体" w:hAnsi="宋体"/>
          <w:color w:val="auto"/>
          <w:szCs w:val="21"/>
        </w:rPr>
        <w:t>2、递交投标文件</w:t>
      </w:r>
      <w:r>
        <w:rPr>
          <w:rFonts w:ascii="宋体" w:hAnsi="宋体"/>
          <w:color w:val="auto"/>
          <w:szCs w:val="21"/>
        </w:rPr>
        <w:t>截止</w:t>
      </w:r>
      <w:r>
        <w:rPr>
          <w:rFonts w:hint="eastAsia" w:ascii="宋体" w:hAnsi="宋体"/>
          <w:color w:val="auto"/>
          <w:szCs w:val="21"/>
        </w:rPr>
        <w:t>及开标时间：</w:t>
      </w:r>
      <w:r>
        <w:rPr>
          <w:rFonts w:hint="eastAsia" w:ascii="宋体" w:hAnsi="宋体" w:cs="宋体"/>
          <w:color w:val="auto"/>
          <w:szCs w:val="21"/>
        </w:rPr>
        <w:t>202</w:t>
      </w:r>
      <w:r>
        <w:rPr>
          <w:rFonts w:hint="eastAsia" w:ascii="宋体" w:hAnsi="宋体" w:cs="宋体"/>
          <w:color w:val="auto"/>
          <w:szCs w:val="21"/>
          <w:lang w:val="en-US" w:eastAsia="zh-CN"/>
        </w:rPr>
        <w:t>6</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u w:val="single"/>
          <w:lang w:val="en-US" w:eastAsia="zh-CN"/>
        </w:rPr>
        <w:t>5</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u w:val="single"/>
          <w:lang w:val="en-US" w:eastAsia="zh-CN"/>
        </w:rPr>
        <w:t>22</w:t>
      </w:r>
      <w:r>
        <w:rPr>
          <w:rFonts w:hint="eastAsia" w:ascii="宋体" w:hAnsi="宋体" w:cs="宋体"/>
          <w:color w:val="auto"/>
          <w:szCs w:val="21"/>
          <w:u w:val="single"/>
        </w:rPr>
        <w:t xml:space="preserve"> </w:t>
      </w:r>
      <w:r>
        <w:rPr>
          <w:rFonts w:hint="eastAsia" w:ascii="宋体" w:hAnsi="宋体" w:cs="宋体"/>
          <w:color w:val="auto"/>
          <w:szCs w:val="21"/>
        </w:rPr>
        <w:t>日</w:t>
      </w:r>
      <w:r>
        <w:rPr>
          <w:rFonts w:hint="eastAsia" w:ascii="宋体" w:hAnsi="宋体"/>
          <w:color w:val="auto"/>
          <w:szCs w:val="21"/>
          <w:u w:val="single"/>
          <w:lang w:val="en-US" w:eastAsia="zh-CN"/>
        </w:rPr>
        <w:t xml:space="preserve"> 14 </w:t>
      </w:r>
      <w:r>
        <w:rPr>
          <w:rFonts w:hint="eastAsia" w:ascii="宋体" w:hAnsi="宋体"/>
          <w:color w:val="auto"/>
          <w:szCs w:val="21"/>
        </w:rPr>
        <w:t>:</w:t>
      </w:r>
      <w:r>
        <w:rPr>
          <w:rFonts w:hint="eastAsia" w:ascii="宋体" w:hAnsi="宋体"/>
          <w:color w:val="auto"/>
          <w:szCs w:val="21"/>
          <w:u w:val="single"/>
          <w:lang w:val="en-US" w:eastAsia="zh-CN"/>
        </w:rPr>
        <w:t xml:space="preserve"> 30 </w:t>
      </w:r>
      <w:r>
        <w:rPr>
          <w:rFonts w:hint="eastAsia" w:ascii="宋体" w:hAnsi="宋体"/>
          <w:color w:val="auto"/>
          <w:szCs w:val="21"/>
        </w:rPr>
        <w:t>（北京时间），所有投标文件应于截止时间之前递交，迟交或以电报、传真形式的投标文件将拒绝接收。</w:t>
      </w:r>
    </w:p>
    <w:p w14:paraId="05280C93">
      <w:pPr>
        <w:keepNext w:val="0"/>
        <w:keepLines w:val="0"/>
        <w:pageBreakBefore w:val="0"/>
        <w:widowControl/>
        <w:kinsoku/>
        <w:overflowPunct/>
        <w:topLinePunct w:val="0"/>
        <w:autoSpaceDE/>
        <w:autoSpaceDN/>
        <w:bidi w:val="0"/>
        <w:spacing w:line="384" w:lineRule="exact"/>
        <w:ind w:left="0" w:leftChars="0" w:right="-21" w:rightChars="-10" w:firstLine="218" w:firstLineChars="104"/>
        <w:textAlignment w:val="auto"/>
        <w:rPr>
          <w:rFonts w:hint="eastAsia" w:ascii="宋体" w:hAnsi="宋体" w:eastAsia="宋体"/>
          <w:color w:val="auto"/>
          <w:szCs w:val="21"/>
          <w:lang w:val="en-US" w:eastAsia="zh-CN"/>
        </w:rPr>
      </w:pPr>
      <w:r>
        <w:rPr>
          <w:rFonts w:hint="eastAsia" w:ascii="宋体" w:hAnsi="宋体"/>
          <w:color w:val="auto"/>
          <w:szCs w:val="21"/>
        </w:rPr>
        <w:t>3、</w:t>
      </w:r>
      <w:r>
        <w:rPr>
          <w:rFonts w:ascii="宋体" w:hAnsi="宋体"/>
          <w:color w:val="auto"/>
          <w:szCs w:val="21"/>
        </w:rPr>
        <w:t>开标地点</w:t>
      </w:r>
      <w:r>
        <w:rPr>
          <w:rFonts w:hint="eastAsia" w:ascii="宋体" w:hAnsi="宋体"/>
          <w:color w:val="auto"/>
          <w:szCs w:val="21"/>
        </w:rPr>
        <w:t>：</w:t>
      </w:r>
      <w:r>
        <w:rPr>
          <w:rFonts w:hint="eastAsia" w:ascii="宋体" w:hAnsi="宋体"/>
          <w:color w:val="auto"/>
          <w:szCs w:val="21"/>
          <w:lang w:eastAsia="zh-CN"/>
        </w:rPr>
        <w:t>广东省东莞市南城街道宏图路105号1栋313室</w:t>
      </w:r>
      <w:r>
        <w:rPr>
          <w:rFonts w:hint="eastAsia" w:ascii="宋体" w:hAnsi="宋体"/>
          <w:color w:val="auto"/>
          <w:szCs w:val="21"/>
        </w:rPr>
        <w:t>。</w:t>
      </w:r>
      <w:r>
        <w:rPr>
          <w:rFonts w:hint="eastAsia" w:ascii="宋体" w:hAnsi="宋体"/>
          <w:color w:val="auto"/>
          <w:szCs w:val="21"/>
          <w:lang w:val="en-US" w:eastAsia="zh-CN"/>
        </w:rPr>
        <w:t xml:space="preserve"> </w:t>
      </w:r>
    </w:p>
    <w:p w14:paraId="0FB173CF">
      <w:pPr>
        <w:ind w:firstLine="210" w:firstLineChars="100"/>
        <w:rPr>
          <w:rFonts w:ascii="宋体" w:hAnsi="宋体"/>
          <w:bCs/>
          <w:szCs w:val="21"/>
        </w:rPr>
      </w:pPr>
      <w:r>
        <w:rPr>
          <w:rFonts w:hint="eastAsia" w:ascii="宋体" w:hAnsi="宋体"/>
          <w:bCs/>
          <w:szCs w:val="21"/>
        </w:rPr>
        <w:t>4、开标事宜：</w:t>
      </w:r>
      <w:r>
        <w:rPr>
          <w:rFonts w:hint="eastAsia" w:ascii="宋体" w:hAnsi="宋体"/>
          <w:b/>
          <w:bCs/>
          <w:szCs w:val="21"/>
        </w:rPr>
        <w:t>届时请投标人的法定代表人或其授权代表务必携带有效身份证明出席开标会</w:t>
      </w:r>
      <w:r>
        <w:rPr>
          <w:rFonts w:hint="eastAsia" w:ascii="宋体" w:hAnsi="宋体"/>
          <w:bCs/>
          <w:szCs w:val="21"/>
        </w:rPr>
        <w:t>。</w:t>
      </w:r>
    </w:p>
    <w:p w14:paraId="627F0BF8">
      <w:pPr>
        <w:spacing w:line="384" w:lineRule="exact"/>
        <w:ind w:right="-21" w:rightChars="-10" w:firstLine="218" w:firstLineChars="104"/>
        <w:rPr>
          <w:rFonts w:hint="eastAsia" w:ascii="宋体" w:hAnsi="宋体" w:cs="宋体"/>
          <w:color w:val="auto"/>
          <w:sz w:val="21"/>
          <w:szCs w:val="21"/>
          <w:u w:val="single"/>
        </w:rPr>
      </w:pPr>
      <w:r>
        <w:rPr>
          <w:rFonts w:hint="eastAsia" w:ascii="宋体" w:hAnsi="宋体" w:cs="宋体"/>
          <w:color w:val="auto"/>
          <w:sz w:val="21"/>
          <w:szCs w:val="21"/>
          <w:u w:val="single"/>
        </w:rPr>
        <w:t>5、出现以下情形时，采购代理机构不予接收投标（响应）文件：</w:t>
      </w:r>
    </w:p>
    <w:p w14:paraId="28A48D86">
      <w:pPr>
        <w:spacing w:line="384" w:lineRule="exact"/>
        <w:ind w:right="-21" w:rightChars="-10" w:firstLine="218" w:firstLineChars="104"/>
        <w:rPr>
          <w:rFonts w:hint="eastAsia" w:ascii="宋体" w:hAnsi="宋体" w:cs="宋体"/>
          <w:color w:val="auto"/>
          <w:sz w:val="21"/>
          <w:szCs w:val="21"/>
          <w:u w:val="single"/>
        </w:rPr>
      </w:pPr>
      <w:r>
        <w:rPr>
          <w:rFonts w:hint="eastAsia" w:ascii="宋体" w:hAnsi="宋体" w:cs="宋体"/>
          <w:color w:val="auto"/>
          <w:sz w:val="21"/>
          <w:szCs w:val="21"/>
          <w:u w:val="single"/>
        </w:rPr>
        <w:t>（1）逾期送达或者未送达指定地点的；</w:t>
      </w:r>
    </w:p>
    <w:p w14:paraId="4E785BAC">
      <w:pPr>
        <w:spacing w:line="384" w:lineRule="exact"/>
        <w:ind w:right="-21" w:rightChars="-10" w:firstLine="218" w:firstLineChars="104"/>
        <w:rPr>
          <w:rFonts w:hint="eastAsia" w:ascii="宋体" w:hAnsi="宋体" w:cs="宋体"/>
          <w:color w:val="auto"/>
          <w:sz w:val="21"/>
          <w:szCs w:val="21"/>
          <w:u w:val="single"/>
        </w:rPr>
      </w:pPr>
      <w:r>
        <w:rPr>
          <w:rFonts w:hint="eastAsia" w:ascii="宋体" w:hAnsi="宋体" w:cs="宋体"/>
          <w:color w:val="auto"/>
          <w:sz w:val="21"/>
          <w:szCs w:val="21"/>
          <w:u w:val="single"/>
        </w:rPr>
        <w:t>（2）未按采购文件要求密封的。</w:t>
      </w:r>
    </w:p>
    <w:p w14:paraId="14B0056F">
      <w:pPr>
        <w:pStyle w:val="40"/>
        <w:ind w:firstLine="400"/>
      </w:pPr>
    </w:p>
    <w:p w14:paraId="216B16D9">
      <w:pPr>
        <w:pStyle w:val="40"/>
        <w:ind w:firstLine="422"/>
        <w:rPr>
          <w:rFonts w:ascii="宋体" w:hAnsi="宋体" w:eastAsia="宋体" w:cstheme="minorBidi"/>
          <w:b/>
          <w:sz w:val="21"/>
          <w:szCs w:val="21"/>
        </w:rPr>
      </w:pPr>
      <w:r>
        <w:rPr>
          <w:rFonts w:hint="eastAsia" w:ascii="宋体" w:hAnsi="宋体" w:eastAsia="宋体" w:cstheme="minorBidi"/>
          <w:b/>
          <w:sz w:val="21"/>
          <w:szCs w:val="21"/>
        </w:rPr>
        <w:t>五</w:t>
      </w:r>
      <w:r>
        <w:rPr>
          <w:rFonts w:ascii="宋体" w:hAnsi="宋体" w:eastAsia="宋体" w:cstheme="minorBidi"/>
          <w:b/>
          <w:sz w:val="21"/>
          <w:szCs w:val="21"/>
        </w:rPr>
        <w:t>、发布公告的媒介</w:t>
      </w:r>
    </w:p>
    <w:p w14:paraId="25877B7F">
      <w:pPr>
        <w:pStyle w:val="4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1、采购公告发布媒介：</w:t>
      </w:r>
    </w:p>
    <w:p w14:paraId="022C9F98">
      <w:pPr>
        <w:wordWrap w:val="0"/>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highlight w:val="none"/>
          <w:u w:val="single"/>
        </w:rPr>
        <w:t>中国招标投标公共服务平台（http</w:t>
      </w:r>
      <w:r>
        <w:rPr>
          <w:rFonts w:hint="eastAsia" w:asciiTheme="minorEastAsia" w:hAnsiTheme="minorEastAsia" w:eastAsiaTheme="minorEastAsia" w:cstheme="minorEastAsia"/>
          <w:sz w:val="21"/>
          <w:szCs w:val="21"/>
          <w:u w:val="single"/>
        </w:rPr>
        <w:t>://www.cebpubservice.com/）、东莞实业投资控股集团有限公司-招标采购栏目（http://www.dgsy.com.cn/）、</w:t>
      </w:r>
      <w:r>
        <w:rPr>
          <w:rFonts w:hint="eastAsia" w:asciiTheme="minorEastAsia" w:hAnsiTheme="minorEastAsia" w:eastAsiaTheme="minorEastAsia" w:cstheme="minorEastAsia"/>
          <w:szCs w:val="21"/>
          <w:u w:val="single"/>
        </w:rPr>
        <w:t>东莞市能源投资集团有限公司（http://www.dg-energy.com/cn/list/30.html）</w:t>
      </w:r>
      <w:r>
        <w:rPr>
          <w:rFonts w:hint="eastAsia" w:asciiTheme="minorEastAsia" w:hAnsiTheme="minorEastAsia" w:eastAsiaTheme="minorEastAsia" w:cstheme="minorEastAsia"/>
          <w:szCs w:val="21"/>
          <w:u w:val="single"/>
          <w:lang w:eastAsia="zh-CN"/>
        </w:rPr>
        <w:t>、</w:t>
      </w:r>
      <w:r>
        <w:rPr>
          <w:rFonts w:hint="eastAsia" w:asciiTheme="minorEastAsia" w:hAnsiTheme="minorEastAsia" w:eastAsiaTheme="minorEastAsia" w:cstheme="minorEastAsia"/>
          <w:sz w:val="21"/>
          <w:szCs w:val="21"/>
          <w:u w:val="single"/>
        </w:rPr>
        <w:t>代理公司官网（</w:t>
      </w:r>
      <w:r>
        <w:rPr>
          <w:rFonts w:hint="eastAsia" w:asciiTheme="minorEastAsia" w:hAnsiTheme="minorEastAsia" w:eastAsiaTheme="minorEastAsia" w:cstheme="minorEastAsia"/>
          <w:bCs w:val="0"/>
          <w:sz w:val="21"/>
          <w:szCs w:val="21"/>
          <w:u w:val="single"/>
          <w:lang w:eastAsia="zh-CN"/>
        </w:rPr>
        <w:t>http://www.wangtat.com.cn/</w:t>
      </w:r>
      <w:r>
        <w:rPr>
          <w:rFonts w:hint="eastAsia" w:asciiTheme="minorEastAsia" w:hAnsiTheme="minorEastAsia" w:eastAsiaTheme="minorEastAsia" w:cstheme="minorEastAsia"/>
          <w:sz w:val="21"/>
          <w:szCs w:val="21"/>
          <w:u w:val="single"/>
        </w:rPr>
        <w:t>）。</w:t>
      </w:r>
    </w:p>
    <w:p w14:paraId="42859B79">
      <w:pPr>
        <w:pStyle w:val="40"/>
        <w:spacing w:line="360" w:lineRule="auto"/>
        <w:rPr>
          <w:rFonts w:hint="eastAsia" w:asciiTheme="minorEastAsia" w:hAnsiTheme="minorEastAsia" w:eastAsiaTheme="minorEastAsia" w:cstheme="minorEastAsia"/>
          <w:bCs/>
          <w:sz w:val="21"/>
          <w:szCs w:val="21"/>
          <w:u w:val="none"/>
        </w:rPr>
      </w:pPr>
      <w:r>
        <w:rPr>
          <w:rFonts w:hint="eastAsia" w:asciiTheme="minorEastAsia" w:hAnsiTheme="minorEastAsia" w:eastAsiaTheme="minorEastAsia" w:cstheme="minorEastAsia"/>
          <w:bCs/>
          <w:sz w:val="21"/>
          <w:szCs w:val="21"/>
        </w:rPr>
        <w:t>2、结果公告发布媒介：</w:t>
      </w:r>
    </w:p>
    <w:p w14:paraId="47128040">
      <w:pPr>
        <w:pStyle w:val="40"/>
        <w:spacing w:line="360" w:lineRule="auto"/>
        <w:rPr>
          <w:rFonts w:hint="eastAsia" w:asciiTheme="minorEastAsia" w:hAnsiTheme="minorEastAsia" w:eastAsiaTheme="minorEastAsia" w:cstheme="minorEastAsia"/>
          <w:bCs/>
          <w:sz w:val="21"/>
          <w:szCs w:val="21"/>
          <w:u w:val="none"/>
        </w:rPr>
      </w:pPr>
      <w:r>
        <w:rPr>
          <w:rFonts w:hint="eastAsia" w:asciiTheme="minorEastAsia" w:hAnsiTheme="minorEastAsia" w:eastAsiaTheme="minorEastAsia" w:cstheme="minorEastAsia"/>
          <w:sz w:val="21"/>
          <w:szCs w:val="21"/>
          <w:u w:val="none"/>
        </w:rPr>
        <w:t>东莞实业投资控股集团有限公司-招标采购栏目（http://www.dgsy.com.cn/）、东莞市能源投资集团有限公司（http://www.dg-energy.com/cn/list/30.html）。</w:t>
      </w:r>
    </w:p>
    <w:p w14:paraId="18DB3F67">
      <w:pPr>
        <w:ind w:firstLine="413" w:firstLineChars="196"/>
        <w:rPr>
          <w:rFonts w:ascii="宋体" w:hAnsi="宋体"/>
          <w:bCs/>
          <w:szCs w:val="21"/>
        </w:rPr>
      </w:pPr>
      <w:r>
        <w:rPr>
          <w:rFonts w:hint="eastAsia" w:ascii="宋体" w:hAnsi="宋体"/>
          <w:b/>
          <w:szCs w:val="21"/>
        </w:rPr>
        <w:t>六、采购人及采购代理机构的名称、地址和联系方法：</w:t>
      </w:r>
    </w:p>
    <w:p w14:paraId="3E56A599">
      <w:pPr>
        <w:ind w:firstLine="420" w:firstLineChars="200"/>
        <w:rPr>
          <w:rFonts w:hint="eastAsia" w:ascii="宋体" w:hAnsi="宋体" w:eastAsia="宋体"/>
          <w:bCs/>
          <w:szCs w:val="21"/>
          <w:lang w:eastAsia="zh-CN"/>
        </w:rPr>
      </w:pPr>
      <w:r>
        <w:rPr>
          <w:rFonts w:hint="eastAsia" w:ascii="宋体" w:hAnsi="宋体"/>
          <w:bCs/>
          <w:szCs w:val="21"/>
        </w:rPr>
        <w:t>采购人</w:t>
      </w:r>
      <w:r>
        <w:rPr>
          <w:rFonts w:ascii="宋体" w:hAnsi="宋体"/>
          <w:bCs/>
          <w:szCs w:val="21"/>
        </w:rPr>
        <w:t>名称</w:t>
      </w:r>
      <w:r>
        <w:rPr>
          <w:rFonts w:hint="eastAsia" w:ascii="宋体" w:hAnsi="宋体"/>
          <w:bCs/>
          <w:szCs w:val="21"/>
        </w:rPr>
        <w:t>：</w:t>
      </w:r>
      <w:r>
        <w:rPr>
          <w:rFonts w:hint="eastAsia" w:ascii="宋体" w:hAnsi="宋体"/>
          <w:bCs/>
          <w:szCs w:val="21"/>
          <w:lang w:eastAsia="zh-CN"/>
        </w:rPr>
        <w:t>东莞市能源投资集团有限公司</w:t>
      </w:r>
    </w:p>
    <w:p w14:paraId="401EF477">
      <w:pPr>
        <w:ind w:firstLine="420" w:firstLineChars="200"/>
        <w:rPr>
          <w:rFonts w:hint="default" w:ascii="宋体" w:hAnsi="宋体" w:eastAsia="宋体"/>
          <w:bCs/>
          <w:szCs w:val="21"/>
          <w:lang w:val="en-US" w:eastAsia="zh-CN"/>
        </w:rPr>
      </w:pPr>
      <w:r>
        <w:rPr>
          <w:rFonts w:hint="eastAsia" w:ascii="宋体" w:hAnsi="宋体"/>
          <w:bCs/>
          <w:szCs w:val="21"/>
        </w:rPr>
        <w:t>采购人联系人：</w:t>
      </w:r>
      <w:r>
        <w:rPr>
          <w:rFonts w:hint="eastAsia" w:ascii="宋体" w:hAnsi="宋体"/>
          <w:bCs/>
          <w:szCs w:val="21"/>
          <w:lang w:val="en-US" w:eastAsia="zh-CN"/>
        </w:rPr>
        <w:t>梅先生</w:t>
      </w:r>
    </w:p>
    <w:p w14:paraId="42C2B899">
      <w:pPr>
        <w:ind w:firstLine="420" w:firstLineChars="200"/>
        <w:rPr>
          <w:rFonts w:ascii="宋体" w:hAnsi="宋体"/>
          <w:bCs/>
          <w:szCs w:val="21"/>
        </w:rPr>
      </w:pPr>
      <w:r>
        <w:rPr>
          <w:rFonts w:hint="eastAsia" w:ascii="宋体" w:hAnsi="宋体"/>
          <w:bCs/>
          <w:szCs w:val="21"/>
        </w:rPr>
        <w:t>采购人地址：广东省东莞市松山湖园区新城路5号4栋</w:t>
      </w:r>
    </w:p>
    <w:p w14:paraId="7AF2590F">
      <w:pPr>
        <w:ind w:firstLine="420" w:firstLineChars="200"/>
        <w:rPr>
          <w:rFonts w:ascii="宋体" w:hAnsi="宋体"/>
          <w:bCs/>
          <w:szCs w:val="21"/>
        </w:rPr>
      </w:pPr>
      <w:r>
        <w:rPr>
          <w:rFonts w:hint="eastAsia" w:ascii="宋体" w:hAnsi="宋体"/>
          <w:bCs/>
          <w:szCs w:val="21"/>
        </w:rPr>
        <w:t>采购人联系电话：</w:t>
      </w:r>
      <w:r>
        <w:rPr>
          <w:rFonts w:hint="eastAsia" w:ascii="宋体" w:hAnsi="宋体" w:cs="宋体"/>
          <w:sz w:val="22"/>
        </w:rPr>
        <w:t>0769-23328000</w:t>
      </w:r>
    </w:p>
    <w:p w14:paraId="0E541BFC">
      <w:pPr>
        <w:ind w:firstLine="420" w:firstLineChars="200"/>
        <w:rPr>
          <w:rFonts w:ascii="宋体" w:hAnsi="宋体"/>
          <w:szCs w:val="21"/>
        </w:rPr>
      </w:pPr>
    </w:p>
    <w:p w14:paraId="313B2E18">
      <w:pPr>
        <w:keepNext w:val="0"/>
        <w:keepLines w:val="0"/>
        <w:pageBreakBefore w:val="0"/>
        <w:widowControl/>
        <w:kinsoku/>
        <w:overflowPunct/>
        <w:topLinePunct w:val="0"/>
        <w:autoSpaceDE/>
        <w:autoSpaceDN/>
        <w:bidi w:val="0"/>
        <w:spacing w:line="384" w:lineRule="exact"/>
        <w:ind w:left="0" w:leftChars="0" w:right="-21" w:rightChars="-10" w:firstLine="420" w:firstLineChars="200"/>
        <w:textAlignment w:val="auto"/>
        <w:rPr>
          <w:rFonts w:hint="eastAsia" w:ascii="宋体" w:hAnsi="宋体" w:eastAsia="宋体"/>
          <w:color w:val="auto"/>
          <w:szCs w:val="21"/>
          <w:lang w:eastAsia="zh-CN"/>
        </w:rPr>
      </w:pPr>
      <w:r>
        <w:rPr>
          <w:rFonts w:hint="eastAsia" w:ascii="宋体" w:hAnsi="宋体"/>
          <w:color w:val="auto"/>
          <w:szCs w:val="21"/>
        </w:rPr>
        <w:t>采购代理机构名称：</w:t>
      </w:r>
      <w:r>
        <w:rPr>
          <w:rFonts w:hint="eastAsia" w:ascii="宋体" w:hAnsi="宋体"/>
          <w:color w:val="auto"/>
          <w:szCs w:val="21"/>
          <w:lang w:eastAsia="zh-CN"/>
        </w:rPr>
        <w:t>广州宏达工程顾问集团有限公司</w:t>
      </w:r>
    </w:p>
    <w:p w14:paraId="2A5B5071">
      <w:pPr>
        <w:keepNext w:val="0"/>
        <w:keepLines w:val="0"/>
        <w:pageBreakBefore w:val="0"/>
        <w:widowControl/>
        <w:kinsoku/>
        <w:overflowPunct/>
        <w:topLinePunct w:val="0"/>
        <w:autoSpaceDE/>
        <w:autoSpaceDN/>
        <w:bidi w:val="0"/>
        <w:spacing w:line="384" w:lineRule="exact"/>
        <w:ind w:left="0" w:leftChars="0" w:right="-21" w:rightChars="-10" w:firstLine="420" w:firstLineChars="200"/>
        <w:textAlignment w:val="auto"/>
        <w:rPr>
          <w:rFonts w:hint="eastAsia" w:ascii="宋体" w:hAnsi="宋体" w:eastAsia="宋体"/>
          <w:color w:val="auto"/>
          <w:szCs w:val="21"/>
          <w:lang w:eastAsia="zh-CN"/>
        </w:rPr>
      </w:pPr>
      <w:r>
        <w:rPr>
          <w:rFonts w:hint="eastAsia" w:ascii="宋体" w:hAnsi="宋体"/>
          <w:color w:val="auto"/>
          <w:szCs w:val="21"/>
        </w:rPr>
        <w:t>采购代理机构地址：</w:t>
      </w:r>
      <w:r>
        <w:rPr>
          <w:rFonts w:hint="eastAsia" w:ascii="宋体" w:hAnsi="宋体"/>
          <w:color w:val="auto"/>
          <w:szCs w:val="21"/>
          <w:lang w:eastAsia="zh-CN"/>
        </w:rPr>
        <w:t>广东省东莞市南城街道宏图路105号1栋313室</w:t>
      </w:r>
    </w:p>
    <w:p w14:paraId="28368B80">
      <w:pPr>
        <w:keepNext w:val="0"/>
        <w:keepLines w:val="0"/>
        <w:pageBreakBefore w:val="0"/>
        <w:widowControl/>
        <w:kinsoku/>
        <w:overflowPunct/>
        <w:topLinePunct w:val="0"/>
        <w:autoSpaceDE/>
        <w:autoSpaceDN/>
        <w:bidi w:val="0"/>
        <w:spacing w:line="384" w:lineRule="exact"/>
        <w:ind w:left="0" w:leftChars="0" w:right="-21" w:rightChars="-10" w:firstLine="420" w:firstLineChars="200"/>
        <w:textAlignment w:val="auto"/>
        <w:rPr>
          <w:rFonts w:hint="eastAsia" w:ascii="宋体" w:hAnsi="宋体" w:eastAsia="宋体"/>
          <w:color w:val="auto"/>
          <w:szCs w:val="21"/>
          <w:lang w:eastAsia="zh-CN"/>
        </w:rPr>
      </w:pPr>
      <w:r>
        <w:rPr>
          <w:rFonts w:hint="eastAsia" w:ascii="宋体" w:hAnsi="宋体"/>
          <w:color w:val="auto"/>
          <w:szCs w:val="21"/>
        </w:rPr>
        <w:t>采购代理机构联系人：</w:t>
      </w:r>
      <w:r>
        <w:rPr>
          <w:rFonts w:hint="eastAsia" w:ascii="宋体" w:hAnsi="宋体"/>
          <w:color w:val="auto"/>
          <w:szCs w:val="21"/>
          <w:lang w:val="en-US" w:eastAsia="zh-CN"/>
        </w:rPr>
        <w:t>李先生</w:t>
      </w:r>
    </w:p>
    <w:p w14:paraId="4680077E">
      <w:pPr>
        <w:keepNext w:val="0"/>
        <w:keepLines w:val="0"/>
        <w:pageBreakBefore w:val="0"/>
        <w:widowControl/>
        <w:kinsoku/>
        <w:overflowPunct/>
        <w:topLinePunct w:val="0"/>
        <w:autoSpaceDE/>
        <w:autoSpaceDN/>
        <w:bidi w:val="0"/>
        <w:spacing w:line="384" w:lineRule="exact"/>
        <w:ind w:left="0" w:leftChars="0" w:right="-21" w:rightChars="-10" w:firstLine="420" w:firstLineChars="200"/>
        <w:textAlignment w:val="auto"/>
        <w:rPr>
          <w:rFonts w:hint="default" w:ascii="宋体" w:hAnsi="宋体" w:eastAsia="宋体"/>
          <w:color w:val="auto"/>
          <w:szCs w:val="21"/>
          <w:lang w:val="en-US" w:eastAsia="zh-CN"/>
        </w:rPr>
      </w:pPr>
      <w:r>
        <w:rPr>
          <w:rFonts w:hint="eastAsia" w:ascii="宋体" w:hAnsi="宋体"/>
          <w:color w:val="auto"/>
          <w:szCs w:val="21"/>
        </w:rPr>
        <w:t>采购代理机构联系电话：</w:t>
      </w:r>
      <w:r>
        <w:rPr>
          <w:rFonts w:hint="eastAsia" w:ascii="宋体" w:hAnsi="宋体"/>
          <w:color w:val="auto"/>
          <w:szCs w:val="21"/>
          <w:lang w:eastAsia="zh-CN"/>
        </w:rPr>
        <w:t>0769-28056866</w:t>
      </w:r>
      <w:r>
        <w:rPr>
          <w:rFonts w:hint="eastAsia" w:ascii="宋体" w:hAnsi="宋体"/>
          <w:color w:val="auto"/>
          <w:szCs w:val="21"/>
          <w:lang w:val="en-US" w:eastAsia="zh-CN"/>
        </w:rPr>
        <w:t>-807</w:t>
      </w:r>
    </w:p>
    <w:p w14:paraId="360CE951">
      <w:pPr>
        <w:keepNext w:val="0"/>
        <w:keepLines w:val="0"/>
        <w:pageBreakBefore w:val="0"/>
        <w:widowControl/>
        <w:kinsoku/>
        <w:overflowPunct/>
        <w:topLinePunct w:val="0"/>
        <w:autoSpaceDE/>
        <w:autoSpaceDN/>
        <w:bidi w:val="0"/>
        <w:spacing w:line="384" w:lineRule="exact"/>
        <w:ind w:left="0" w:leftChars="0" w:right="-21" w:rightChars="-10" w:firstLine="420" w:firstLineChars="200"/>
        <w:textAlignment w:val="auto"/>
        <w:rPr>
          <w:rFonts w:hint="eastAsia" w:ascii="宋体" w:hAnsi="宋体"/>
          <w:color w:val="auto"/>
          <w:szCs w:val="21"/>
          <w:u w:val="none"/>
          <w:lang w:eastAsia="zh-CN"/>
        </w:rPr>
      </w:pPr>
      <w:r>
        <w:rPr>
          <w:rFonts w:hint="eastAsia" w:ascii="宋体" w:hAnsi="宋体"/>
          <w:color w:val="auto"/>
          <w:szCs w:val="21"/>
        </w:rPr>
        <w:t>采购代理机构邮箱：</w:t>
      </w:r>
      <w:r>
        <w:rPr>
          <w:rFonts w:hint="eastAsia" w:ascii="宋体" w:hAnsi="宋体"/>
          <w:color w:val="auto"/>
          <w:szCs w:val="21"/>
          <w:u w:val="none"/>
          <w:lang w:eastAsia="zh-CN"/>
        </w:rPr>
        <w:t>dgwangtat@163.com</w:t>
      </w:r>
    </w:p>
    <w:p w14:paraId="6C55E6FB">
      <w:pPr>
        <w:ind w:firstLine="420" w:firstLineChars="200"/>
      </w:pPr>
    </w:p>
    <w:p w14:paraId="6F70A57A">
      <w:pPr>
        <w:ind w:right="752" w:rightChars="358"/>
        <w:jc w:val="right"/>
      </w:pPr>
    </w:p>
    <w:p w14:paraId="2ED1329E">
      <w:pPr>
        <w:ind w:right="752" w:rightChars="358"/>
        <w:jc w:val="right"/>
        <w:rPr>
          <w:rFonts w:ascii="宋体" w:hAnsi="宋体" w:cs="宋体"/>
          <w:szCs w:val="21"/>
        </w:rPr>
      </w:pPr>
      <w:r>
        <w:rPr>
          <w:rFonts w:hint="eastAsia" w:ascii="宋体" w:hAnsi="宋体"/>
          <w:color w:val="auto"/>
          <w:szCs w:val="21"/>
          <w:lang w:eastAsia="zh-CN"/>
        </w:rPr>
        <w:t>广州宏达工程顾问集团有限公司</w:t>
      </w:r>
    </w:p>
    <w:p w14:paraId="536C3051">
      <w:pPr>
        <w:ind w:right="752" w:rightChars="358"/>
        <w:jc w:val="right"/>
        <w:rPr>
          <w:rFonts w:hint="eastAsia" w:ascii="宋体" w:hAnsi="宋体" w:eastAsia="宋体" w:cs="宋体"/>
          <w:szCs w:val="21"/>
          <w:lang w:val="en-US" w:eastAsia="zh-CN"/>
        </w:rPr>
      </w:pPr>
      <w:r>
        <w:rPr>
          <w:rFonts w:hint="eastAsia" w:ascii="宋体" w:hAnsi="宋体" w:cs="宋体"/>
          <w:szCs w:val="21"/>
        </w:rPr>
        <w:t>20</w:t>
      </w:r>
      <w:r>
        <w:rPr>
          <w:rFonts w:hint="eastAsia" w:ascii="宋体" w:hAnsi="宋体" w:cs="宋体"/>
          <w:szCs w:val="21"/>
          <w:lang w:val="en-US" w:eastAsia="zh-CN"/>
        </w:rPr>
        <w:t>26</w:t>
      </w:r>
      <w:r>
        <w:rPr>
          <w:rFonts w:hint="eastAsia" w:ascii="宋体" w:hAnsi="宋体" w:cs="宋体"/>
          <w:szCs w:val="21"/>
        </w:rPr>
        <w:t>年</w:t>
      </w:r>
      <w:r>
        <w:rPr>
          <w:rFonts w:hint="eastAsia" w:ascii="宋体" w:hAnsi="宋体" w:cs="宋体"/>
          <w:szCs w:val="21"/>
          <w:lang w:val="en-US" w:eastAsia="zh-CN"/>
        </w:rPr>
        <w:t>4</w:t>
      </w:r>
      <w:r>
        <w:rPr>
          <w:rFonts w:hint="eastAsia" w:ascii="宋体" w:hAnsi="宋体" w:cs="宋体"/>
          <w:szCs w:val="21"/>
        </w:rPr>
        <w:t>月</w:t>
      </w:r>
      <w:r>
        <w:rPr>
          <w:rFonts w:hint="eastAsia" w:ascii="宋体" w:hAnsi="宋体" w:cs="宋体"/>
          <w:szCs w:val="21"/>
          <w:lang w:val="en-US" w:eastAsia="zh-CN"/>
        </w:rPr>
        <w:t>30日</w:t>
      </w:r>
    </w:p>
    <w:p w14:paraId="79F4AED0">
      <w:pPr>
        <w:ind w:left="6205" w:leftChars="2755" w:hanging="420" w:hangingChars="200"/>
        <w:rPr>
          <w:rFonts w:ascii="黑体" w:hAnsi="宋体" w:eastAsia="黑体"/>
        </w:rPr>
      </w:pPr>
      <w:r>
        <w:rPr>
          <w:rFonts w:hint="eastAsia" w:ascii="宋体" w:hAnsi="宋体" w:cs="宋体"/>
          <w:szCs w:val="21"/>
        </w:rPr>
        <w:br w:type="page"/>
      </w:r>
    </w:p>
    <w:p w14:paraId="64F55952">
      <w:pPr>
        <w:pStyle w:val="5"/>
        <w:spacing w:before="0" w:after="0" w:line="240" w:lineRule="auto"/>
        <w:rPr>
          <w:sz w:val="28"/>
          <w:szCs w:val="28"/>
        </w:rPr>
      </w:pPr>
      <w:bookmarkStart w:id="4" w:name="_Toc9418"/>
      <w:bookmarkStart w:id="5" w:name="_Toc10132"/>
      <w:r>
        <w:rPr>
          <w:rFonts w:hint="eastAsia"/>
          <w:sz w:val="28"/>
          <w:szCs w:val="28"/>
        </w:rPr>
        <w:t>第二部分相关资料表格</w:t>
      </w:r>
      <w:bookmarkEnd w:id="4"/>
      <w:bookmarkEnd w:id="5"/>
    </w:p>
    <w:p w14:paraId="05F09FBE">
      <w:pPr>
        <w:pStyle w:val="6"/>
        <w:spacing w:before="0" w:after="0" w:line="240" w:lineRule="auto"/>
        <w:jc w:val="center"/>
        <w:rPr>
          <w:rFonts w:ascii="宋体" w:hAnsi="宋体" w:cs="宋体"/>
          <w:sz w:val="24"/>
          <w:szCs w:val="24"/>
        </w:rPr>
      </w:pPr>
      <w:bookmarkStart w:id="6" w:name="_Toc13439"/>
      <w:bookmarkStart w:id="7" w:name="_Toc5534"/>
      <w:r>
        <w:rPr>
          <w:rFonts w:hint="eastAsia" w:ascii="宋体" w:hAnsi="宋体" w:cs="宋体"/>
          <w:sz w:val="24"/>
          <w:szCs w:val="24"/>
        </w:rPr>
        <w:t>附表一：投标资料表</w:t>
      </w:r>
      <w:bookmarkEnd w:id="6"/>
      <w:bookmarkEnd w:id="7"/>
    </w:p>
    <w:tbl>
      <w:tblPr>
        <w:tblStyle w:val="31"/>
        <w:tblW w:w="8410" w:type="dxa"/>
        <w:tblInd w:w="-23"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78"/>
        <w:gridCol w:w="2608"/>
        <w:gridCol w:w="4924"/>
      </w:tblGrid>
      <w:tr w14:paraId="7C0008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78" w:type="dxa"/>
            <w:tcBorders>
              <w:tl2br w:val="nil"/>
              <w:tr2bl w:val="nil"/>
            </w:tcBorders>
            <w:vAlign w:val="center"/>
          </w:tcPr>
          <w:p w14:paraId="26A4E1A9">
            <w:pPr>
              <w:jc w:val="center"/>
              <w:rPr>
                <w:rFonts w:ascii="宋体" w:hAnsi="宋体"/>
                <w:szCs w:val="21"/>
              </w:rPr>
            </w:pPr>
            <w:r>
              <w:rPr>
                <w:rFonts w:hint="eastAsia" w:ascii="宋体" w:hAnsi="宋体"/>
                <w:szCs w:val="21"/>
              </w:rPr>
              <w:t>序号</w:t>
            </w:r>
          </w:p>
        </w:tc>
        <w:tc>
          <w:tcPr>
            <w:tcW w:w="7532" w:type="dxa"/>
            <w:gridSpan w:val="2"/>
            <w:tcBorders>
              <w:tl2br w:val="nil"/>
              <w:tr2bl w:val="nil"/>
            </w:tcBorders>
            <w:vAlign w:val="center"/>
          </w:tcPr>
          <w:p w14:paraId="5F5044A7">
            <w:pPr>
              <w:jc w:val="center"/>
              <w:rPr>
                <w:rFonts w:ascii="宋体" w:hAnsi="宋体"/>
                <w:b/>
                <w:szCs w:val="21"/>
              </w:rPr>
            </w:pPr>
            <w:r>
              <w:rPr>
                <w:rFonts w:hint="eastAsia" w:ascii="宋体" w:hAnsi="宋体"/>
                <w:b/>
                <w:szCs w:val="21"/>
              </w:rPr>
              <w:t>内容</w:t>
            </w:r>
          </w:p>
        </w:tc>
      </w:tr>
      <w:tr w14:paraId="6FE6B6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cantSplit/>
          <w:trHeight w:val="551" w:hRule="atLeast"/>
        </w:trPr>
        <w:tc>
          <w:tcPr>
            <w:tcW w:w="8410" w:type="dxa"/>
            <w:gridSpan w:val="3"/>
            <w:tcBorders>
              <w:tl2br w:val="nil"/>
              <w:tr2bl w:val="nil"/>
            </w:tcBorders>
            <w:vAlign w:val="center"/>
          </w:tcPr>
          <w:p w14:paraId="4A102A15">
            <w:pPr>
              <w:jc w:val="center"/>
              <w:rPr>
                <w:rFonts w:ascii="宋体" w:hAnsi="宋体"/>
                <w:b/>
                <w:szCs w:val="21"/>
              </w:rPr>
            </w:pPr>
            <w:r>
              <w:rPr>
                <w:rFonts w:hint="eastAsia" w:ascii="宋体" w:hAnsi="宋体"/>
                <w:b/>
                <w:szCs w:val="21"/>
              </w:rPr>
              <w:t>一、说明</w:t>
            </w:r>
          </w:p>
        </w:tc>
      </w:tr>
      <w:tr w14:paraId="53DE44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tcBorders>
              <w:tl2br w:val="nil"/>
              <w:tr2bl w:val="nil"/>
            </w:tcBorders>
            <w:vAlign w:val="center"/>
          </w:tcPr>
          <w:p w14:paraId="1D9C8081">
            <w:pPr>
              <w:jc w:val="center"/>
              <w:rPr>
                <w:rFonts w:ascii="宋体" w:hAnsi="宋体"/>
                <w:szCs w:val="21"/>
                <w:highlight w:val="none"/>
              </w:rPr>
            </w:pPr>
            <w:r>
              <w:rPr>
                <w:rFonts w:hint="eastAsia" w:ascii="宋体" w:hAnsi="宋体"/>
                <w:szCs w:val="21"/>
                <w:highlight w:val="none"/>
              </w:rPr>
              <w:t>1</w:t>
            </w:r>
          </w:p>
        </w:tc>
        <w:tc>
          <w:tcPr>
            <w:tcW w:w="7532" w:type="dxa"/>
            <w:gridSpan w:val="2"/>
            <w:tcBorders>
              <w:tl2br w:val="nil"/>
              <w:tr2bl w:val="nil"/>
            </w:tcBorders>
            <w:vAlign w:val="center"/>
          </w:tcPr>
          <w:p w14:paraId="08885C96">
            <w:pPr>
              <w:rPr>
                <w:rFonts w:ascii="宋体" w:hAnsi="宋体"/>
                <w:b/>
                <w:bCs/>
                <w:szCs w:val="21"/>
                <w:highlight w:val="none"/>
              </w:rPr>
            </w:pPr>
            <w:r>
              <w:rPr>
                <w:rFonts w:hint="eastAsia" w:ascii="宋体" w:hAnsi="宋体"/>
                <w:b/>
                <w:bCs/>
                <w:szCs w:val="21"/>
                <w:highlight w:val="none"/>
              </w:rPr>
              <w:t>项目最高限价（</w:t>
            </w:r>
            <w:r>
              <w:rPr>
                <w:rFonts w:hint="eastAsia" w:ascii="宋体" w:hAnsi="宋体"/>
                <w:b/>
                <w:bCs/>
                <w:szCs w:val="21"/>
                <w:highlight w:val="none"/>
                <w:u w:val="single"/>
              </w:rPr>
              <w:t>单位：元</w:t>
            </w:r>
            <w:r>
              <w:rPr>
                <w:rFonts w:hint="eastAsia" w:ascii="宋体" w:hAnsi="宋体"/>
                <w:b/>
                <w:bCs/>
                <w:szCs w:val="21"/>
                <w:highlight w:val="none"/>
              </w:rPr>
              <w:t>）</w:t>
            </w:r>
          </w:p>
        </w:tc>
      </w:tr>
      <w:tr w14:paraId="297FD6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tcBorders>
              <w:tl2br w:val="nil"/>
              <w:tr2bl w:val="nil"/>
            </w:tcBorders>
            <w:vAlign w:val="center"/>
          </w:tcPr>
          <w:p w14:paraId="5A2C1141">
            <w:pPr>
              <w:jc w:val="center"/>
              <w:rPr>
                <w:rFonts w:ascii="宋体" w:hAnsi="宋体"/>
                <w:szCs w:val="21"/>
              </w:rPr>
            </w:pPr>
          </w:p>
        </w:tc>
        <w:tc>
          <w:tcPr>
            <w:tcW w:w="7532" w:type="dxa"/>
            <w:gridSpan w:val="2"/>
            <w:tcBorders>
              <w:tl2br w:val="nil"/>
              <w:tr2bl w:val="nil"/>
            </w:tcBorders>
            <w:vAlign w:val="center"/>
          </w:tcPr>
          <w:p w14:paraId="4B0E95A1">
            <w:pPr>
              <w:rPr>
                <w:rFonts w:hint="default" w:ascii="宋体" w:hAnsi="宋体" w:eastAsia="宋体"/>
                <w:b/>
                <w:bCs/>
                <w:szCs w:val="21"/>
                <w:lang w:val="en-US" w:eastAsia="zh-CN"/>
              </w:rPr>
            </w:pPr>
            <w:r>
              <w:rPr>
                <w:rFonts w:hint="eastAsia" w:ascii="宋体" w:hAnsi="宋体"/>
                <w:b w:val="0"/>
                <w:bCs w:val="0"/>
                <w:color w:val="auto"/>
                <w:sz w:val="21"/>
                <w:szCs w:val="21"/>
                <w:highlight w:val="none"/>
              </w:rPr>
              <w:t>与项目预算一致</w:t>
            </w:r>
            <w:r>
              <w:rPr>
                <w:rFonts w:hint="eastAsia" w:ascii="宋体" w:hAnsi="宋体"/>
                <w:b w:val="0"/>
                <w:bCs w:val="0"/>
                <w:color w:val="auto"/>
                <w:sz w:val="21"/>
                <w:szCs w:val="21"/>
                <w:highlight w:val="none"/>
                <w:lang w:eastAsia="zh-CN"/>
              </w:rPr>
              <w:t>。</w:t>
            </w:r>
          </w:p>
        </w:tc>
      </w:tr>
      <w:tr w14:paraId="5559185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restart"/>
            <w:tcBorders>
              <w:tl2br w:val="nil"/>
              <w:tr2bl w:val="nil"/>
            </w:tcBorders>
            <w:vAlign w:val="center"/>
          </w:tcPr>
          <w:p w14:paraId="08075079">
            <w:pPr>
              <w:jc w:val="center"/>
              <w:rPr>
                <w:rFonts w:ascii="宋体" w:hAnsi="宋体"/>
                <w:szCs w:val="21"/>
              </w:rPr>
            </w:pPr>
            <w:r>
              <w:rPr>
                <w:rFonts w:hint="eastAsia" w:ascii="宋体" w:hAnsi="宋体"/>
                <w:szCs w:val="21"/>
              </w:rPr>
              <w:t>2</w:t>
            </w:r>
          </w:p>
        </w:tc>
        <w:tc>
          <w:tcPr>
            <w:tcW w:w="7532" w:type="dxa"/>
            <w:gridSpan w:val="2"/>
            <w:tcBorders>
              <w:tl2br w:val="nil"/>
              <w:tr2bl w:val="nil"/>
            </w:tcBorders>
            <w:vAlign w:val="center"/>
          </w:tcPr>
          <w:p w14:paraId="08124F00">
            <w:pPr>
              <w:rPr>
                <w:rFonts w:ascii="宋体" w:hAnsi="宋体"/>
                <w:b/>
                <w:bCs/>
                <w:szCs w:val="21"/>
              </w:rPr>
            </w:pPr>
            <w:r>
              <w:rPr>
                <w:rFonts w:hint="eastAsia" w:ascii="宋体" w:hAnsi="宋体"/>
                <w:b/>
                <w:bCs/>
                <w:szCs w:val="21"/>
              </w:rPr>
              <w:t>发包方式</w:t>
            </w:r>
          </w:p>
        </w:tc>
      </w:tr>
      <w:tr w14:paraId="7CE2478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tcBorders>
              <w:tl2br w:val="nil"/>
              <w:tr2bl w:val="nil"/>
            </w:tcBorders>
            <w:vAlign w:val="center"/>
          </w:tcPr>
          <w:p w14:paraId="303F3D3D">
            <w:pPr>
              <w:jc w:val="center"/>
              <w:rPr>
                <w:rFonts w:ascii="宋体" w:hAnsi="宋体"/>
                <w:szCs w:val="21"/>
              </w:rPr>
            </w:pPr>
          </w:p>
        </w:tc>
        <w:tc>
          <w:tcPr>
            <w:tcW w:w="7532" w:type="dxa"/>
            <w:gridSpan w:val="2"/>
            <w:tcBorders>
              <w:tl2br w:val="nil"/>
              <w:tr2bl w:val="nil"/>
            </w:tcBorders>
            <w:vAlign w:val="center"/>
          </w:tcPr>
          <w:p w14:paraId="42E243B3">
            <w:pPr>
              <w:rPr>
                <w:rFonts w:ascii="宋体" w:hAnsi="宋体"/>
                <w:b/>
                <w:bCs/>
                <w:szCs w:val="21"/>
              </w:rPr>
            </w:pPr>
            <w:r>
              <w:rPr>
                <w:rFonts w:hint="eastAsia" w:ascii="宋体" w:hAnsi="宋体"/>
                <w:szCs w:val="21"/>
              </w:rPr>
              <w:sym w:font="Wingdings 2" w:char="0052"/>
            </w:r>
            <w:r>
              <w:rPr>
                <w:rFonts w:hint="eastAsia" w:ascii="宋体" w:hAnsi="宋体"/>
                <w:b/>
                <w:bCs/>
                <w:szCs w:val="21"/>
              </w:rPr>
              <w:t>固定总价包干；</w:t>
            </w:r>
          </w:p>
          <w:p w14:paraId="092A3F06">
            <w:pPr>
              <w:rPr>
                <w:rFonts w:ascii="宋体" w:hAnsi="宋体"/>
                <w:b/>
                <w:bCs/>
                <w:szCs w:val="21"/>
              </w:rPr>
            </w:pPr>
            <w:r>
              <w:rPr>
                <w:rFonts w:hint="eastAsia" w:ascii="宋体" w:hAnsi="宋体"/>
                <w:szCs w:val="21"/>
              </w:rPr>
              <w:sym w:font="Wingdings 2" w:char="00A3"/>
            </w:r>
            <w:r>
              <w:rPr>
                <w:rFonts w:hint="eastAsia" w:ascii="宋体" w:hAnsi="宋体"/>
                <w:b/>
                <w:bCs/>
                <w:szCs w:val="21"/>
              </w:rPr>
              <w:t>固定单价暂定总价包干；</w:t>
            </w:r>
          </w:p>
          <w:p w14:paraId="7E5C8F79">
            <w:pPr>
              <w:rPr>
                <w:rFonts w:ascii="宋体" w:hAnsi="宋体"/>
                <w:b/>
                <w:bCs/>
                <w:szCs w:val="21"/>
                <w:u w:val="single"/>
              </w:rPr>
            </w:pPr>
            <w:r>
              <w:rPr>
                <w:rFonts w:hint="eastAsia" w:ascii="宋体" w:hAnsi="宋体"/>
                <w:szCs w:val="21"/>
              </w:rPr>
              <w:sym w:font="Wingdings 2" w:char="00A3"/>
            </w:r>
            <w:r>
              <w:rPr>
                <w:rFonts w:hint="eastAsia" w:ascii="宋体" w:hAnsi="宋体"/>
                <w:b/>
                <w:bCs/>
                <w:szCs w:val="21"/>
              </w:rPr>
              <w:t>费率</w:t>
            </w:r>
            <w:r>
              <w:rPr>
                <w:rFonts w:hint="eastAsia" w:ascii="宋体" w:hAnsi="宋体"/>
                <w:b/>
                <w:bCs/>
                <w:szCs w:val="21"/>
                <w:u w:val="single"/>
              </w:rPr>
              <w:t xml:space="preserve">         ；</w:t>
            </w:r>
          </w:p>
          <w:p w14:paraId="68BB1976">
            <w:pPr>
              <w:rPr>
                <w:rFonts w:ascii="宋体" w:hAnsi="宋体"/>
                <w:b/>
                <w:bCs/>
                <w:szCs w:val="21"/>
              </w:rPr>
            </w:pPr>
            <w:r>
              <w:rPr>
                <w:rFonts w:hint="eastAsia" w:ascii="宋体" w:hAnsi="宋体"/>
                <w:szCs w:val="21"/>
              </w:rPr>
              <w:sym w:font="Wingdings 2" w:char="00A3"/>
            </w:r>
            <w:r>
              <w:rPr>
                <w:rFonts w:hint="eastAsia" w:ascii="宋体" w:hAnsi="宋体"/>
                <w:b/>
                <w:bCs/>
                <w:szCs w:val="21"/>
              </w:rPr>
              <w:t>其他</w:t>
            </w:r>
            <w:r>
              <w:rPr>
                <w:rFonts w:hint="eastAsia" w:ascii="宋体" w:hAnsi="宋体"/>
                <w:b/>
                <w:bCs/>
                <w:szCs w:val="21"/>
                <w:u w:val="single"/>
              </w:rPr>
              <w:t xml:space="preserve">           </w:t>
            </w:r>
            <w:r>
              <w:rPr>
                <w:rFonts w:hint="eastAsia" w:ascii="宋体" w:hAnsi="宋体"/>
                <w:b/>
                <w:bCs/>
                <w:szCs w:val="21"/>
              </w:rPr>
              <w:t>；</w:t>
            </w:r>
          </w:p>
        </w:tc>
      </w:tr>
      <w:tr w14:paraId="0606660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restart"/>
            <w:tcBorders>
              <w:tl2br w:val="nil"/>
              <w:tr2bl w:val="nil"/>
            </w:tcBorders>
            <w:vAlign w:val="center"/>
          </w:tcPr>
          <w:p w14:paraId="754AEBC8">
            <w:pPr>
              <w:jc w:val="center"/>
              <w:rPr>
                <w:rFonts w:ascii="宋体" w:hAnsi="宋体"/>
                <w:szCs w:val="21"/>
              </w:rPr>
            </w:pPr>
            <w:r>
              <w:rPr>
                <w:rFonts w:hint="eastAsia" w:ascii="宋体" w:hAnsi="宋体"/>
                <w:szCs w:val="21"/>
              </w:rPr>
              <w:t>3</w:t>
            </w:r>
          </w:p>
        </w:tc>
        <w:tc>
          <w:tcPr>
            <w:tcW w:w="7532" w:type="dxa"/>
            <w:gridSpan w:val="2"/>
            <w:tcBorders>
              <w:tl2br w:val="nil"/>
              <w:tr2bl w:val="nil"/>
            </w:tcBorders>
            <w:vAlign w:val="center"/>
          </w:tcPr>
          <w:p w14:paraId="585DAEBC">
            <w:pPr>
              <w:rPr>
                <w:rFonts w:ascii="宋体" w:hAnsi="宋体"/>
                <w:b/>
                <w:bCs/>
                <w:szCs w:val="21"/>
              </w:rPr>
            </w:pPr>
            <w:r>
              <w:rPr>
                <w:rFonts w:hint="eastAsia" w:ascii="宋体" w:hAnsi="宋体"/>
                <w:b/>
                <w:bCs/>
                <w:szCs w:val="21"/>
              </w:rPr>
              <w:t>是否接受联合体投标</w:t>
            </w:r>
          </w:p>
        </w:tc>
      </w:tr>
      <w:tr w14:paraId="500D2762">
        <w:tblPrEx>
          <w:tblCellMar>
            <w:top w:w="0" w:type="dxa"/>
            <w:left w:w="28" w:type="dxa"/>
            <w:bottom w:w="0" w:type="dxa"/>
            <w:right w:w="28" w:type="dxa"/>
          </w:tblCellMar>
        </w:tblPrEx>
        <w:trPr>
          <w:trHeight w:val="472" w:hRule="atLeast"/>
        </w:trPr>
        <w:tc>
          <w:tcPr>
            <w:tcW w:w="878" w:type="dxa"/>
            <w:vMerge w:val="continue"/>
            <w:tcBorders>
              <w:tl2br w:val="nil"/>
              <w:tr2bl w:val="nil"/>
            </w:tcBorders>
            <w:vAlign w:val="center"/>
          </w:tcPr>
          <w:p w14:paraId="7423331B">
            <w:pPr>
              <w:jc w:val="center"/>
              <w:rPr>
                <w:rFonts w:ascii="宋体" w:hAnsi="宋体"/>
                <w:szCs w:val="21"/>
              </w:rPr>
            </w:pPr>
          </w:p>
        </w:tc>
        <w:tc>
          <w:tcPr>
            <w:tcW w:w="7532" w:type="dxa"/>
            <w:gridSpan w:val="2"/>
            <w:tcBorders>
              <w:tl2br w:val="nil"/>
              <w:tr2bl w:val="nil"/>
            </w:tcBorders>
            <w:vAlign w:val="center"/>
          </w:tcPr>
          <w:p w14:paraId="3ECC45BD">
            <w:pPr>
              <w:pStyle w:val="43"/>
              <w:ind w:firstLine="0" w:firstLineChars="0"/>
              <w:rPr>
                <w:rFonts w:ascii="宋体" w:hAnsi="宋体" w:cs="宋体"/>
                <w:szCs w:val="21"/>
              </w:rPr>
            </w:pPr>
            <w:r>
              <w:rPr>
                <w:rFonts w:hint="eastAsia" w:ascii="宋体" w:hAnsi="宋体"/>
                <w:szCs w:val="21"/>
              </w:rPr>
              <w:sym w:font="Wingdings 2" w:char="00A3"/>
            </w:r>
            <w:r>
              <w:rPr>
                <w:rFonts w:hint="eastAsia" w:ascii="宋体" w:hAnsi="宋体" w:cs="宋体"/>
                <w:szCs w:val="21"/>
              </w:rPr>
              <w:t>是，</w:t>
            </w:r>
            <w:r>
              <w:rPr>
                <w:rFonts w:hint="eastAsia" w:ascii="宋体" w:hAnsi="宋体"/>
                <w:szCs w:val="21"/>
              </w:rPr>
              <w:t>联合体投标的，应满足下列要求：</w:t>
            </w:r>
            <w:r>
              <w:rPr>
                <w:rFonts w:ascii="宋体" w:hAnsi="宋体"/>
                <w:szCs w:val="21"/>
                <w:u w:val="single"/>
              </w:rPr>
              <w:t xml:space="preserve">         </w:t>
            </w:r>
            <w:r>
              <w:rPr>
                <w:rFonts w:hint="eastAsia" w:ascii="宋体" w:hAnsi="宋体" w:cs="宋体"/>
                <w:szCs w:val="21"/>
              </w:rPr>
              <w:t>；</w:t>
            </w:r>
          </w:p>
          <w:p w14:paraId="1248A9DF">
            <w:pPr>
              <w:rPr>
                <w:rFonts w:ascii="宋体" w:hAnsi="宋体"/>
                <w:b/>
                <w:bCs/>
                <w:szCs w:val="21"/>
              </w:rPr>
            </w:pPr>
            <w:r>
              <w:rPr>
                <w:rFonts w:hint="eastAsia" w:ascii="宋体" w:hAnsi="宋体"/>
                <w:szCs w:val="21"/>
              </w:rPr>
              <w:sym w:font="Wingdings 2" w:char="0052"/>
            </w:r>
            <w:r>
              <w:rPr>
                <w:rFonts w:hint="eastAsia" w:ascii="宋体" w:hAnsi="宋体" w:cs="宋体"/>
                <w:szCs w:val="21"/>
              </w:rPr>
              <w:t>否；</w:t>
            </w:r>
          </w:p>
        </w:tc>
      </w:tr>
      <w:tr w14:paraId="2D65D6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tcBorders>
              <w:tl2br w:val="nil"/>
              <w:tr2bl w:val="nil"/>
            </w:tcBorders>
            <w:vAlign w:val="center"/>
          </w:tcPr>
          <w:p w14:paraId="6C51AFF1">
            <w:pPr>
              <w:jc w:val="center"/>
              <w:rPr>
                <w:rFonts w:ascii="宋体" w:hAnsi="宋体"/>
                <w:szCs w:val="21"/>
              </w:rPr>
            </w:pPr>
            <w:r>
              <w:rPr>
                <w:rFonts w:hint="eastAsia" w:ascii="宋体" w:hAnsi="宋体"/>
                <w:szCs w:val="21"/>
              </w:rPr>
              <w:t>4</w:t>
            </w:r>
          </w:p>
        </w:tc>
        <w:tc>
          <w:tcPr>
            <w:tcW w:w="7532" w:type="dxa"/>
            <w:gridSpan w:val="2"/>
            <w:tcBorders>
              <w:tl2br w:val="nil"/>
              <w:tr2bl w:val="nil"/>
            </w:tcBorders>
            <w:vAlign w:val="center"/>
          </w:tcPr>
          <w:p w14:paraId="110EE81F">
            <w:pPr>
              <w:rPr>
                <w:rFonts w:ascii="宋体" w:hAnsi="宋体"/>
                <w:b/>
                <w:bCs/>
                <w:szCs w:val="21"/>
              </w:rPr>
            </w:pPr>
            <w:r>
              <w:rPr>
                <w:rFonts w:hint="eastAsia" w:ascii="宋体" w:hAnsi="宋体"/>
                <w:b/>
                <w:bCs/>
                <w:szCs w:val="21"/>
              </w:rPr>
              <w:t>资金来源</w:t>
            </w:r>
          </w:p>
        </w:tc>
      </w:tr>
      <w:tr w14:paraId="3AA862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tcBorders>
              <w:tl2br w:val="nil"/>
              <w:tr2bl w:val="nil"/>
            </w:tcBorders>
            <w:vAlign w:val="center"/>
          </w:tcPr>
          <w:p w14:paraId="3F8444F3">
            <w:pPr>
              <w:jc w:val="center"/>
              <w:rPr>
                <w:rFonts w:ascii="宋体" w:hAnsi="宋体"/>
                <w:szCs w:val="21"/>
              </w:rPr>
            </w:pPr>
          </w:p>
        </w:tc>
        <w:tc>
          <w:tcPr>
            <w:tcW w:w="7532" w:type="dxa"/>
            <w:gridSpan w:val="2"/>
            <w:tcBorders>
              <w:tl2br w:val="nil"/>
              <w:tr2bl w:val="nil"/>
            </w:tcBorders>
            <w:vAlign w:val="center"/>
          </w:tcPr>
          <w:p w14:paraId="6B0E4939">
            <w:pPr>
              <w:rPr>
                <w:rFonts w:ascii="宋体" w:hAnsi="宋体"/>
                <w:b/>
                <w:bCs/>
                <w:szCs w:val="21"/>
              </w:rPr>
            </w:pPr>
            <w:r>
              <w:rPr>
                <w:rFonts w:hint="eastAsia" w:ascii="宋体" w:hAnsi="宋体"/>
                <w:szCs w:val="21"/>
                <w:u w:val="single"/>
              </w:rPr>
              <w:t>自筹资金。</w:t>
            </w:r>
          </w:p>
        </w:tc>
      </w:tr>
      <w:tr w14:paraId="1004CA1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tcBorders>
              <w:tl2br w:val="nil"/>
              <w:tr2bl w:val="nil"/>
            </w:tcBorders>
            <w:vAlign w:val="center"/>
          </w:tcPr>
          <w:p w14:paraId="05A36666">
            <w:pPr>
              <w:jc w:val="center"/>
              <w:rPr>
                <w:rFonts w:ascii="宋体" w:hAnsi="宋体"/>
                <w:szCs w:val="21"/>
              </w:rPr>
            </w:pPr>
            <w:r>
              <w:rPr>
                <w:rFonts w:hint="eastAsia" w:ascii="宋体" w:hAnsi="宋体"/>
                <w:szCs w:val="21"/>
              </w:rPr>
              <w:t>5</w:t>
            </w:r>
          </w:p>
        </w:tc>
        <w:tc>
          <w:tcPr>
            <w:tcW w:w="7532" w:type="dxa"/>
            <w:gridSpan w:val="2"/>
            <w:tcBorders>
              <w:tl2br w:val="nil"/>
              <w:tr2bl w:val="nil"/>
            </w:tcBorders>
            <w:vAlign w:val="center"/>
          </w:tcPr>
          <w:p w14:paraId="3AB95BB8">
            <w:pPr>
              <w:rPr>
                <w:rFonts w:ascii="宋体" w:hAnsi="宋体"/>
                <w:b/>
                <w:szCs w:val="21"/>
              </w:rPr>
            </w:pPr>
            <w:r>
              <w:rPr>
                <w:rFonts w:hint="eastAsia" w:ascii="宋体" w:hAnsi="宋体"/>
                <w:b/>
                <w:szCs w:val="21"/>
              </w:rPr>
              <w:t>踏勘现场</w:t>
            </w:r>
          </w:p>
        </w:tc>
      </w:tr>
      <w:tr w14:paraId="3A5ABC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tcBorders>
              <w:tl2br w:val="nil"/>
              <w:tr2bl w:val="nil"/>
            </w:tcBorders>
            <w:vAlign w:val="center"/>
          </w:tcPr>
          <w:p w14:paraId="3B97753D">
            <w:pPr>
              <w:jc w:val="center"/>
              <w:rPr>
                <w:rFonts w:ascii="宋体" w:hAnsi="宋体"/>
                <w:szCs w:val="21"/>
              </w:rPr>
            </w:pPr>
          </w:p>
        </w:tc>
        <w:tc>
          <w:tcPr>
            <w:tcW w:w="7532" w:type="dxa"/>
            <w:gridSpan w:val="2"/>
            <w:tcBorders>
              <w:tl2br w:val="nil"/>
              <w:tr2bl w:val="nil"/>
            </w:tcBorders>
            <w:vAlign w:val="center"/>
          </w:tcPr>
          <w:p w14:paraId="1C50D241">
            <w:pPr>
              <w:rPr>
                <w:rFonts w:ascii="宋体" w:hAnsi="宋体"/>
                <w:bCs/>
                <w:szCs w:val="21"/>
              </w:rPr>
            </w:pPr>
            <w:r>
              <w:rPr>
                <w:rFonts w:hint="eastAsia" w:ascii="宋体" w:hAnsi="宋体"/>
                <w:bCs/>
                <w:szCs w:val="21"/>
                <w:lang w:eastAsia="zh-CN"/>
              </w:rPr>
              <w:t>☑</w:t>
            </w:r>
            <w:r>
              <w:rPr>
                <w:rFonts w:hint="eastAsia" w:ascii="宋体" w:hAnsi="宋体"/>
                <w:bCs/>
                <w:szCs w:val="21"/>
              </w:rPr>
              <w:t>不组织 。</w:t>
            </w:r>
          </w:p>
          <w:p w14:paraId="62AE05BA">
            <w:pPr>
              <w:rPr>
                <w:rFonts w:ascii="宋体" w:hAnsi="宋体"/>
                <w:bCs/>
                <w:szCs w:val="21"/>
              </w:rPr>
            </w:pPr>
            <w:r>
              <w:rPr>
                <w:rFonts w:hint="eastAsia" w:ascii="宋体" w:hAnsi="宋体"/>
                <w:bCs/>
                <w:szCs w:val="21"/>
              </w:rPr>
              <w:t>□组织，踏勘现场时间、地点：</w:t>
            </w:r>
            <w:r>
              <w:rPr>
                <w:rFonts w:hint="eastAsia" w:ascii="宋体" w:hAnsi="宋体"/>
                <w:bCs/>
                <w:szCs w:val="21"/>
                <w:u w:val="single"/>
              </w:rPr>
              <w:t xml:space="preserve">         </w:t>
            </w:r>
            <w:r>
              <w:rPr>
                <w:rFonts w:hint="eastAsia" w:ascii="宋体" w:hAnsi="宋体"/>
                <w:bCs/>
                <w:szCs w:val="21"/>
              </w:rPr>
              <w:t xml:space="preserve">。 </w:t>
            </w:r>
          </w:p>
        </w:tc>
      </w:tr>
      <w:tr w14:paraId="08344C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cantSplit/>
          <w:trHeight w:val="629" w:hRule="atLeast"/>
        </w:trPr>
        <w:tc>
          <w:tcPr>
            <w:tcW w:w="8410" w:type="dxa"/>
            <w:gridSpan w:val="3"/>
            <w:tcBorders>
              <w:tl2br w:val="nil"/>
              <w:tr2bl w:val="nil"/>
            </w:tcBorders>
            <w:vAlign w:val="center"/>
          </w:tcPr>
          <w:p w14:paraId="4ADDF54A">
            <w:pPr>
              <w:jc w:val="center"/>
              <w:rPr>
                <w:rFonts w:ascii="宋体" w:hAnsi="宋体"/>
                <w:b/>
                <w:szCs w:val="21"/>
              </w:rPr>
            </w:pPr>
            <w:r>
              <w:rPr>
                <w:rFonts w:hint="eastAsia" w:ascii="宋体" w:hAnsi="宋体"/>
                <w:b/>
                <w:szCs w:val="21"/>
              </w:rPr>
              <w:t>二、投标文件的编制</w:t>
            </w:r>
          </w:p>
        </w:tc>
      </w:tr>
      <w:tr w14:paraId="70DE18C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tcBorders>
              <w:tl2br w:val="nil"/>
              <w:tr2bl w:val="nil"/>
            </w:tcBorders>
            <w:vAlign w:val="center"/>
          </w:tcPr>
          <w:p w14:paraId="3929F09E">
            <w:pPr>
              <w:jc w:val="center"/>
              <w:rPr>
                <w:rFonts w:ascii="宋体" w:hAnsi="宋体"/>
                <w:szCs w:val="21"/>
              </w:rPr>
            </w:pPr>
            <w:r>
              <w:rPr>
                <w:rFonts w:hint="eastAsia" w:ascii="宋体" w:hAnsi="宋体"/>
                <w:szCs w:val="21"/>
              </w:rPr>
              <w:t>6</w:t>
            </w:r>
          </w:p>
        </w:tc>
        <w:tc>
          <w:tcPr>
            <w:tcW w:w="7532" w:type="dxa"/>
            <w:gridSpan w:val="2"/>
            <w:tcBorders>
              <w:tl2br w:val="nil"/>
              <w:tr2bl w:val="nil"/>
            </w:tcBorders>
            <w:vAlign w:val="center"/>
          </w:tcPr>
          <w:p w14:paraId="28A7353A">
            <w:pPr>
              <w:rPr>
                <w:rFonts w:ascii="宋体" w:hAnsi="宋体"/>
                <w:b/>
                <w:szCs w:val="21"/>
              </w:rPr>
            </w:pPr>
            <w:r>
              <w:rPr>
                <w:rFonts w:hint="eastAsia" w:ascii="宋体" w:hAnsi="宋体"/>
                <w:b/>
                <w:szCs w:val="21"/>
              </w:rPr>
              <w:t>投标语言</w:t>
            </w:r>
          </w:p>
        </w:tc>
      </w:tr>
      <w:tr w14:paraId="29786D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tcBorders>
              <w:tl2br w:val="nil"/>
              <w:tr2bl w:val="nil"/>
            </w:tcBorders>
            <w:vAlign w:val="center"/>
          </w:tcPr>
          <w:p w14:paraId="12ABE96D">
            <w:pPr>
              <w:jc w:val="center"/>
              <w:rPr>
                <w:rFonts w:ascii="宋体" w:hAnsi="宋体"/>
                <w:szCs w:val="21"/>
              </w:rPr>
            </w:pPr>
          </w:p>
        </w:tc>
        <w:tc>
          <w:tcPr>
            <w:tcW w:w="7532" w:type="dxa"/>
            <w:gridSpan w:val="2"/>
            <w:tcBorders>
              <w:tl2br w:val="nil"/>
              <w:tr2bl w:val="nil"/>
            </w:tcBorders>
            <w:vAlign w:val="center"/>
          </w:tcPr>
          <w:p w14:paraId="39A5C8D1">
            <w:pPr>
              <w:rPr>
                <w:rFonts w:ascii="宋体" w:hAnsi="宋体"/>
                <w:b/>
                <w:szCs w:val="21"/>
              </w:rPr>
            </w:pPr>
            <w:r>
              <w:rPr>
                <w:rFonts w:hint="eastAsia" w:ascii="宋体" w:hAnsi="宋体"/>
                <w:szCs w:val="21"/>
              </w:rPr>
              <w:t>中文。</w:t>
            </w:r>
          </w:p>
        </w:tc>
      </w:tr>
      <w:tr w14:paraId="081AAC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tcBorders>
              <w:tl2br w:val="nil"/>
              <w:tr2bl w:val="nil"/>
            </w:tcBorders>
            <w:vAlign w:val="center"/>
          </w:tcPr>
          <w:p w14:paraId="7D4C600B">
            <w:pPr>
              <w:jc w:val="center"/>
              <w:rPr>
                <w:rFonts w:ascii="宋体" w:hAnsi="宋体"/>
                <w:szCs w:val="21"/>
              </w:rPr>
            </w:pPr>
            <w:r>
              <w:rPr>
                <w:rFonts w:hint="eastAsia" w:ascii="宋体" w:hAnsi="宋体"/>
                <w:szCs w:val="21"/>
              </w:rPr>
              <w:t>7</w:t>
            </w:r>
          </w:p>
        </w:tc>
        <w:tc>
          <w:tcPr>
            <w:tcW w:w="7532" w:type="dxa"/>
            <w:gridSpan w:val="2"/>
            <w:tcBorders>
              <w:tl2br w:val="nil"/>
              <w:tr2bl w:val="nil"/>
            </w:tcBorders>
            <w:vAlign w:val="center"/>
          </w:tcPr>
          <w:p w14:paraId="08CFD6E6">
            <w:pPr>
              <w:jc w:val="both"/>
              <w:rPr>
                <w:rFonts w:ascii="宋体" w:hAnsi="宋体"/>
                <w:b/>
                <w:szCs w:val="21"/>
              </w:rPr>
            </w:pPr>
            <w:r>
              <w:rPr>
                <w:rFonts w:hint="eastAsia" w:ascii="宋体" w:hAnsi="宋体"/>
                <w:b/>
                <w:szCs w:val="21"/>
              </w:rPr>
              <w:t>投标报价</w:t>
            </w:r>
          </w:p>
        </w:tc>
      </w:tr>
      <w:tr w14:paraId="1196E3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tcBorders>
              <w:tl2br w:val="nil"/>
              <w:tr2bl w:val="nil"/>
            </w:tcBorders>
            <w:vAlign w:val="center"/>
          </w:tcPr>
          <w:p w14:paraId="3FF60FF3">
            <w:pPr>
              <w:jc w:val="center"/>
              <w:rPr>
                <w:rFonts w:ascii="宋体" w:hAnsi="宋体"/>
                <w:szCs w:val="21"/>
              </w:rPr>
            </w:pPr>
          </w:p>
        </w:tc>
        <w:tc>
          <w:tcPr>
            <w:tcW w:w="7532" w:type="dxa"/>
            <w:gridSpan w:val="2"/>
            <w:tcBorders>
              <w:tl2br w:val="nil"/>
              <w:tr2bl w:val="nil"/>
            </w:tcBorders>
            <w:vAlign w:val="center"/>
          </w:tcPr>
          <w:p w14:paraId="46B63AD7">
            <w:pPr>
              <w:jc w:val="both"/>
              <w:rPr>
                <w:rFonts w:ascii="宋体" w:hAnsi="宋体"/>
                <w:szCs w:val="21"/>
              </w:rPr>
            </w:pPr>
            <w:r>
              <w:rPr>
                <w:rFonts w:hint="eastAsia" w:ascii="宋体" w:hAnsi="宋体"/>
                <w:szCs w:val="21"/>
              </w:rPr>
              <w:t>详见投标人须知。</w:t>
            </w:r>
          </w:p>
        </w:tc>
      </w:tr>
      <w:tr w14:paraId="38F4414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0" w:hRule="atLeast"/>
        </w:trPr>
        <w:tc>
          <w:tcPr>
            <w:tcW w:w="878" w:type="dxa"/>
            <w:vMerge w:val="restart"/>
            <w:tcBorders>
              <w:tl2br w:val="nil"/>
              <w:tr2bl w:val="nil"/>
            </w:tcBorders>
            <w:vAlign w:val="center"/>
          </w:tcPr>
          <w:p w14:paraId="0F973527">
            <w:pPr>
              <w:jc w:val="center"/>
              <w:rPr>
                <w:rFonts w:ascii="宋体" w:hAnsi="宋体"/>
                <w:szCs w:val="21"/>
              </w:rPr>
            </w:pPr>
            <w:r>
              <w:rPr>
                <w:rFonts w:hint="eastAsia" w:ascii="宋体" w:hAnsi="宋体"/>
                <w:szCs w:val="21"/>
              </w:rPr>
              <w:t>8</w:t>
            </w:r>
          </w:p>
        </w:tc>
        <w:tc>
          <w:tcPr>
            <w:tcW w:w="7532" w:type="dxa"/>
            <w:gridSpan w:val="2"/>
            <w:tcBorders>
              <w:tl2br w:val="nil"/>
              <w:tr2bl w:val="nil"/>
            </w:tcBorders>
            <w:vAlign w:val="center"/>
          </w:tcPr>
          <w:p w14:paraId="44EB28B0">
            <w:pPr>
              <w:jc w:val="both"/>
              <w:rPr>
                <w:rFonts w:ascii="宋体" w:hAnsi="宋体"/>
                <w:b/>
                <w:szCs w:val="21"/>
              </w:rPr>
            </w:pPr>
            <w:r>
              <w:rPr>
                <w:rFonts w:hint="eastAsia" w:ascii="宋体" w:hAnsi="宋体"/>
                <w:b/>
                <w:szCs w:val="21"/>
              </w:rPr>
              <w:t>投标保证金</w:t>
            </w:r>
          </w:p>
        </w:tc>
      </w:tr>
      <w:tr w14:paraId="4FE522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0" w:hRule="atLeast"/>
        </w:trPr>
        <w:tc>
          <w:tcPr>
            <w:tcW w:w="878" w:type="dxa"/>
            <w:vMerge w:val="continue"/>
            <w:tcBorders>
              <w:tl2br w:val="nil"/>
              <w:tr2bl w:val="nil"/>
            </w:tcBorders>
            <w:vAlign w:val="center"/>
          </w:tcPr>
          <w:p w14:paraId="6217870E">
            <w:pPr>
              <w:jc w:val="center"/>
              <w:rPr>
                <w:rFonts w:ascii="宋体" w:hAnsi="宋体"/>
                <w:szCs w:val="21"/>
              </w:rPr>
            </w:pPr>
          </w:p>
        </w:tc>
        <w:tc>
          <w:tcPr>
            <w:tcW w:w="7532" w:type="dxa"/>
            <w:gridSpan w:val="2"/>
            <w:tcBorders>
              <w:tl2br w:val="nil"/>
              <w:tr2bl w:val="nil"/>
            </w:tcBorders>
            <w:vAlign w:val="center"/>
          </w:tcPr>
          <w:p w14:paraId="6398C497">
            <w:pPr>
              <w:jc w:val="both"/>
              <w:rPr>
                <w:rFonts w:ascii="宋体" w:hAnsi="宋体"/>
                <w:szCs w:val="21"/>
              </w:rPr>
            </w:pPr>
            <w:r>
              <w:rPr>
                <w:rFonts w:hint="eastAsia" w:ascii="宋体" w:hAnsi="宋体"/>
                <w:szCs w:val="21"/>
              </w:rPr>
              <w:t>（1）投标保证金金额：人民币</w:t>
            </w:r>
            <w:r>
              <w:rPr>
                <w:rFonts w:hint="eastAsia" w:ascii="宋体" w:hAnsi="宋体"/>
                <w:b/>
                <w:szCs w:val="21"/>
              </w:rPr>
              <w:t>（大写）</w:t>
            </w:r>
            <w:r>
              <w:rPr>
                <w:rFonts w:hint="eastAsia" w:ascii="宋体" w:hAnsi="宋体"/>
                <w:b/>
                <w:szCs w:val="21"/>
                <w:u w:val="single"/>
                <w:lang w:val="en-US" w:eastAsia="zh-CN"/>
              </w:rPr>
              <w:t>壹万肆仟元整</w:t>
            </w:r>
            <w:r>
              <w:rPr>
                <w:rFonts w:hint="eastAsia" w:ascii="宋体" w:hAnsi="宋体"/>
                <w:szCs w:val="21"/>
              </w:rPr>
              <w:t>（</w:t>
            </w:r>
            <w:r>
              <w:rPr>
                <w:rFonts w:hint="eastAsia" w:ascii="宋体" w:hAnsi="宋体"/>
                <w:b/>
                <w:bCs/>
                <w:szCs w:val="21"/>
              </w:rPr>
              <w:t>￥</w:t>
            </w:r>
            <w:r>
              <w:rPr>
                <w:rFonts w:hint="eastAsia" w:ascii="宋体" w:hAnsi="宋体"/>
                <w:b/>
                <w:szCs w:val="21"/>
                <w:u w:val="single"/>
              </w:rPr>
              <w:t>14,000</w:t>
            </w:r>
            <w:r>
              <w:rPr>
                <w:rFonts w:hint="eastAsia" w:ascii="宋体" w:hAnsi="宋体"/>
                <w:b/>
                <w:szCs w:val="21"/>
                <w:u w:val="single"/>
                <w:lang w:val="en-US" w:eastAsia="zh-CN"/>
              </w:rPr>
              <w:t>.00</w:t>
            </w:r>
            <w:r>
              <w:rPr>
                <w:rFonts w:hint="eastAsia" w:ascii="宋体" w:hAnsi="宋体"/>
                <w:b/>
                <w:szCs w:val="21"/>
                <w:u w:val="single"/>
              </w:rPr>
              <w:t>元</w:t>
            </w:r>
            <w:r>
              <w:rPr>
                <w:rFonts w:hint="eastAsia" w:ascii="宋体" w:hAnsi="宋体"/>
                <w:szCs w:val="21"/>
              </w:rPr>
              <w:t>）。</w:t>
            </w:r>
          </w:p>
        </w:tc>
      </w:tr>
      <w:tr w14:paraId="37DB2F2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273" w:hRule="atLeast"/>
        </w:trPr>
        <w:tc>
          <w:tcPr>
            <w:tcW w:w="878" w:type="dxa"/>
            <w:vMerge w:val="continue"/>
            <w:tcBorders>
              <w:tl2br w:val="nil"/>
              <w:tr2bl w:val="nil"/>
            </w:tcBorders>
            <w:vAlign w:val="center"/>
          </w:tcPr>
          <w:p w14:paraId="73D91741">
            <w:pPr>
              <w:jc w:val="center"/>
              <w:rPr>
                <w:rFonts w:ascii="宋体" w:hAnsi="宋体"/>
                <w:szCs w:val="21"/>
              </w:rPr>
            </w:pPr>
          </w:p>
        </w:tc>
        <w:tc>
          <w:tcPr>
            <w:tcW w:w="7532" w:type="dxa"/>
            <w:gridSpan w:val="2"/>
            <w:tcBorders>
              <w:tl2br w:val="nil"/>
              <w:tr2bl w:val="nil"/>
            </w:tcBorders>
            <w:vAlign w:val="center"/>
          </w:tcPr>
          <w:p w14:paraId="3719D2C8">
            <w:pPr>
              <w:tabs>
                <w:tab w:val="left" w:pos="567"/>
              </w:tabs>
              <w:jc w:val="both"/>
              <w:rPr>
                <w:rFonts w:hAnsi="宋体"/>
                <w:kern w:val="2"/>
                <w:szCs w:val="21"/>
                <w:lang w:val="zh-CN"/>
              </w:rPr>
            </w:pPr>
            <w:r>
              <w:rPr>
                <w:rFonts w:hint="eastAsia" w:ascii="宋体" w:hAnsi="宋体"/>
                <w:szCs w:val="21"/>
              </w:rPr>
              <w:t>（2）</w:t>
            </w:r>
            <w:r>
              <w:rPr>
                <w:rFonts w:hint="eastAsia" w:hAnsi="宋体"/>
                <w:kern w:val="2"/>
                <w:szCs w:val="21"/>
                <w:lang w:val="zh-CN"/>
              </w:rPr>
              <w:t>投标保证金采用转账、电汇方式提交，应符合以下要求：采用银行转账、电汇方式提交的，保证金汇入以下投标保证金专用账户，不接收由以投标人分支机构、私人账户和其他单位转入的保证金。投标保证金必须在投标文件递交截止前到账，投标保证金未按规定时间到达指定账户或提交金额不足的，将被视为无效投标。且在备注或用途中注明本项目的项目编号。</w:t>
            </w:r>
          </w:p>
          <w:p w14:paraId="3EDA139A">
            <w:pPr>
              <w:tabs>
                <w:tab w:val="left" w:pos="567"/>
              </w:tabs>
              <w:ind w:left="567" w:hanging="567"/>
              <w:jc w:val="both"/>
              <w:rPr>
                <w:rFonts w:hAnsi="宋体"/>
                <w:kern w:val="2"/>
                <w:szCs w:val="21"/>
                <w:lang w:val="zh-CN"/>
              </w:rPr>
            </w:pPr>
            <w:r>
              <w:rPr>
                <w:rFonts w:hint="eastAsia" w:hAnsi="宋体"/>
                <w:kern w:val="2"/>
                <w:szCs w:val="21"/>
                <w:lang w:val="zh-CN"/>
              </w:rPr>
              <w:t>投标保证金专用账户如下：</w:t>
            </w:r>
          </w:p>
          <w:p w14:paraId="0AED8FBC">
            <w:pPr>
              <w:shd w:val="clear"/>
              <w:tabs>
                <w:tab w:val="left" w:pos="567"/>
              </w:tabs>
              <w:ind w:firstLine="420" w:firstLineChars="200"/>
              <w:jc w:val="both"/>
              <w:rPr>
                <w:rFonts w:hAnsi="宋体" w:cs="宋体"/>
                <w:color w:val="auto"/>
                <w:kern w:val="2"/>
                <w:sz w:val="21"/>
                <w:szCs w:val="21"/>
                <w:highlight w:val="none"/>
                <w:lang w:val="zh-CN"/>
              </w:rPr>
            </w:pPr>
            <w:r>
              <w:rPr>
                <w:rFonts w:hint="eastAsia" w:hAnsi="宋体" w:cs="宋体"/>
                <w:color w:val="auto"/>
                <w:kern w:val="2"/>
                <w:sz w:val="21"/>
                <w:szCs w:val="21"/>
                <w:highlight w:val="none"/>
                <w:lang w:val="zh-CN"/>
              </w:rPr>
              <w:t>账户名称：</w:t>
            </w:r>
            <w:r>
              <w:rPr>
                <w:rFonts w:hint="eastAsia" w:hAnsi="宋体" w:cs="宋体"/>
                <w:color w:val="auto"/>
                <w:kern w:val="2"/>
                <w:sz w:val="21"/>
                <w:szCs w:val="21"/>
                <w:highlight w:val="none"/>
                <w:u w:val="single"/>
                <w:lang w:eastAsia="zh-CN"/>
              </w:rPr>
              <w:t>广州宏达工程顾问集团有限公司东莞分公司</w:t>
            </w:r>
            <w:r>
              <w:rPr>
                <w:rFonts w:hint="eastAsia" w:hAnsi="宋体" w:cs="宋体"/>
                <w:color w:val="auto"/>
                <w:kern w:val="2"/>
                <w:sz w:val="21"/>
                <w:szCs w:val="21"/>
                <w:highlight w:val="none"/>
                <w:lang w:val="zh-CN"/>
              </w:rPr>
              <w:t>；</w:t>
            </w:r>
          </w:p>
          <w:p w14:paraId="7CE26981">
            <w:pPr>
              <w:shd w:val="clear"/>
              <w:tabs>
                <w:tab w:val="left" w:pos="567"/>
              </w:tabs>
              <w:ind w:firstLine="420" w:firstLineChars="200"/>
              <w:jc w:val="both"/>
              <w:rPr>
                <w:rFonts w:hAnsi="宋体" w:cs="宋体"/>
                <w:color w:val="auto"/>
                <w:kern w:val="2"/>
                <w:sz w:val="21"/>
                <w:szCs w:val="21"/>
                <w:highlight w:val="none"/>
                <w:lang w:val="zh-CN"/>
              </w:rPr>
            </w:pPr>
            <w:r>
              <w:rPr>
                <w:rFonts w:hint="eastAsia" w:hAnsi="宋体" w:cs="宋体"/>
                <w:color w:val="auto"/>
                <w:kern w:val="2"/>
                <w:sz w:val="21"/>
                <w:szCs w:val="21"/>
                <w:highlight w:val="none"/>
                <w:lang w:val="zh-CN"/>
              </w:rPr>
              <w:t>开户银行：</w:t>
            </w:r>
            <w:r>
              <w:rPr>
                <w:rFonts w:hint="eastAsia" w:hAnsi="宋体" w:cs="宋体"/>
                <w:color w:val="auto"/>
                <w:kern w:val="2"/>
                <w:sz w:val="21"/>
                <w:szCs w:val="21"/>
                <w:highlight w:val="none"/>
                <w:u w:val="single"/>
              </w:rPr>
              <w:t>广发银行股份有限公司东莞城区支行</w:t>
            </w:r>
            <w:r>
              <w:rPr>
                <w:rFonts w:hint="eastAsia" w:hAnsi="宋体" w:cs="宋体"/>
                <w:color w:val="auto"/>
                <w:kern w:val="2"/>
                <w:sz w:val="21"/>
                <w:szCs w:val="21"/>
                <w:highlight w:val="none"/>
                <w:lang w:val="zh-CN"/>
              </w:rPr>
              <w:t>；</w:t>
            </w:r>
          </w:p>
          <w:p w14:paraId="148FBBED">
            <w:pPr>
              <w:shd w:val="clear"/>
              <w:tabs>
                <w:tab w:val="left" w:pos="567"/>
              </w:tabs>
              <w:ind w:firstLine="420" w:firstLineChars="200"/>
              <w:jc w:val="both"/>
              <w:rPr>
                <w:rFonts w:hAnsi="宋体" w:cs="宋体"/>
                <w:color w:val="auto"/>
                <w:kern w:val="2"/>
                <w:sz w:val="21"/>
                <w:szCs w:val="21"/>
                <w:highlight w:val="none"/>
                <w:lang w:val="zh-CN"/>
              </w:rPr>
            </w:pPr>
            <w:r>
              <w:rPr>
                <w:rFonts w:hint="eastAsia" w:hAnsi="宋体" w:cs="宋体"/>
                <w:color w:val="auto"/>
                <w:kern w:val="2"/>
                <w:sz w:val="21"/>
                <w:szCs w:val="21"/>
                <w:highlight w:val="none"/>
                <w:lang w:val="zh-CN"/>
              </w:rPr>
              <w:t>银行账号：</w:t>
            </w:r>
            <w:r>
              <w:rPr>
                <w:rFonts w:hint="eastAsia" w:ascii="宋体" w:hAnsi="宋体" w:eastAsia="宋体" w:cs="宋体"/>
                <w:color w:val="auto"/>
                <w:kern w:val="2"/>
                <w:sz w:val="21"/>
                <w:szCs w:val="21"/>
                <w:highlight w:val="none"/>
                <w:u w:val="single"/>
                <w:lang w:val="en-US" w:eastAsia="zh-CN"/>
              </w:rPr>
              <w:t>6232590699051018701</w:t>
            </w:r>
            <w:r>
              <w:rPr>
                <w:rFonts w:hint="eastAsia" w:hAnsi="宋体" w:cs="宋体"/>
                <w:color w:val="auto"/>
                <w:kern w:val="2"/>
                <w:sz w:val="21"/>
                <w:szCs w:val="21"/>
                <w:highlight w:val="none"/>
                <w:lang w:val="zh-CN"/>
              </w:rPr>
              <w:t>；</w:t>
            </w:r>
          </w:p>
          <w:p w14:paraId="28752F19">
            <w:pPr>
              <w:tabs>
                <w:tab w:val="left" w:pos="567"/>
              </w:tabs>
              <w:ind w:firstLine="422" w:firstLineChars="200"/>
              <w:jc w:val="both"/>
              <w:rPr>
                <w:rFonts w:ascii="宋体" w:hAnsi="宋体"/>
                <w:b/>
                <w:szCs w:val="21"/>
              </w:rPr>
            </w:pPr>
            <w:r>
              <w:rPr>
                <w:rFonts w:hint="eastAsia" w:hAnsi="宋体" w:cs="宋体"/>
                <w:b/>
                <w:szCs w:val="21"/>
              </w:rPr>
              <w:t>（注：各投标人在转</w:t>
            </w:r>
            <w:r>
              <w:rPr>
                <w:rFonts w:hint="eastAsia" w:hAnsi="宋体" w:cs="宋体"/>
                <w:b/>
                <w:szCs w:val="21"/>
                <w:lang w:eastAsia="zh-CN"/>
              </w:rPr>
              <w:t>账</w:t>
            </w:r>
            <w:r>
              <w:rPr>
                <w:rFonts w:hint="eastAsia" w:hAnsi="宋体" w:cs="宋体"/>
                <w:b/>
                <w:szCs w:val="21"/>
              </w:rPr>
              <w:t>或电汇时须在用途栏上备注项目编号，及项目名称，如有字数限制项目名称可简写。）</w:t>
            </w:r>
          </w:p>
        </w:tc>
      </w:tr>
      <w:tr w14:paraId="0EEB4B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520" w:hRule="atLeast"/>
        </w:trPr>
        <w:tc>
          <w:tcPr>
            <w:tcW w:w="878" w:type="dxa"/>
            <w:vMerge w:val="restart"/>
            <w:tcBorders>
              <w:tl2br w:val="nil"/>
              <w:tr2bl w:val="nil"/>
            </w:tcBorders>
            <w:vAlign w:val="center"/>
          </w:tcPr>
          <w:p w14:paraId="06BEFEE4">
            <w:pPr>
              <w:jc w:val="center"/>
              <w:rPr>
                <w:rFonts w:ascii="宋体" w:hAnsi="宋体"/>
                <w:szCs w:val="21"/>
              </w:rPr>
            </w:pPr>
            <w:r>
              <w:rPr>
                <w:rFonts w:hint="eastAsia" w:ascii="宋体" w:hAnsi="宋体"/>
                <w:szCs w:val="21"/>
              </w:rPr>
              <w:t>9</w:t>
            </w:r>
          </w:p>
        </w:tc>
        <w:tc>
          <w:tcPr>
            <w:tcW w:w="7532" w:type="dxa"/>
            <w:gridSpan w:val="2"/>
            <w:tcBorders>
              <w:tl2br w:val="nil"/>
              <w:tr2bl w:val="nil"/>
            </w:tcBorders>
            <w:vAlign w:val="center"/>
          </w:tcPr>
          <w:p w14:paraId="73BDC8C2">
            <w:pPr>
              <w:jc w:val="both"/>
              <w:rPr>
                <w:rFonts w:ascii="宋体" w:hAnsi="宋体"/>
                <w:b/>
                <w:bCs/>
                <w:szCs w:val="21"/>
                <w:lang w:val="zh-CN"/>
              </w:rPr>
            </w:pPr>
            <w:r>
              <w:rPr>
                <w:rFonts w:hint="eastAsia" w:ascii="宋体" w:hAnsi="宋体"/>
                <w:b/>
                <w:bCs/>
                <w:szCs w:val="21"/>
                <w:lang w:val="zh-CN"/>
              </w:rPr>
              <w:t>投标保证金退还</w:t>
            </w:r>
          </w:p>
        </w:tc>
      </w:tr>
      <w:tr w14:paraId="6EE0AD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1535" w:hRule="atLeast"/>
        </w:trPr>
        <w:tc>
          <w:tcPr>
            <w:tcW w:w="878" w:type="dxa"/>
            <w:vMerge w:val="continue"/>
            <w:tcBorders>
              <w:tl2br w:val="nil"/>
              <w:tr2bl w:val="nil"/>
            </w:tcBorders>
            <w:vAlign w:val="center"/>
          </w:tcPr>
          <w:p w14:paraId="4C62EDEB">
            <w:pPr>
              <w:jc w:val="center"/>
              <w:rPr>
                <w:rFonts w:ascii="宋体" w:hAnsi="宋体"/>
                <w:szCs w:val="21"/>
              </w:rPr>
            </w:pPr>
          </w:p>
        </w:tc>
        <w:tc>
          <w:tcPr>
            <w:tcW w:w="7532" w:type="dxa"/>
            <w:gridSpan w:val="2"/>
            <w:tcBorders>
              <w:tl2br w:val="nil"/>
              <w:tr2bl w:val="nil"/>
            </w:tcBorders>
            <w:vAlign w:val="center"/>
          </w:tcPr>
          <w:p w14:paraId="746E3EBD">
            <w:pPr>
              <w:jc w:val="both"/>
              <w:rPr>
                <w:rFonts w:ascii="宋体" w:hAnsi="宋体"/>
                <w:szCs w:val="21"/>
                <w:lang w:val="zh-CN"/>
              </w:rPr>
            </w:pPr>
            <w:r>
              <w:rPr>
                <w:rFonts w:hint="eastAsia" w:ascii="宋体" w:hAnsi="宋体"/>
                <w:szCs w:val="21"/>
                <w:lang w:val="zh-CN"/>
              </w:rPr>
              <w:t>（</w:t>
            </w:r>
            <w:r>
              <w:rPr>
                <w:rFonts w:hint="eastAsia" w:ascii="宋体" w:hAnsi="宋体"/>
                <w:szCs w:val="21"/>
              </w:rPr>
              <w:t>1</w:t>
            </w:r>
            <w:r>
              <w:rPr>
                <w:rFonts w:hint="eastAsia" w:ascii="宋体" w:hAnsi="宋体"/>
                <w:szCs w:val="21"/>
                <w:lang w:val="zh-CN"/>
              </w:rPr>
              <w:t>）未中标的投标人的保证金应当在中标通知书发出后退还，中标</w:t>
            </w:r>
            <w:r>
              <w:rPr>
                <w:rFonts w:hint="eastAsia" w:ascii="宋体" w:hAnsi="宋体"/>
                <w:szCs w:val="21"/>
              </w:rPr>
              <w:t>的</w:t>
            </w:r>
            <w:r>
              <w:rPr>
                <w:rFonts w:hint="eastAsia" w:ascii="宋体" w:hAnsi="宋体"/>
                <w:szCs w:val="21"/>
                <w:lang w:val="zh-CN"/>
              </w:rPr>
              <w:t>投标人的保证金应当在采购合同签订</w:t>
            </w:r>
            <w:r>
              <w:rPr>
                <w:rFonts w:hint="eastAsia" w:ascii="宋体" w:hAnsi="宋体"/>
                <w:szCs w:val="21"/>
              </w:rPr>
              <w:t>并缴纳履约保证金</w:t>
            </w:r>
            <w:r>
              <w:rPr>
                <w:rFonts w:hint="eastAsia" w:ascii="宋体" w:hAnsi="宋体"/>
                <w:szCs w:val="21"/>
                <w:lang w:val="zh-CN"/>
              </w:rPr>
              <w:t>后退还。</w:t>
            </w:r>
          </w:p>
          <w:p w14:paraId="61394D85">
            <w:pPr>
              <w:jc w:val="both"/>
            </w:pPr>
            <w:r>
              <w:rPr>
                <w:rFonts w:hint="eastAsia" w:ascii="宋体" w:hAnsi="宋体"/>
                <w:szCs w:val="21"/>
                <w:lang w:val="zh-CN"/>
              </w:rPr>
              <w:t>（</w:t>
            </w:r>
            <w:r>
              <w:rPr>
                <w:rFonts w:hint="eastAsia" w:ascii="宋体" w:hAnsi="宋体"/>
                <w:szCs w:val="21"/>
              </w:rPr>
              <w:t>2</w:t>
            </w:r>
            <w:r>
              <w:rPr>
                <w:rFonts w:hint="eastAsia" w:ascii="宋体" w:hAnsi="宋体"/>
                <w:szCs w:val="21"/>
                <w:lang w:val="zh-CN"/>
              </w:rPr>
              <w:t>）为方便退还未中标的投标人的保证金，投标人应制作《投标保证金汇入情况说明》随唱标信封一并递交。</w:t>
            </w:r>
          </w:p>
        </w:tc>
      </w:tr>
      <w:tr w14:paraId="0A79B4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tcBorders>
              <w:tl2br w:val="nil"/>
              <w:tr2bl w:val="nil"/>
            </w:tcBorders>
            <w:vAlign w:val="center"/>
          </w:tcPr>
          <w:p w14:paraId="5EDED20C">
            <w:pPr>
              <w:jc w:val="center"/>
              <w:rPr>
                <w:rFonts w:ascii="宋体" w:hAnsi="宋体"/>
                <w:szCs w:val="21"/>
              </w:rPr>
            </w:pPr>
            <w:r>
              <w:rPr>
                <w:rFonts w:hint="eastAsia" w:ascii="宋体" w:hAnsi="宋体"/>
                <w:szCs w:val="21"/>
              </w:rPr>
              <w:t>10</w:t>
            </w:r>
          </w:p>
        </w:tc>
        <w:tc>
          <w:tcPr>
            <w:tcW w:w="7532" w:type="dxa"/>
            <w:gridSpan w:val="2"/>
            <w:tcBorders>
              <w:tl2br w:val="nil"/>
              <w:tr2bl w:val="nil"/>
            </w:tcBorders>
            <w:vAlign w:val="center"/>
          </w:tcPr>
          <w:p w14:paraId="4210366D">
            <w:pPr>
              <w:jc w:val="both"/>
              <w:rPr>
                <w:rFonts w:ascii="宋体" w:hAnsi="宋体"/>
                <w:b/>
                <w:szCs w:val="21"/>
              </w:rPr>
            </w:pPr>
            <w:r>
              <w:rPr>
                <w:rFonts w:hint="eastAsia" w:ascii="宋体" w:hAnsi="宋体"/>
                <w:b/>
                <w:szCs w:val="21"/>
              </w:rPr>
              <w:t>投标有效期</w:t>
            </w:r>
          </w:p>
        </w:tc>
      </w:tr>
      <w:tr w14:paraId="25E893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tcBorders>
              <w:tl2br w:val="nil"/>
              <w:tr2bl w:val="nil"/>
            </w:tcBorders>
            <w:vAlign w:val="center"/>
          </w:tcPr>
          <w:p w14:paraId="3F266735">
            <w:pPr>
              <w:jc w:val="center"/>
              <w:rPr>
                <w:rFonts w:ascii="宋体" w:hAnsi="宋体"/>
                <w:szCs w:val="21"/>
              </w:rPr>
            </w:pPr>
          </w:p>
        </w:tc>
        <w:tc>
          <w:tcPr>
            <w:tcW w:w="7532" w:type="dxa"/>
            <w:gridSpan w:val="2"/>
            <w:tcBorders>
              <w:tl2br w:val="nil"/>
              <w:tr2bl w:val="nil"/>
            </w:tcBorders>
            <w:vAlign w:val="center"/>
          </w:tcPr>
          <w:p w14:paraId="1819FBDB">
            <w:pPr>
              <w:jc w:val="both"/>
              <w:rPr>
                <w:rFonts w:ascii="宋体" w:hAnsi="宋体"/>
                <w:b/>
                <w:szCs w:val="21"/>
              </w:rPr>
            </w:pPr>
            <w:r>
              <w:rPr>
                <w:rFonts w:hint="eastAsia" w:ascii="宋体" w:hAnsi="宋体"/>
                <w:szCs w:val="21"/>
              </w:rPr>
              <w:t>九十天。</w:t>
            </w:r>
          </w:p>
        </w:tc>
      </w:tr>
      <w:tr w14:paraId="4B166604">
        <w:tblPrEx>
          <w:tblCellMar>
            <w:top w:w="0" w:type="dxa"/>
            <w:left w:w="28" w:type="dxa"/>
            <w:bottom w:w="0" w:type="dxa"/>
            <w:right w:w="28" w:type="dxa"/>
          </w:tblCellMar>
        </w:tblPrEx>
        <w:trPr>
          <w:trHeight w:val="494" w:hRule="atLeast"/>
        </w:trPr>
        <w:tc>
          <w:tcPr>
            <w:tcW w:w="878" w:type="dxa"/>
            <w:vMerge w:val="restart"/>
            <w:tcBorders>
              <w:tl2br w:val="nil"/>
              <w:tr2bl w:val="nil"/>
            </w:tcBorders>
            <w:vAlign w:val="center"/>
          </w:tcPr>
          <w:p w14:paraId="549E7299">
            <w:pPr>
              <w:jc w:val="center"/>
              <w:rPr>
                <w:rFonts w:ascii="宋体" w:hAnsi="宋体"/>
                <w:szCs w:val="21"/>
              </w:rPr>
            </w:pPr>
            <w:r>
              <w:rPr>
                <w:rFonts w:hint="eastAsia" w:ascii="宋体" w:hAnsi="宋体"/>
                <w:szCs w:val="21"/>
              </w:rPr>
              <w:t>11</w:t>
            </w:r>
          </w:p>
        </w:tc>
        <w:tc>
          <w:tcPr>
            <w:tcW w:w="7532" w:type="dxa"/>
            <w:gridSpan w:val="2"/>
            <w:tcBorders>
              <w:tl2br w:val="nil"/>
              <w:tr2bl w:val="nil"/>
            </w:tcBorders>
            <w:vAlign w:val="center"/>
          </w:tcPr>
          <w:p w14:paraId="7886C64E">
            <w:pPr>
              <w:jc w:val="center"/>
              <w:rPr>
                <w:rFonts w:ascii="宋体" w:hAnsi="宋体"/>
                <w:b/>
                <w:szCs w:val="21"/>
              </w:rPr>
            </w:pPr>
            <w:r>
              <w:rPr>
                <w:rFonts w:hint="eastAsia" w:ascii="宋体" w:hAnsi="宋体"/>
                <w:b/>
                <w:szCs w:val="21"/>
              </w:rPr>
              <w:t>投标人应提交以下投标文件（投标文件由唱标信封、价格文件、商务文件、技术文件、电子文档五部分组成；价格文件、商务文件、技术文件分别单独装订成册，电子文档装入唱标信封一同封装；具体编制和封装要求详见第四部分投标人须知）</w:t>
            </w:r>
          </w:p>
        </w:tc>
      </w:tr>
      <w:tr w14:paraId="2EFA86C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94" w:hRule="atLeast"/>
        </w:trPr>
        <w:tc>
          <w:tcPr>
            <w:tcW w:w="878" w:type="dxa"/>
            <w:vMerge w:val="continue"/>
            <w:tcBorders>
              <w:tl2br w:val="nil"/>
              <w:tr2bl w:val="nil"/>
            </w:tcBorders>
            <w:vAlign w:val="center"/>
          </w:tcPr>
          <w:p w14:paraId="5299D378">
            <w:pPr>
              <w:jc w:val="center"/>
              <w:rPr>
                <w:rFonts w:ascii="宋体" w:hAnsi="宋体"/>
                <w:szCs w:val="21"/>
              </w:rPr>
            </w:pPr>
          </w:p>
        </w:tc>
        <w:tc>
          <w:tcPr>
            <w:tcW w:w="2608" w:type="dxa"/>
            <w:tcBorders>
              <w:tl2br w:val="nil"/>
              <w:tr2bl w:val="nil"/>
            </w:tcBorders>
            <w:vAlign w:val="center"/>
          </w:tcPr>
          <w:p w14:paraId="391A43E1">
            <w:pPr>
              <w:jc w:val="center"/>
              <w:rPr>
                <w:rFonts w:ascii="宋体" w:hAnsi="宋体"/>
                <w:b/>
                <w:szCs w:val="21"/>
              </w:rPr>
            </w:pPr>
            <w:r>
              <w:rPr>
                <w:rFonts w:hint="eastAsia" w:ascii="宋体" w:hAnsi="宋体"/>
                <w:b/>
                <w:szCs w:val="21"/>
              </w:rPr>
              <w:t>投标文件类型</w:t>
            </w:r>
          </w:p>
        </w:tc>
        <w:tc>
          <w:tcPr>
            <w:tcW w:w="4924" w:type="dxa"/>
            <w:tcBorders>
              <w:tl2br w:val="nil"/>
              <w:tr2bl w:val="nil"/>
            </w:tcBorders>
            <w:vAlign w:val="center"/>
          </w:tcPr>
          <w:p w14:paraId="2EC8477B">
            <w:pPr>
              <w:jc w:val="center"/>
              <w:rPr>
                <w:rFonts w:ascii="宋体" w:hAnsi="宋体"/>
                <w:b/>
                <w:szCs w:val="21"/>
              </w:rPr>
            </w:pPr>
            <w:r>
              <w:rPr>
                <w:rFonts w:hint="eastAsia" w:ascii="宋体" w:hAnsi="宋体"/>
                <w:b/>
                <w:szCs w:val="21"/>
              </w:rPr>
              <w:t>份数</w:t>
            </w:r>
          </w:p>
        </w:tc>
      </w:tr>
      <w:tr w14:paraId="61DA80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94" w:hRule="atLeast"/>
        </w:trPr>
        <w:tc>
          <w:tcPr>
            <w:tcW w:w="878" w:type="dxa"/>
            <w:vMerge w:val="continue"/>
            <w:tcBorders>
              <w:tl2br w:val="nil"/>
              <w:tr2bl w:val="nil"/>
            </w:tcBorders>
            <w:vAlign w:val="center"/>
          </w:tcPr>
          <w:p w14:paraId="2C9DB083">
            <w:pPr>
              <w:jc w:val="center"/>
              <w:rPr>
                <w:rFonts w:ascii="宋体" w:hAnsi="宋体"/>
                <w:szCs w:val="21"/>
              </w:rPr>
            </w:pPr>
          </w:p>
        </w:tc>
        <w:tc>
          <w:tcPr>
            <w:tcW w:w="2608" w:type="dxa"/>
            <w:tcBorders>
              <w:tl2br w:val="nil"/>
              <w:tr2bl w:val="nil"/>
            </w:tcBorders>
            <w:vAlign w:val="center"/>
          </w:tcPr>
          <w:p w14:paraId="5FF131FD">
            <w:pPr>
              <w:jc w:val="center"/>
              <w:rPr>
                <w:rFonts w:ascii="宋体" w:hAnsi="宋体"/>
                <w:b/>
                <w:szCs w:val="21"/>
              </w:rPr>
            </w:pPr>
            <w:r>
              <w:rPr>
                <w:rFonts w:hint="eastAsia" w:ascii="宋体" w:hAnsi="宋体"/>
                <w:b/>
                <w:szCs w:val="21"/>
              </w:rPr>
              <w:t>唱标信封</w:t>
            </w:r>
          </w:p>
        </w:tc>
        <w:tc>
          <w:tcPr>
            <w:tcW w:w="4924" w:type="dxa"/>
            <w:tcBorders>
              <w:tl2br w:val="nil"/>
              <w:tr2bl w:val="nil"/>
            </w:tcBorders>
            <w:vAlign w:val="center"/>
          </w:tcPr>
          <w:p w14:paraId="166CF78D">
            <w:pPr>
              <w:jc w:val="center"/>
              <w:rPr>
                <w:rFonts w:ascii="宋体" w:hAnsi="宋体"/>
                <w:b/>
                <w:szCs w:val="21"/>
              </w:rPr>
            </w:pPr>
            <w:r>
              <w:rPr>
                <w:rFonts w:hint="eastAsia" w:ascii="宋体" w:hAnsi="宋体"/>
                <w:b/>
                <w:szCs w:val="21"/>
              </w:rPr>
              <w:t>1</w:t>
            </w:r>
          </w:p>
        </w:tc>
      </w:tr>
      <w:tr w14:paraId="41C167F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94" w:hRule="atLeast"/>
        </w:trPr>
        <w:tc>
          <w:tcPr>
            <w:tcW w:w="878" w:type="dxa"/>
            <w:vMerge w:val="continue"/>
            <w:tcBorders>
              <w:tl2br w:val="nil"/>
              <w:tr2bl w:val="nil"/>
            </w:tcBorders>
            <w:vAlign w:val="center"/>
          </w:tcPr>
          <w:p w14:paraId="0C768318">
            <w:pPr>
              <w:jc w:val="center"/>
              <w:rPr>
                <w:rFonts w:ascii="宋体" w:hAnsi="宋体"/>
                <w:szCs w:val="21"/>
              </w:rPr>
            </w:pPr>
          </w:p>
        </w:tc>
        <w:tc>
          <w:tcPr>
            <w:tcW w:w="2608" w:type="dxa"/>
            <w:tcBorders>
              <w:tl2br w:val="nil"/>
              <w:tr2bl w:val="nil"/>
            </w:tcBorders>
            <w:vAlign w:val="center"/>
          </w:tcPr>
          <w:p w14:paraId="5F3C938F">
            <w:pPr>
              <w:jc w:val="center"/>
              <w:rPr>
                <w:rFonts w:ascii="宋体" w:hAnsi="宋体"/>
                <w:b/>
                <w:szCs w:val="21"/>
              </w:rPr>
            </w:pPr>
            <w:r>
              <w:rPr>
                <w:rFonts w:hint="eastAsia" w:ascii="宋体" w:hAnsi="宋体"/>
                <w:b/>
                <w:szCs w:val="21"/>
              </w:rPr>
              <w:t>投标文件正本</w:t>
            </w:r>
          </w:p>
        </w:tc>
        <w:tc>
          <w:tcPr>
            <w:tcW w:w="4924" w:type="dxa"/>
            <w:tcBorders>
              <w:tl2br w:val="nil"/>
              <w:tr2bl w:val="nil"/>
            </w:tcBorders>
            <w:vAlign w:val="center"/>
          </w:tcPr>
          <w:p w14:paraId="75276E92">
            <w:pPr>
              <w:jc w:val="center"/>
              <w:rPr>
                <w:rFonts w:ascii="宋体" w:hAnsi="宋体"/>
                <w:b/>
                <w:szCs w:val="21"/>
              </w:rPr>
            </w:pPr>
            <w:r>
              <w:rPr>
                <w:rFonts w:hint="eastAsia" w:ascii="宋体" w:hAnsi="宋体"/>
                <w:b/>
                <w:szCs w:val="21"/>
              </w:rPr>
              <w:t>1</w:t>
            </w:r>
          </w:p>
        </w:tc>
      </w:tr>
      <w:tr w14:paraId="416AD5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537" w:hRule="atLeast"/>
        </w:trPr>
        <w:tc>
          <w:tcPr>
            <w:tcW w:w="878" w:type="dxa"/>
            <w:vMerge w:val="continue"/>
            <w:tcBorders>
              <w:tl2br w:val="nil"/>
              <w:tr2bl w:val="nil"/>
            </w:tcBorders>
            <w:vAlign w:val="center"/>
          </w:tcPr>
          <w:p w14:paraId="2178017E">
            <w:pPr>
              <w:jc w:val="center"/>
              <w:rPr>
                <w:rFonts w:ascii="宋体" w:hAnsi="宋体"/>
                <w:szCs w:val="21"/>
              </w:rPr>
            </w:pPr>
          </w:p>
        </w:tc>
        <w:tc>
          <w:tcPr>
            <w:tcW w:w="2608" w:type="dxa"/>
            <w:tcBorders>
              <w:tl2br w:val="nil"/>
              <w:tr2bl w:val="nil"/>
            </w:tcBorders>
            <w:vAlign w:val="center"/>
          </w:tcPr>
          <w:p w14:paraId="0707EA47">
            <w:pPr>
              <w:jc w:val="center"/>
              <w:rPr>
                <w:rFonts w:ascii="宋体" w:hAnsi="宋体"/>
                <w:b/>
                <w:szCs w:val="21"/>
              </w:rPr>
            </w:pPr>
            <w:r>
              <w:rPr>
                <w:rFonts w:hint="eastAsia" w:ascii="宋体" w:hAnsi="宋体"/>
                <w:b/>
                <w:szCs w:val="21"/>
              </w:rPr>
              <w:t>投标文件副本</w:t>
            </w:r>
          </w:p>
        </w:tc>
        <w:tc>
          <w:tcPr>
            <w:tcW w:w="4924" w:type="dxa"/>
            <w:tcBorders>
              <w:tl2br w:val="nil"/>
              <w:tr2bl w:val="nil"/>
            </w:tcBorders>
            <w:vAlign w:val="center"/>
          </w:tcPr>
          <w:p w14:paraId="1A3B0189">
            <w:pPr>
              <w:jc w:val="center"/>
              <w:rPr>
                <w:rFonts w:ascii="宋体" w:hAnsi="宋体"/>
                <w:b/>
                <w:szCs w:val="21"/>
              </w:rPr>
            </w:pPr>
            <w:r>
              <w:rPr>
                <w:rFonts w:hint="eastAsia" w:ascii="宋体" w:hAnsi="宋体"/>
                <w:b/>
                <w:szCs w:val="21"/>
              </w:rPr>
              <w:sym w:font="Wingdings 2" w:char="0052"/>
            </w:r>
            <w:r>
              <w:rPr>
                <w:rFonts w:hint="eastAsia" w:ascii="宋体" w:hAnsi="宋体"/>
                <w:b/>
                <w:szCs w:val="21"/>
              </w:rPr>
              <w:t xml:space="preserve">5  </w:t>
            </w:r>
            <w:r>
              <w:rPr>
                <w:rFonts w:hint="eastAsia" w:ascii="宋体" w:hAnsi="宋体"/>
                <w:b/>
                <w:szCs w:val="21"/>
              </w:rPr>
              <w:sym w:font="Wingdings 2" w:char="00A3"/>
            </w:r>
            <w:r>
              <w:rPr>
                <w:rFonts w:hint="eastAsia" w:ascii="宋体" w:hAnsi="宋体"/>
                <w:b/>
                <w:szCs w:val="21"/>
              </w:rPr>
              <w:t>7</w:t>
            </w:r>
          </w:p>
        </w:tc>
      </w:tr>
      <w:tr w14:paraId="607EF1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94" w:hRule="atLeast"/>
        </w:trPr>
        <w:tc>
          <w:tcPr>
            <w:tcW w:w="878" w:type="dxa"/>
            <w:vMerge w:val="continue"/>
            <w:tcBorders>
              <w:tl2br w:val="nil"/>
              <w:tr2bl w:val="nil"/>
            </w:tcBorders>
            <w:vAlign w:val="center"/>
          </w:tcPr>
          <w:p w14:paraId="40CC3C9B">
            <w:pPr>
              <w:jc w:val="center"/>
              <w:rPr>
                <w:rFonts w:ascii="宋体" w:hAnsi="宋体"/>
                <w:szCs w:val="21"/>
              </w:rPr>
            </w:pPr>
          </w:p>
        </w:tc>
        <w:tc>
          <w:tcPr>
            <w:tcW w:w="2608" w:type="dxa"/>
            <w:vMerge w:val="restart"/>
            <w:tcBorders>
              <w:tl2br w:val="nil"/>
              <w:tr2bl w:val="nil"/>
            </w:tcBorders>
            <w:vAlign w:val="center"/>
          </w:tcPr>
          <w:p w14:paraId="2A0B1926">
            <w:pPr>
              <w:jc w:val="center"/>
              <w:rPr>
                <w:rFonts w:ascii="宋体" w:hAnsi="宋体"/>
                <w:b/>
                <w:szCs w:val="21"/>
              </w:rPr>
            </w:pPr>
            <w:r>
              <w:rPr>
                <w:rFonts w:hint="eastAsia" w:ascii="宋体" w:hAnsi="宋体"/>
                <w:b/>
                <w:szCs w:val="21"/>
              </w:rPr>
              <w:t>电子文档</w:t>
            </w:r>
          </w:p>
        </w:tc>
        <w:tc>
          <w:tcPr>
            <w:tcW w:w="4924" w:type="dxa"/>
            <w:tcBorders>
              <w:tl2br w:val="nil"/>
              <w:tr2bl w:val="nil"/>
            </w:tcBorders>
            <w:vAlign w:val="center"/>
          </w:tcPr>
          <w:p w14:paraId="3E7FB091">
            <w:pPr>
              <w:jc w:val="center"/>
              <w:rPr>
                <w:rFonts w:ascii="宋体" w:hAnsi="宋体"/>
                <w:b/>
                <w:szCs w:val="21"/>
              </w:rPr>
            </w:pPr>
            <w:r>
              <w:rPr>
                <w:rFonts w:hint="eastAsia" w:ascii="宋体" w:hAnsi="宋体"/>
                <w:b/>
                <w:szCs w:val="21"/>
              </w:rPr>
              <w:t>1</w:t>
            </w:r>
          </w:p>
        </w:tc>
      </w:tr>
      <w:tr w14:paraId="626D1D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94" w:hRule="atLeast"/>
        </w:trPr>
        <w:tc>
          <w:tcPr>
            <w:tcW w:w="878" w:type="dxa"/>
            <w:vMerge w:val="continue"/>
            <w:tcBorders>
              <w:tl2br w:val="nil"/>
              <w:tr2bl w:val="nil"/>
            </w:tcBorders>
            <w:vAlign w:val="center"/>
          </w:tcPr>
          <w:p w14:paraId="1C3AC5E3">
            <w:pPr>
              <w:jc w:val="center"/>
              <w:rPr>
                <w:rFonts w:ascii="宋体" w:hAnsi="宋体"/>
                <w:szCs w:val="21"/>
              </w:rPr>
            </w:pPr>
          </w:p>
        </w:tc>
        <w:tc>
          <w:tcPr>
            <w:tcW w:w="2608" w:type="dxa"/>
            <w:vMerge w:val="continue"/>
            <w:tcBorders>
              <w:tl2br w:val="nil"/>
              <w:tr2bl w:val="nil"/>
            </w:tcBorders>
            <w:vAlign w:val="center"/>
          </w:tcPr>
          <w:p w14:paraId="43B7793C">
            <w:pPr>
              <w:jc w:val="center"/>
              <w:rPr>
                <w:rFonts w:ascii="宋体" w:hAnsi="宋体"/>
                <w:b/>
                <w:szCs w:val="21"/>
              </w:rPr>
            </w:pPr>
          </w:p>
        </w:tc>
        <w:tc>
          <w:tcPr>
            <w:tcW w:w="4924" w:type="dxa"/>
            <w:tcBorders>
              <w:tl2br w:val="nil"/>
              <w:tr2bl w:val="nil"/>
            </w:tcBorders>
            <w:vAlign w:val="center"/>
          </w:tcPr>
          <w:p w14:paraId="49E4F060">
            <w:pPr>
              <w:jc w:val="center"/>
              <w:rPr>
                <w:rFonts w:ascii="宋体" w:hAnsi="宋体"/>
                <w:b/>
                <w:szCs w:val="21"/>
              </w:rPr>
            </w:pPr>
            <w:r>
              <w:rPr>
                <w:rFonts w:hint="eastAsia" w:ascii="宋体" w:hAnsi="宋体" w:cs="Times New Roman"/>
                <w:b/>
                <w:szCs w:val="21"/>
              </w:rPr>
              <w:t>U盘，须含盖章版PDF投标文件和WORD版投标文件各一版，文字采用WORD文档，计算表格采用 EXCEL文档。</w:t>
            </w:r>
          </w:p>
        </w:tc>
      </w:tr>
      <w:tr w14:paraId="5E5A7BC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857" w:hRule="atLeast"/>
        </w:trPr>
        <w:tc>
          <w:tcPr>
            <w:tcW w:w="8410" w:type="dxa"/>
            <w:gridSpan w:val="3"/>
            <w:tcBorders>
              <w:tl2br w:val="nil"/>
              <w:tr2bl w:val="nil"/>
            </w:tcBorders>
            <w:vAlign w:val="center"/>
          </w:tcPr>
          <w:p w14:paraId="61D93C05">
            <w:pPr>
              <w:jc w:val="center"/>
              <w:rPr>
                <w:rFonts w:ascii="宋体" w:hAnsi="宋体"/>
                <w:b/>
                <w:szCs w:val="21"/>
              </w:rPr>
            </w:pPr>
            <w:r>
              <w:rPr>
                <w:rFonts w:hint="eastAsia" w:ascii="宋体" w:hAnsi="宋体"/>
                <w:b/>
                <w:szCs w:val="21"/>
              </w:rPr>
              <w:t>三、开标与评标</w:t>
            </w:r>
          </w:p>
        </w:tc>
      </w:tr>
      <w:tr w14:paraId="2472F9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tcBorders>
              <w:tl2br w:val="nil"/>
              <w:tr2bl w:val="nil"/>
            </w:tcBorders>
            <w:vAlign w:val="center"/>
          </w:tcPr>
          <w:p w14:paraId="745B1D3D">
            <w:pPr>
              <w:jc w:val="center"/>
              <w:rPr>
                <w:rFonts w:ascii="宋体" w:hAnsi="宋体"/>
                <w:szCs w:val="21"/>
              </w:rPr>
            </w:pPr>
            <w:r>
              <w:rPr>
                <w:rFonts w:hint="eastAsia" w:ascii="宋体" w:hAnsi="宋体"/>
                <w:szCs w:val="21"/>
              </w:rPr>
              <w:t>12</w:t>
            </w:r>
          </w:p>
        </w:tc>
        <w:tc>
          <w:tcPr>
            <w:tcW w:w="7532" w:type="dxa"/>
            <w:gridSpan w:val="2"/>
            <w:tcBorders>
              <w:tl2br w:val="nil"/>
              <w:tr2bl w:val="nil"/>
            </w:tcBorders>
            <w:vAlign w:val="center"/>
          </w:tcPr>
          <w:p w14:paraId="1F11AA39">
            <w:pPr>
              <w:jc w:val="both"/>
              <w:rPr>
                <w:rFonts w:ascii="宋体" w:hAnsi="宋体"/>
                <w:szCs w:val="21"/>
              </w:rPr>
            </w:pPr>
            <w:r>
              <w:rPr>
                <w:rFonts w:hint="eastAsia" w:ascii="宋体" w:hAnsi="宋体"/>
                <w:b/>
                <w:szCs w:val="21"/>
              </w:rPr>
              <w:t>本项目评标方法</w:t>
            </w:r>
          </w:p>
        </w:tc>
      </w:tr>
      <w:tr w14:paraId="50340C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tcBorders>
              <w:tl2br w:val="nil"/>
              <w:tr2bl w:val="nil"/>
            </w:tcBorders>
            <w:vAlign w:val="center"/>
          </w:tcPr>
          <w:p w14:paraId="207A51C0">
            <w:pPr>
              <w:jc w:val="center"/>
              <w:rPr>
                <w:rFonts w:ascii="宋体" w:hAnsi="宋体"/>
                <w:szCs w:val="21"/>
              </w:rPr>
            </w:pPr>
          </w:p>
        </w:tc>
        <w:tc>
          <w:tcPr>
            <w:tcW w:w="7532" w:type="dxa"/>
            <w:gridSpan w:val="2"/>
            <w:tcBorders>
              <w:tl2br w:val="nil"/>
              <w:tr2bl w:val="nil"/>
            </w:tcBorders>
            <w:vAlign w:val="center"/>
          </w:tcPr>
          <w:p w14:paraId="77FD7337">
            <w:pPr>
              <w:jc w:val="both"/>
              <w:rPr>
                <w:rFonts w:ascii="宋体" w:hAnsi="宋体"/>
                <w:b/>
                <w:szCs w:val="21"/>
              </w:rPr>
            </w:pPr>
            <w:r>
              <w:rPr>
                <w:rFonts w:hint="eastAsia" w:ascii="宋体" w:hAnsi="宋体"/>
                <w:szCs w:val="21"/>
              </w:rPr>
              <w:t>综合评分法。</w:t>
            </w:r>
          </w:p>
        </w:tc>
      </w:tr>
      <w:tr w14:paraId="02367E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tcBorders>
              <w:tl2br w:val="nil"/>
              <w:tr2bl w:val="nil"/>
            </w:tcBorders>
            <w:vAlign w:val="center"/>
          </w:tcPr>
          <w:p w14:paraId="5A37FCD9">
            <w:pPr>
              <w:jc w:val="center"/>
              <w:rPr>
                <w:rFonts w:ascii="宋体" w:hAnsi="宋体"/>
                <w:szCs w:val="21"/>
              </w:rPr>
            </w:pPr>
            <w:r>
              <w:rPr>
                <w:rFonts w:hint="eastAsia" w:ascii="宋体" w:hAnsi="宋体"/>
                <w:szCs w:val="21"/>
              </w:rPr>
              <w:t>13</w:t>
            </w:r>
          </w:p>
        </w:tc>
        <w:tc>
          <w:tcPr>
            <w:tcW w:w="7532" w:type="dxa"/>
            <w:gridSpan w:val="2"/>
            <w:tcBorders>
              <w:tl2br w:val="nil"/>
              <w:tr2bl w:val="nil"/>
            </w:tcBorders>
            <w:vAlign w:val="center"/>
          </w:tcPr>
          <w:p w14:paraId="76EF99A6">
            <w:pPr>
              <w:jc w:val="both"/>
              <w:rPr>
                <w:rFonts w:ascii="宋体" w:hAnsi="宋体"/>
                <w:b/>
                <w:szCs w:val="21"/>
              </w:rPr>
            </w:pPr>
            <w:r>
              <w:rPr>
                <w:rFonts w:hint="eastAsia" w:ascii="宋体" w:hAnsi="宋体"/>
                <w:b/>
                <w:szCs w:val="21"/>
              </w:rPr>
              <w:t>综合评分法评分因素和权重分值</w:t>
            </w:r>
          </w:p>
        </w:tc>
      </w:tr>
      <w:tr w14:paraId="0CB169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tcBorders>
              <w:tl2br w:val="nil"/>
              <w:tr2bl w:val="nil"/>
            </w:tcBorders>
            <w:vAlign w:val="center"/>
          </w:tcPr>
          <w:p w14:paraId="7D386019">
            <w:pPr>
              <w:jc w:val="center"/>
              <w:rPr>
                <w:rFonts w:ascii="宋体" w:hAnsi="宋体"/>
                <w:szCs w:val="21"/>
              </w:rPr>
            </w:pPr>
          </w:p>
        </w:tc>
        <w:tc>
          <w:tcPr>
            <w:tcW w:w="7532" w:type="dxa"/>
            <w:gridSpan w:val="2"/>
            <w:tcBorders>
              <w:tl2br w:val="nil"/>
              <w:tr2bl w:val="nil"/>
            </w:tcBorders>
            <w:vAlign w:val="center"/>
          </w:tcPr>
          <w:p w14:paraId="6C27C867">
            <w:pPr>
              <w:jc w:val="both"/>
              <w:rPr>
                <w:rFonts w:ascii="宋体" w:hAnsi="宋体"/>
                <w:b/>
                <w:szCs w:val="21"/>
              </w:rPr>
            </w:pPr>
            <w:r>
              <w:rPr>
                <w:rFonts w:hint="eastAsia" w:ascii="宋体" w:hAnsi="宋体"/>
                <w:szCs w:val="21"/>
              </w:rPr>
              <w:t>见附表二。</w:t>
            </w:r>
          </w:p>
        </w:tc>
      </w:tr>
      <w:tr w14:paraId="30FBBF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restart"/>
            <w:tcBorders>
              <w:tl2br w:val="nil"/>
              <w:tr2bl w:val="nil"/>
            </w:tcBorders>
            <w:vAlign w:val="center"/>
          </w:tcPr>
          <w:p w14:paraId="2DDD1A1B">
            <w:pPr>
              <w:jc w:val="center"/>
              <w:rPr>
                <w:rFonts w:ascii="宋体" w:hAnsi="宋体"/>
                <w:szCs w:val="21"/>
                <w:highlight w:val="none"/>
              </w:rPr>
            </w:pPr>
            <w:r>
              <w:rPr>
                <w:rFonts w:hint="eastAsia" w:ascii="宋体" w:hAnsi="宋体"/>
                <w:szCs w:val="21"/>
                <w:highlight w:val="none"/>
              </w:rPr>
              <w:t>14</w:t>
            </w:r>
          </w:p>
        </w:tc>
        <w:tc>
          <w:tcPr>
            <w:tcW w:w="7532" w:type="dxa"/>
            <w:gridSpan w:val="2"/>
            <w:tcBorders>
              <w:tl2br w:val="nil"/>
              <w:tr2bl w:val="nil"/>
            </w:tcBorders>
            <w:vAlign w:val="center"/>
          </w:tcPr>
          <w:p w14:paraId="354E8872">
            <w:pPr>
              <w:jc w:val="both"/>
              <w:rPr>
                <w:rFonts w:ascii="宋体" w:hAnsi="宋体"/>
                <w:szCs w:val="21"/>
                <w:highlight w:val="none"/>
              </w:rPr>
            </w:pPr>
            <w:r>
              <w:rPr>
                <w:rFonts w:hint="eastAsia" w:ascii="宋体" w:hAnsi="宋体"/>
                <w:b/>
                <w:szCs w:val="21"/>
                <w:highlight w:val="none"/>
              </w:rPr>
              <w:t>评标委员会</w:t>
            </w:r>
          </w:p>
        </w:tc>
      </w:tr>
      <w:tr w14:paraId="1E24985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tcBorders>
              <w:tl2br w:val="nil"/>
              <w:tr2bl w:val="nil"/>
            </w:tcBorders>
            <w:vAlign w:val="center"/>
          </w:tcPr>
          <w:p w14:paraId="492ECDA3">
            <w:pPr>
              <w:jc w:val="center"/>
              <w:rPr>
                <w:rFonts w:ascii="宋体" w:hAnsi="宋体"/>
                <w:szCs w:val="21"/>
                <w:highlight w:val="none"/>
              </w:rPr>
            </w:pPr>
          </w:p>
        </w:tc>
        <w:tc>
          <w:tcPr>
            <w:tcW w:w="7532" w:type="dxa"/>
            <w:gridSpan w:val="2"/>
            <w:tcBorders>
              <w:tl2br w:val="nil"/>
              <w:tr2bl w:val="nil"/>
            </w:tcBorders>
            <w:vAlign w:val="center"/>
          </w:tcPr>
          <w:p w14:paraId="4228F15D">
            <w:pPr>
              <w:jc w:val="both"/>
              <w:rPr>
                <w:rFonts w:ascii="宋体" w:hAnsi="宋体"/>
                <w:szCs w:val="21"/>
                <w:highlight w:val="none"/>
              </w:rPr>
            </w:pPr>
            <w:r>
              <w:rPr>
                <w:rFonts w:hint="eastAsia" w:ascii="宋体" w:hAnsi="宋体"/>
                <w:szCs w:val="21"/>
                <w:highlight w:val="none"/>
              </w:rPr>
              <w:t>评标委员会成员共</w:t>
            </w:r>
            <w:r>
              <w:rPr>
                <w:rFonts w:hint="eastAsia" w:ascii="宋体" w:hAnsi="宋体"/>
                <w:szCs w:val="21"/>
                <w:highlight w:val="none"/>
                <w:u w:val="single"/>
              </w:rPr>
              <w:t xml:space="preserve"> </w:t>
            </w:r>
            <w:r>
              <w:rPr>
                <w:rFonts w:hint="eastAsia" w:ascii="宋体" w:hAnsi="宋体"/>
                <w:color w:val="auto"/>
                <w:sz w:val="21"/>
                <w:szCs w:val="21"/>
                <w:highlight w:val="none"/>
                <w:u w:val="single"/>
                <w:lang w:val="en-US" w:eastAsia="zh-CN"/>
              </w:rPr>
              <w:t>五</w:t>
            </w:r>
            <w:r>
              <w:rPr>
                <w:rFonts w:hint="eastAsia" w:ascii="宋体" w:hAnsi="宋体"/>
                <w:szCs w:val="21"/>
                <w:highlight w:val="none"/>
                <w:u w:val="single"/>
              </w:rPr>
              <w:t xml:space="preserve"> </w:t>
            </w:r>
            <w:r>
              <w:rPr>
                <w:rFonts w:hint="eastAsia" w:ascii="宋体" w:hAnsi="宋体"/>
                <w:szCs w:val="21"/>
                <w:highlight w:val="none"/>
              </w:rPr>
              <w:t>人：</w:t>
            </w:r>
            <w:r>
              <w:rPr>
                <w:rFonts w:hint="eastAsia" w:ascii="宋体" w:hAnsi="宋体"/>
                <w:szCs w:val="21"/>
                <w:highlight w:val="none"/>
                <w:lang w:val="zh-CN"/>
              </w:rPr>
              <w:t>评标委员会由采购人</w:t>
            </w:r>
            <w:r>
              <w:rPr>
                <w:rFonts w:hint="eastAsia" w:ascii="宋体" w:hAnsi="宋体"/>
                <w:szCs w:val="21"/>
                <w:highlight w:val="none"/>
              </w:rPr>
              <w:t>的</w:t>
            </w:r>
            <w:r>
              <w:rPr>
                <w:rFonts w:hint="eastAsia" w:ascii="宋体" w:hAnsi="宋体"/>
                <w:szCs w:val="21"/>
                <w:highlight w:val="none"/>
                <w:lang w:val="zh-CN"/>
              </w:rPr>
              <w:t>代表和</w:t>
            </w:r>
            <w:r>
              <w:rPr>
                <w:rFonts w:hint="eastAsia" w:ascii="宋体" w:hAnsi="宋体"/>
                <w:szCs w:val="21"/>
                <w:highlight w:val="none"/>
              </w:rPr>
              <w:t>有关方面的</w:t>
            </w:r>
            <w:r>
              <w:rPr>
                <w:rFonts w:hint="eastAsia" w:ascii="宋体" w:hAnsi="宋体"/>
                <w:szCs w:val="21"/>
                <w:highlight w:val="none"/>
                <w:lang w:val="zh-CN"/>
              </w:rPr>
              <w:t>专家组成，</w:t>
            </w:r>
            <w:r>
              <w:rPr>
                <w:rFonts w:hint="eastAsia" w:ascii="宋体" w:hAnsi="宋体"/>
                <w:szCs w:val="21"/>
                <w:highlight w:val="none"/>
              </w:rPr>
              <w:t>成员人数为五人或五人以上单数</w:t>
            </w:r>
            <w:r>
              <w:rPr>
                <w:rFonts w:hint="eastAsia" w:ascii="宋体" w:hAnsi="宋体"/>
                <w:szCs w:val="21"/>
                <w:highlight w:val="none"/>
                <w:lang w:val="zh-CN"/>
              </w:rPr>
              <w:t>，其中专家不得少于成员总数的三分之二。</w:t>
            </w:r>
          </w:p>
        </w:tc>
      </w:tr>
      <w:tr w14:paraId="05433AB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cantSplit/>
          <w:trHeight w:val="748" w:hRule="atLeast"/>
        </w:trPr>
        <w:tc>
          <w:tcPr>
            <w:tcW w:w="8410" w:type="dxa"/>
            <w:gridSpan w:val="3"/>
            <w:tcBorders>
              <w:tl2br w:val="nil"/>
              <w:tr2bl w:val="nil"/>
            </w:tcBorders>
            <w:vAlign w:val="center"/>
          </w:tcPr>
          <w:p w14:paraId="042094C9">
            <w:pPr>
              <w:jc w:val="center"/>
              <w:rPr>
                <w:rFonts w:ascii="宋体" w:hAnsi="宋体"/>
                <w:b/>
                <w:szCs w:val="21"/>
              </w:rPr>
            </w:pPr>
            <w:r>
              <w:rPr>
                <w:rFonts w:hint="eastAsia" w:ascii="宋体" w:hAnsi="宋体"/>
                <w:b/>
                <w:szCs w:val="21"/>
              </w:rPr>
              <w:t>四、授予合同</w:t>
            </w:r>
          </w:p>
        </w:tc>
      </w:tr>
      <w:tr w14:paraId="2821108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539" w:hRule="atLeast"/>
        </w:trPr>
        <w:tc>
          <w:tcPr>
            <w:tcW w:w="878" w:type="dxa"/>
            <w:vMerge w:val="restart"/>
            <w:tcBorders>
              <w:tl2br w:val="nil"/>
              <w:tr2bl w:val="nil"/>
            </w:tcBorders>
            <w:vAlign w:val="center"/>
          </w:tcPr>
          <w:p w14:paraId="44C28F1A">
            <w:pPr>
              <w:jc w:val="center"/>
              <w:rPr>
                <w:rFonts w:ascii="宋体" w:hAnsi="宋体"/>
                <w:szCs w:val="21"/>
              </w:rPr>
            </w:pPr>
            <w:r>
              <w:rPr>
                <w:rFonts w:hint="eastAsia" w:ascii="宋体" w:hAnsi="宋体"/>
                <w:szCs w:val="21"/>
              </w:rPr>
              <w:t>15</w:t>
            </w:r>
          </w:p>
        </w:tc>
        <w:tc>
          <w:tcPr>
            <w:tcW w:w="7532" w:type="dxa"/>
            <w:gridSpan w:val="2"/>
            <w:tcBorders>
              <w:tl2br w:val="nil"/>
              <w:tr2bl w:val="nil"/>
            </w:tcBorders>
            <w:shd w:val="clear" w:color="auto" w:fill="auto"/>
            <w:vAlign w:val="center"/>
          </w:tcPr>
          <w:p w14:paraId="5EADC56E">
            <w:pPr>
              <w:jc w:val="both"/>
              <w:rPr>
                <w:rFonts w:ascii="宋体" w:hAnsi="宋体"/>
                <w:b/>
                <w:szCs w:val="21"/>
              </w:rPr>
            </w:pPr>
            <w:r>
              <w:rPr>
                <w:rFonts w:hint="eastAsia" w:ascii="宋体" w:hAnsi="宋体"/>
                <w:b/>
                <w:szCs w:val="21"/>
              </w:rPr>
              <w:t>履约担保</w:t>
            </w:r>
          </w:p>
        </w:tc>
      </w:tr>
      <w:tr w14:paraId="54CA82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540" w:hRule="atLeast"/>
        </w:trPr>
        <w:tc>
          <w:tcPr>
            <w:tcW w:w="878" w:type="dxa"/>
            <w:vMerge w:val="continue"/>
            <w:tcBorders>
              <w:tl2br w:val="nil"/>
              <w:tr2bl w:val="nil"/>
            </w:tcBorders>
            <w:vAlign w:val="center"/>
          </w:tcPr>
          <w:p w14:paraId="03220BD9">
            <w:pPr>
              <w:jc w:val="center"/>
              <w:rPr>
                <w:rFonts w:ascii="宋体" w:hAnsi="宋体"/>
                <w:szCs w:val="21"/>
                <w:highlight w:val="none"/>
              </w:rPr>
            </w:pPr>
          </w:p>
        </w:tc>
        <w:tc>
          <w:tcPr>
            <w:tcW w:w="7532" w:type="dxa"/>
            <w:gridSpan w:val="2"/>
            <w:tcBorders>
              <w:tl2br w:val="nil"/>
              <w:tr2bl w:val="nil"/>
            </w:tcBorders>
            <w:shd w:val="clear" w:color="auto" w:fill="auto"/>
            <w:vAlign w:val="center"/>
          </w:tcPr>
          <w:p w14:paraId="618663C1">
            <w:pPr>
              <w:shd w:val="clear"/>
              <w:jc w:val="both"/>
              <w:rPr>
                <w:rFonts w:ascii="宋体" w:hAnsi="宋体"/>
                <w:color w:val="auto"/>
                <w:sz w:val="21"/>
                <w:szCs w:val="21"/>
                <w:highlight w:val="none"/>
              </w:rPr>
            </w:pPr>
            <w:r>
              <w:rPr>
                <w:rFonts w:hint="eastAsia" w:ascii="宋体" w:hAnsi="宋体"/>
                <w:color w:val="auto"/>
                <w:sz w:val="21"/>
                <w:szCs w:val="21"/>
                <w:highlight w:val="none"/>
              </w:rPr>
              <w:t>1.履约担保金额为：</w:t>
            </w:r>
            <w:r>
              <w:rPr>
                <w:rFonts w:hint="eastAsia" w:ascii="宋体" w:hAnsi="宋体"/>
                <w:color w:val="auto"/>
                <w:sz w:val="21"/>
                <w:szCs w:val="21"/>
                <w:highlight w:val="none"/>
                <w:u w:val="single"/>
              </w:rPr>
              <w:t xml:space="preserve"> 合同金额的10% 。</w:t>
            </w:r>
          </w:p>
          <w:p w14:paraId="6B300DFA">
            <w:pPr>
              <w:shd w:val="clear"/>
              <w:jc w:val="both"/>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2</w:t>
            </w:r>
            <w:r>
              <w:rPr>
                <w:rFonts w:ascii="宋体" w:hAnsi="宋体"/>
                <w:color w:val="auto"/>
                <w:sz w:val="21"/>
                <w:szCs w:val="21"/>
                <w:highlight w:val="none"/>
              </w:rPr>
              <w:t>.</w:t>
            </w:r>
            <w:r>
              <w:rPr>
                <w:rFonts w:hint="eastAsia" w:ascii="宋体" w:hAnsi="宋体"/>
                <w:color w:val="auto"/>
                <w:sz w:val="21"/>
                <w:szCs w:val="21"/>
                <w:highlight w:val="none"/>
              </w:rPr>
              <w:t>履约保证金账户信息</w:t>
            </w:r>
            <w:r>
              <w:rPr>
                <w:rFonts w:hint="eastAsia" w:ascii="宋体" w:hAnsi="宋体"/>
                <w:color w:val="auto"/>
                <w:sz w:val="21"/>
                <w:szCs w:val="21"/>
                <w:highlight w:val="none"/>
                <w:lang w:eastAsia="zh-CN"/>
              </w:rPr>
              <w:t>（中标结果公示后待中标单位与采购人协商确认）</w:t>
            </w:r>
          </w:p>
          <w:p w14:paraId="40AD8335">
            <w:pPr>
              <w:jc w:val="both"/>
              <w:rPr>
                <w:rFonts w:ascii="宋体" w:hAnsi="宋体"/>
                <w:b/>
                <w:szCs w:val="21"/>
                <w:highlight w:val="none"/>
              </w:rPr>
            </w:pPr>
            <w:r>
              <w:rPr>
                <w:rFonts w:hint="eastAsia" w:ascii="宋体" w:hAnsi="宋体"/>
                <w:color w:val="auto"/>
                <w:sz w:val="21"/>
                <w:szCs w:val="21"/>
                <w:highlight w:val="none"/>
              </w:rPr>
              <w:t>3.中标人应于本合同签订之日起7个日历日内，按合同总价的10%向采购人缴纳履约保证金。其中人民币50万元整（含本数），须以电汇或银行转账方式支付至采购人指定账户；剩余部分可选择电汇、银行转账方式支付至采购人指定账户，或提交银行机构出具的履约保函（担保公司出具的保函不予接受）。待本工程全部竣工验收合格且中标人无任何违约行为的，采购人应在工程竣工结算完成后，无息全额退还乙方已缴纳的履约保证金。</w:t>
            </w:r>
          </w:p>
        </w:tc>
      </w:tr>
      <w:tr w14:paraId="14A654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52" w:hRule="atLeast"/>
        </w:trPr>
        <w:tc>
          <w:tcPr>
            <w:tcW w:w="878" w:type="dxa"/>
            <w:vMerge w:val="restart"/>
            <w:tcBorders>
              <w:tl2br w:val="nil"/>
              <w:tr2bl w:val="nil"/>
            </w:tcBorders>
            <w:vAlign w:val="center"/>
          </w:tcPr>
          <w:p w14:paraId="601E0616">
            <w:pPr>
              <w:jc w:val="center"/>
              <w:rPr>
                <w:rFonts w:ascii="宋体" w:hAnsi="宋体"/>
                <w:szCs w:val="21"/>
              </w:rPr>
            </w:pPr>
            <w:r>
              <w:rPr>
                <w:rFonts w:hint="eastAsia" w:ascii="宋体" w:hAnsi="宋体"/>
                <w:szCs w:val="21"/>
              </w:rPr>
              <w:t>16</w:t>
            </w:r>
          </w:p>
        </w:tc>
        <w:tc>
          <w:tcPr>
            <w:tcW w:w="7532" w:type="dxa"/>
            <w:gridSpan w:val="2"/>
            <w:tcBorders>
              <w:tl2br w:val="nil"/>
              <w:tr2bl w:val="nil"/>
            </w:tcBorders>
            <w:vAlign w:val="center"/>
          </w:tcPr>
          <w:p w14:paraId="237D696E">
            <w:pPr>
              <w:jc w:val="both"/>
              <w:rPr>
                <w:rFonts w:ascii="宋体" w:hAnsi="宋体"/>
                <w:b/>
                <w:szCs w:val="21"/>
              </w:rPr>
            </w:pPr>
            <w:r>
              <w:rPr>
                <w:rFonts w:hint="eastAsia" w:ascii="宋体" w:hAnsi="宋体"/>
                <w:b/>
                <w:szCs w:val="21"/>
              </w:rPr>
              <w:t>中标服务费</w:t>
            </w:r>
          </w:p>
        </w:tc>
      </w:tr>
      <w:tr w14:paraId="1BF51C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452" w:hRule="atLeast"/>
        </w:trPr>
        <w:tc>
          <w:tcPr>
            <w:tcW w:w="878" w:type="dxa"/>
            <w:vMerge w:val="continue"/>
            <w:tcBorders>
              <w:tl2br w:val="nil"/>
              <w:tr2bl w:val="nil"/>
            </w:tcBorders>
            <w:vAlign w:val="center"/>
          </w:tcPr>
          <w:p w14:paraId="4F2ABB17">
            <w:pPr>
              <w:jc w:val="center"/>
              <w:rPr>
                <w:rFonts w:ascii="宋体" w:hAnsi="宋体"/>
                <w:szCs w:val="21"/>
                <w:highlight w:val="none"/>
              </w:rPr>
            </w:pPr>
          </w:p>
        </w:tc>
        <w:tc>
          <w:tcPr>
            <w:tcW w:w="7532" w:type="dxa"/>
            <w:gridSpan w:val="2"/>
            <w:tcBorders>
              <w:tl2br w:val="nil"/>
              <w:tr2bl w:val="nil"/>
            </w:tcBorders>
            <w:vAlign w:val="center"/>
          </w:tcPr>
          <w:p w14:paraId="3A496B7A">
            <w:pPr>
              <w:keepNext w:val="0"/>
              <w:keepLines w:val="0"/>
              <w:pageBreakBefore w:val="0"/>
              <w:widowControl w:val="0"/>
              <w:shd w:val="clear"/>
              <w:tabs>
                <w:tab w:val="left" w:pos="907"/>
              </w:tabs>
              <w:kinsoku/>
              <w:wordWrap/>
              <w:overflowPunct/>
              <w:topLinePunct w:val="0"/>
              <w:autoSpaceDE/>
              <w:autoSpaceDN/>
              <w:bidi w:val="0"/>
              <w:adjustRightInd/>
              <w:snapToGrid/>
              <w:spacing w:after="0" w:line="360" w:lineRule="auto"/>
              <w:jc w:val="both"/>
              <w:textAlignment w:val="auto"/>
              <w:rPr>
                <w:rFonts w:ascii="宋体" w:hAnsi="宋体"/>
                <w:szCs w:val="21"/>
                <w:highlight w:val="none"/>
              </w:rPr>
            </w:pPr>
            <w:r>
              <w:rPr>
                <w:rFonts w:hint="eastAsia" w:ascii="宋体" w:hAnsi="宋体" w:eastAsia="宋体"/>
                <w:color w:val="auto"/>
                <w:sz w:val="21"/>
                <w:szCs w:val="21"/>
                <w:highlight w:val="none"/>
              </w:rPr>
              <w:t>（1）中标服务费</w:t>
            </w:r>
            <w:r>
              <w:rPr>
                <w:rFonts w:hint="eastAsia" w:ascii="宋体" w:hAnsi="宋体" w:eastAsia="宋体"/>
                <w:color w:val="auto"/>
                <w:sz w:val="21"/>
                <w:szCs w:val="21"/>
                <w:highlight w:val="none"/>
                <w:lang w:eastAsia="zh-CN"/>
              </w:rPr>
              <w:t>参照</w:t>
            </w:r>
            <w:r>
              <w:rPr>
                <w:rFonts w:hint="eastAsia" w:ascii="宋体" w:hAnsi="宋体" w:eastAsia="宋体"/>
                <w:color w:val="auto"/>
                <w:sz w:val="21"/>
                <w:szCs w:val="21"/>
                <w:highlight w:val="none"/>
              </w:rPr>
              <w:t>国家计委[计价格[2002]1980号]文和国家发改委[发改价格[2011]534号]文及相关规定</w:t>
            </w:r>
            <w:r>
              <w:rPr>
                <w:rFonts w:hint="eastAsia" w:ascii="宋体" w:hAnsi="宋体" w:eastAsia="宋体"/>
                <w:color w:val="auto"/>
                <w:sz w:val="21"/>
                <w:szCs w:val="21"/>
                <w:highlight w:val="none"/>
                <w:lang w:eastAsia="zh-CN"/>
              </w:rPr>
              <w:t>并下浮</w:t>
            </w:r>
            <w:r>
              <w:rPr>
                <w:rFonts w:hint="eastAsia" w:ascii="宋体" w:hAnsi="宋体"/>
                <w:color w:val="auto"/>
                <w:sz w:val="21"/>
                <w:szCs w:val="21"/>
                <w:highlight w:val="none"/>
                <w:lang w:val="en-US" w:eastAsia="zh-CN"/>
              </w:rPr>
              <w:t>3</w:t>
            </w:r>
            <w:r>
              <w:rPr>
                <w:rFonts w:hint="eastAsia" w:ascii="宋体" w:hAnsi="宋体" w:eastAsia="宋体"/>
                <w:color w:val="auto"/>
                <w:sz w:val="21"/>
                <w:szCs w:val="21"/>
                <w:highlight w:val="none"/>
                <w:lang w:val="en-US" w:eastAsia="zh-CN"/>
              </w:rPr>
              <w:t>0%</w:t>
            </w:r>
            <w:r>
              <w:rPr>
                <w:rFonts w:hint="eastAsia" w:ascii="宋体" w:hAnsi="宋体" w:eastAsia="宋体"/>
                <w:b/>
                <w:bCs/>
                <w:color w:val="auto"/>
                <w:sz w:val="21"/>
                <w:szCs w:val="21"/>
                <w:highlight w:val="none"/>
                <w:u w:val="single"/>
              </w:rPr>
              <w:t>向中标单位收取</w:t>
            </w:r>
            <w:r>
              <w:rPr>
                <w:rFonts w:hint="eastAsia" w:ascii="宋体" w:hAnsi="宋体" w:eastAsia="宋体"/>
                <w:color w:val="auto"/>
                <w:sz w:val="21"/>
                <w:szCs w:val="21"/>
                <w:highlight w:val="none"/>
              </w:rPr>
              <w:t>，按差额定率累进法计算，以中标通知书中确定的中标总金额作为收费的计算</w:t>
            </w:r>
            <w:r>
              <w:rPr>
                <w:rFonts w:hint="eastAsia" w:ascii="宋体" w:hAnsi="宋体" w:eastAsia="宋体"/>
                <w:color w:val="auto"/>
                <w:sz w:val="21"/>
                <w:szCs w:val="21"/>
                <w:highlight w:val="none"/>
                <w:lang w:eastAsia="zh-CN"/>
              </w:rPr>
              <w:t>参照</w:t>
            </w:r>
            <w:r>
              <w:rPr>
                <w:rFonts w:hint="eastAsia" w:ascii="宋体" w:hAnsi="宋体" w:eastAsia="宋体"/>
                <w:color w:val="auto"/>
                <w:sz w:val="21"/>
                <w:szCs w:val="21"/>
                <w:highlight w:val="none"/>
              </w:rPr>
              <w:t>。</w:t>
            </w:r>
          </w:p>
        </w:tc>
      </w:tr>
      <w:tr w14:paraId="4AD645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684" w:hRule="atLeast"/>
        </w:trPr>
        <w:tc>
          <w:tcPr>
            <w:tcW w:w="878" w:type="dxa"/>
            <w:vMerge w:val="continue"/>
            <w:tcBorders>
              <w:tl2br w:val="nil"/>
              <w:tr2bl w:val="nil"/>
            </w:tcBorders>
            <w:vAlign w:val="center"/>
          </w:tcPr>
          <w:p w14:paraId="55816FFB">
            <w:pPr>
              <w:jc w:val="center"/>
              <w:rPr>
                <w:rFonts w:ascii="宋体" w:hAnsi="宋体"/>
                <w:szCs w:val="21"/>
              </w:rPr>
            </w:pPr>
          </w:p>
        </w:tc>
        <w:tc>
          <w:tcPr>
            <w:tcW w:w="7532" w:type="dxa"/>
            <w:gridSpan w:val="2"/>
            <w:tcBorders>
              <w:tl2br w:val="nil"/>
              <w:tr2bl w:val="nil"/>
            </w:tcBorders>
            <w:vAlign w:val="center"/>
          </w:tcPr>
          <w:p w14:paraId="20144D4B">
            <w:pPr>
              <w:shd w:val="clear"/>
              <w:jc w:val="both"/>
              <w:rPr>
                <w:rFonts w:hint="eastAsia" w:ascii="宋体" w:hAnsi="宋体" w:eastAsia="宋体"/>
                <w:color w:val="auto"/>
                <w:sz w:val="21"/>
                <w:szCs w:val="21"/>
                <w:highlight w:val="none"/>
              </w:rPr>
            </w:pPr>
            <w:r>
              <w:rPr>
                <w:rFonts w:hint="eastAsia" w:ascii="宋体" w:hAnsi="宋体" w:eastAsia="宋体"/>
                <w:color w:val="auto"/>
                <w:sz w:val="21"/>
                <w:szCs w:val="21"/>
                <w:highlight w:val="none"/>
              </w:rPr>
              <w:t>（2）中标服务费以转账或现金的形式支付。</w:t>
            </w:r>
            <w:r>
              <w:rPr>
                <w:rFonts w:hint="eastAsia" w:ascii="宋体" w:hAnsi="宋体" w:eastAsia="宋体"/>
                <w:color w:val="auto"/>
                <w:sz w:val="21"/>
                <w:szCs w:val="21"/>
                <w:highlight w:val="none"/>
                <w:lang w:eastAsia="zh-CN"/>
              </w:rPr>
              <w:t>招标代理机构</w:t>
            </w:r>
            <w:r>
              <w:rPr>
                <w:rFonts w:hint="eastAsia" w:ascii="宋体" w:hAnsi="宋体" w:eastAsia="宋体"/>
                <w:color w:val="auto"/>
                <w:sz w:val="21"/>
                <w:szCs w:val="21"/>
                <w:highlight w:val="none"/>
              </w:rPr>
              <w:t>服务费汇入账号：</w:t>
            </w:r>
          </w:p>
          <w:p w14:paraId="06A9E874">
            <w:pPr>
              <w:jc w:val="both"/>
              <w:rPr>
                <w:rFonts w:hint="eastAsia" w:ascii="宋体" w:hAnsi="宋体"/>
                <w:color w:val="auto"/>
                <w:szCs w:val="21"/>
              </w:rPr>
            </w:pPr>
            <w:r>
              <w:rPr>
                <w:rFonts w:hint="eastAsia" w:ascii="宋体" w:hAnsi="宋体"/>
                <w:color w:val="auto"/>
                <w:szCs w:val="21"/>
              </w:rPr>
              <w:t>收 款 人：</w:t>
            </w:r>
            <w:r>
              <w:rPr>
                <w:rFonts w:hint="eastAsia" w:ascii="宋体" w:hAnsi="宋体"/>
                <w:color w:val="auto"/>
                <w:szCs w:val="21"/>
                <w:lang w:eastAsia="zh-CN"/>
              </w:rPr>
              <w:t>广州宏达工程顾问集团有限公司</w:t>
            </w:r>
            <w:r>
              <w:rPr>
                <w:rFonts w:hint="eastAsia" w:ascii="宋体" w:hAnsi="宋体"/>
                <w:color w:val="auto"/>
                <w:szCs w:val="21"/>
              </w:rPr>
              <w:t>东莞分公司</w:t>
            </w:r>
          </w:p>
          <w:p w14:paraId="1AD9878D">
            <w:pPr>
              <w:jc w:val="both"/>
              <w:rPr>
                <w:rFonts w:hint="eastAsia" w:ascii="宋体" w:hAnsi="宋体" w:eastAsia="宋体"/>
                <w:color w:val="auto"/>
                <w:szCs w:val="21"/>
                <w:lang w:eastAsia="zh-CN"/>
              </w:rPr>
            </w:pPr>
            <w:r>
              <w:rPr>
                <w:rFonts w:hint="eastAsia" w:ascii="宋体" w:hAnsi="宋体"/>
                <w:color w:val="auto"/>
                <w:szCs w:val="21"/>
              </w:rPr>
              <w:t>开户银行：</w:t>
            </w:r>
            <w:r>
              <w:rPr>
                <w:rFonts w:hint="eastAsia" w:ascii="宋体" w:hAnsi="宋体"/>
                <w:color w:val="auto"/>
                <w:szCs w:val="21"/>
                <w:lang w:eastAsia="zh-CN"/>
              </w:rPr>
              <w:t>招商银行东莞分行营业部</w:t>
            </w:r>
          </w:p>
          <w:p w14:paraId="115B7384">
            <w:pPr>
              <w:shd w:val="clear"/>
              <w:jc w:val="both"/>
              <w:rPr>
                <w:rFonts w:ascii="宋体" w:hAnsi="宋体"/>
                <w:szCs w:val="21"/>
              </w:rPr>
            </w:pPr>
            <w:r>
              <w:rPr>
                <w:rFonts w:hint="eastAsia" w:ascii="宋体" w:hAnsi="宋体"/>
                <w:color w:val="auto"/>
                <w:szCs w:val="21"/>
              </w:rPr>
              <w:t>账　　号：</w:t>
            </w:r>
            <w:r>
              <w:rPr>
                <w:rFonts w:hint="eastAsia" w:ascii="宋体" w:hAnsi="宋体"/>
                <w:color w:val="auto"/>
                <w:szCs w:val="21"/>
                <w:lang w:eastAsia="zh-CN"/>
              </w:rPr>
              <w:t>769911939210000</w:t>
            </w:r>
          </w:p>
        </w:tc>
      </w:tr>
      <w:tr w14:paraId="43891BC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28" w:type="dxa"/>
            <w:bottom w:w="0" w:type="dxa"/>
            <w:right w:w="28" w:type="dxa"/>
          </w:tblCellMar>
        </w:tblPrEx>
        <w:trPr>
          <w:trHeight w:val="820" w:hRule="atLeast"/>
        </w:trPr>
        <w:tc>
          <w:tcPr>
            <w:tcW w:w="8410" w:type="dxa"/>
            <w:gridSpan w:val="3"/>
            <w:tcBorders>
              <w:tl2br w:val="nil"/>
              <w:tr2bl w:val="nil"/>
            </w:tcBorders>
            <w:vAlign w:val="center"/>
          </w:tcPr>
          <w:p w14:paraId="5A300859">
            <w:pPr>
              <w:widowControl w:val="0"/>
              <w:tabs>
                <w:tab w:val="left" w:pos="907"/>
              </w:tabs>
              <w:adjustRightInd/>
              <w:snapToGrid/>
              <w:ind w:firstLine="420" w:firstLineChars="200"/>
              <w:jc w:val="both"/>
              <w:rPr>
                <w:rFonts w:ascii="宋体" w:hAnsi="宋体"/>
                <w:szCs w:val="21"/>
              </w:rPr>
            </w:pPr>
            <w:r>
              <w:rPr>
                <w:rFonts w:hint="eastAsia" w:ascii="宋体" w:hAnsi="宋体"/>
                <w:szCs w:val="21"/>
              </w:rPr>
              <w:t>注：本表关于要采购项目的具体资料，是对投标人须知的具体补充和修改，如有矛盾，应以本资料表为准。不满足采购文件中 “★”条款的投标文件将作无效投标处理。</w:t>
            </w:r>
          </w:p>
        </w:tc>
      </w:tr>
    </w:tbl>
    <w:p w14:paraId="57828579">
      <w:pPr>
        <w:jc w:val="center"/>
      </w:pPr>
      <w:r>
        <w:rPr>
          <w:rFonts w:hint="eastAsia"/>
        </w:rPr>
        <w:br w:type="page"/>
      </w:r>
    </w:p>
    <w:p w14:paraId="0AFB89E6">
      <w:pPr>
        <w:pStyle w:val="6"/>
        <w:spacing w:before="0" w:after="0" w:line="240" w:lineRule="auto"/>
        <w:jc w:val="center"/>
        <w:rPr>
          <w:rFonts w:hAnsi="宋体" w:cs="宋体"/>
          <w:sz w:val="21"/>
          <w:szCs w:val="21"/>
        </w:rPr>
      </w:pPr>
      <w:bookmarkStart w:id="8" w:name="_Toc15830"/>
      <w:bookmarkStart w:id="9" w:name="_Toc8826"/>
      <w:r>
        <w:rPr>
          <w:rFonts w:hint="eastAsia" w:ascii="宋体" w:hAnsi="宋体" w:cs="宋体"/>
          <w:sz w:val="24"/>
          <w:szCs w:val="24"/>
        </w:rPr>
        <w:t>附表二：商务技术评分及价格权重表（满分100分）</w:t>
      </w:r>
      <w:bookmarkEnd w:id="8"/>
      <w:bookmarkEnd w:id="9"/>
    </w:p>
    <w:tbl>
      <w:tblPr>
        <w:tblStyle w:val="31"/>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1609"/>
        <w:gridCol w:w="734"/>
        <w:gridCol w:w="28"/>
        <w:gridCol w:w="5461"/>
      </w:tblGrid>
      <w:tr w14:paraId="2316B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14:paraId="10677FAB">
            <w:pPr>
              <w:pStyle w:val="46"/>
              <w:spacing w:line="360" w:lineRule="auto"/>
              <w:ind w:firstLine="0" w:firstLineChars="0"/>
              <w:jc w:val="center"/>
              <w:rPr>
                <w:rFonts w:ascii="宋体" w:eastAsia="宋体" w:cs="宋体"/>
                <w:b/>
                <w:bCs/>
                <w:sz w:val="21"/>
                <w:szCs w:val="21"/>
              </w:rPr>
            </w:pPr>
            <w:r>
              <w:rPr>
                <w:rFonts w:hint="eastAsia" w:ascii="宋体" w:eastAsia="宋体" w:cs="宋体"/>
                <w:b/>
                <w:bCs/>
                <w:sz w:val="21"/>
                <w:szCs w:val="21"/>
              </w:rPr>
              <w:t>序号</w:t>
            </w:r>
          </w:p>
        </w:tc>
        <w:tc>
          <w:tcPr>
            <w:tcW w:w="1609" w:type="dxa"/>
            <w:tcBorders>
              <w:top w:val="single" w:color="auto" w:sz="4" w:space="0"/>
              <w:left w:val="single" w:color="auto" w:sz="4" w:space="0"/>
              <w:bottom w:val="single" w:color="auto" w:sz="4" w:space="0"/>
              <w:right w:val="single" w:color="auto" w:sz="4" w:space="0"/>
            </w:tcBorders>
            <w:vAlign w:val="center"/>
          </w:tcPr>
          <w:p w14:paraId="260ECCC9">
            <w:pPr>
              <w:pStyle w:val="46"/>
              <w:spacing w:line="360" w:lineRule="auto"/>
              <w:ind w:firstLine="0" w:firstLineChars="0"/>
              <w:jc w:val="center"/>
              <w:rPr>
                <w:rFonts w:ascii="宋体" w:eastAsia="宋体" w:cs="宋体"/>
                <w:b/>
                <w:bCs/>
                <w:sz w:val="21"/>
                <w:szCs w:val="21"/>
              </w:rPr>
            </w:pPr>
            <w:r>
              <w:rPr>
                <w:rFonts w:hint="eastAsia" w:ascii="宋体" w:eastAsia="宋体" w:cs="宋体"/>
                <w:b/>
                <w:bCs/>
                <w:sz w:val="21"/>
                <w:szCs w:val="21"/>
              </w:rPr>
              <w:t>评审项目</w:t>
            </w:r>
          </w:p>
        </w:tc>
        <w:tc>
          <w:tcPr>
            <w:tcW w:w="762" w:type="dxa"/>
            <w:gridSpan w:val="2"/>
            <w:tcBorders>
              <w:top w:val="single" w:color="auto" w:sz="4" w:space="0"/>
              <w:left w:val="single" w:color="auto" w:sz="4" w:space="0"/>
              <w:bottom w:val="single" w:color="auto" w:sz="4" w:space="0"/>
              <w:right w:val="single" w:color="auto" w:sz="4" w:space="0"/>
            </w:tcBorders>
            <w:vAlign w:val="center"/>
          </w:tcPr>
          <w:p w14:paraId="51F51A81">
            <w:pPr>
              <w:pStyle w:val="46"/>
              <w:spacing w:line="360" w:lineRule="auto"/>
              <w:ind w:firstLine="0" w:firstLineChars="0"/>
              <w:jc w:val="center"/>
              <w:rPr>
                <w:rFonts w:ascii="宋体" w:eastAsia="宋体" w:cs="宋体"/>
                <w:b/>
                <w:bCs/>
                <w:sz w:val="21"/>
                <w:szCs w:val="21"/>
              </w:rPr>
            </w:pPr>
            <w:r>
              <w:rPr>
                <w:rFonts w:hint="eastAsia" w:ascii="宋体" w:eastAsia="宋体" w:cs="宋体"/>
                <w:b/>
                <w:bCs/>
                <w:sz w:val="21"/>
                <w:szCs w:val="21"/>
              </w:rPr>
              <w:t>分值</w:t>
            </w:r>
          </w:p>
        </w:tc>
        <w:tc>
          <w:tcPr>
            <w:tcW w:w="5461" w:type="dxa"/>
            <w:tcBorders>
              <w:top w:val="single" w:color="auto" w:sz="4" w:space="0"/>
              <w:left w:val="single" w:color="auto" w:sz="4" w:space="0"/>
              <w:bottom w:val="single" w:color="auto" w:sz="4" w:space="0"/>
              <w:right w:val="single" w:color="auto" w:sz="4" w:space="0"/>
            </w:tcBorders>
            <w:vAlign w:val="center"/>
          </w:tcPr>
          <w:p w14:paraId="2433964E">
            <w:pPr>
              <w:pStyle w:val="46"/>
              <w:spacing w:line="360" w:lineRule="auto"/>
              <w:ind w:firstLine="0" w:firstLineChars="0"/>
              <w:jc w:val="center"/>
              <w:rPr>
                <w:rFonts w:ascii="宋体" w:eastAsia="宋体" w:cs="宋体"/>
                <w:b/>
                <w:bCs/>
                <w:sz w:val="21"/>
                <w:szCs w:val="21"/>
              </w:rPr>
            </w:pPr>
            <w:r>
              <w:rPr>
                <w:rFonts w:hint="eastAsia" w:ascii="宋体" w:eastAsia="宋体" w:cs="宋体"/>
                <w:b/>
                <w:bCs/>
                <w:sz w:val="21"/>
                <w:szCs w:val="21"/>
              </w:rPr>
              <w:t>评审细则</w:t>
            </w:r>
          </w:p>
        </w:tc>
      </w:tr>
      <w:tr w14:paraId="48F5D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522" w:type="dxa"/>
            <w:gridSpan w:val="5"/>
            <w:tcBorders>
              <w:top w:val="single" w:color="auto" w:sz="4" w:space="0"/>
              <w:left w:val="single" w:color="auto" w:sz="4" w:space="0"/>
              <w:bottom w:val="single" w:color="auto" w:sz="4" w:space="0"/>
              <w:right w:val="single" w:color="auto" w:sz="4" w:space="0"/>
            </w:tcBorders>
            <w:vAlign w:val="center"/>
          </w:tcPr>
          <w:p w14:paraId="10FE99D2">
            <w:pPr>
              <w:pStyle w:val="46"/>
              <w:spacing w:line="360" w:lineRule="auto"/>
              <w:ind w:firstLine="0" w:firstLineChars="0"/>
              <w:jc w:val="center"/>
              <w:rPr>
                <w:rFonts w:ascii="宋体" w:eastAsia="宋体" w:cs="宋体"/>
                <w:b/>
                <w:bCs/>
                <w:sz w:val="21"/>
                <w:szCs w:val="21"/>
              </w:rPr>
            </w:pPr>
            <w:r>
              <w:rPr>
                <w:rFonts w:hint="eastAsia" w:ascii="宋体" w:eastAsia="宋体" w:cs="宋体"/>
                <w:b/>
                <w:bCs/>
                <w:sz w:val="21"/>
                <w:szCs w:val="21"/>
              </w:rPr>
              <w:t>商务评审（</w:t>
            </w:r>
            <w:r>
              <w:rPr>
                <w:rFonts w:hint="eastAsia" w:ascii="宋体" w:eastAsia="宋体" w:cs="宋体"/>
                <w:b/>
                <w:bCs/>
                <w:sz w:val="21"/>
                <w:szCs w:val="21"/>
                <w:lang w:val="en-US" w:eastAsia="zh-CN"/>
              </w:rPr>
              <w:t>40</w:t>
            </w:r>
            <w:r>
              <w:rPr>
                <w:rFonts w:hint="eastAsia" w:ascii="宋体" w:eastAsia="宋体" w:cs="宋体"/>
                <w:b/>
                <w:bCs/>
                <w:sz w:val="21"/>
                <w:szCs w:val="21"/>
              </w:rPr>
              <w:t>分）</w:t>
            </w:r>
          </w:p>
        </w:tc>
      </w:tr>
      <w:tr w14:paraId="4FF62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90" w:type="dxa"/>
            <w:tcBorders>
              <w:top w:val="single" w:color="auto" w:sz="4" w:space="0"/>
              <w:left w:val="single" w:color="auto" w:sz="4" w:space="0"/>
              <w:right w:val="single" w:color="auto" w:sz="4" w:space="0"/>
            </w:tcBorders>
            <w:vAlign w:val="center"/>
          </w:tcPr>
          <w:p w14:paraId="4F560ED0">
            <w:pPr>
              <w:pStyle w:val="46"/>
              <w:spacing w:line="360" w:lineRule="auto"/>
              <w:ind w:firstLine="0" w:firstLineChars="0"/>
              <w:jc w:val="center"/>
              <w:rPr>
                <w:rFonts w:ascii="宋体" w:eastAsia="宋体" w:cs="宋体"/>
                <w:sz w:val="21"/>
                <w:szCs w:val="21"/>
              </w:rPr>
            </w:pPr>
            <w:r>
              <w:rPr>
                <w:rFonts w:hint="eastAsia" w:ascii="宋体" w:eastAsia="宋体" w:cs="宋体"/>
                <w:sz w:val="21"/>
                <w:szCs w:val="21"/>
              </w:rPr>
              <w:t>1</w:t>
            </w:r>
          </w:p>
        </w:tc>
        <w:tc>
          <w:tcPr>
            <w:tcW w:w="1609" w:type="dxa"/>
            <w:tcBorders>
              <w:top w:val="single" w:color="auto" w:sz="4" w:space="0"/>
              <w:left w:val="single" w:color="auto" w:sz="4" w:space="0"/>
              <w:right w:val="single" w:color="auto" w:sz="4" w:space="0"/>
            </w:tcBorders>
            <w:vAlign w:val="center"/>
          </w:tcPr>
          <w:p w14:paraId="1AB8C0EE">
            <w:pPr>
              <w:pStyle w:val="46"/>
              <w:spacing w:line="360" w:lineRule="auto"/>
              <w:ind w:firstLine="0" w:firstLineChars="0"/>
              <w:jc w:val="center"/>
              <w:rPr>
                <w:rFonts w:ascii="宋体" w:eastAsia="宋体" w:cs="宋体"/>
                <w:sz w:val="21"/>
                <w:szCs w:val="21"/>
                <w:u w:val="none"/>
              </w:rPr>
            </w:pPr>
            <w:r>
              <w:rPr>
                <w:rFonts w:hint="eastAsia" w:ascii="宋体" w:eastAsia="宋体" w:cs="宋体"/>
                <w:sz w:val="21"/>
                <w:szCs w:val="21"/>
                <w:u w:val="none"/>
              </w:rPr>
              <w:t>企业管理体系</w:t>
            </w:r>
          </w:p>
        </w:tc>
        <w:tc>
          <w:tcPr>
            <w:tcW w:w="762" w:type="dxa"/>
            <w:gridSpan w:val="2"/>
            <w:tcBorders>
              <w:top w:val="single" w:color="auto" w:sz="4" w:space="0"/>
              <w:left w:val="single" w:color="auto" w:sz="4" w:space="0"/>
              <w:bottom w:val="single" w:color="auto" w:sz="4" w:space="0"/>
              <w:right w:val="single" w:color="auto" w:sz="4" w:space="0"/>
            </w:tcBorders>
            <w:vAlign w:val="center"/>
          </w:tcPr>
          <w:p w14:paraId="70370710">
            <w:pPr>
              <w:pStyle w:val="46"/>
              <w:spacing w:line="360" w:lineRule="auto"/>
              <w:ind w:firstLine="0" w:firstLineChars="0"/>
              <w:jc w:val="center"/>
              <w:rPr>
                <w:rFonts w:hint="eastAsia" w:ascii="宋体" w:eastAsia="宋体" w:cs="宋体"/>
                <w:sz w:val="21"/>
                <w:szCs w:val="21"/>
                <w:u w:val="none"/>
                <w:lang w:val="en-US" w:eastAsia="zh-CN"/>
              </w:rPr>
            </w:pPr>
            <w:r>
              <w:rPr>
                <w:rFonts w:hint="eastAsia" w:ascii="宋体" w:eastAsia="宋体" w:cs="宋体"/>
                <w:sz w:val="21"/>
                <w:szCs w:val="21"/>
                <w:u w:val="none"/>
                <w:lang w:val="en-US" w:eastAsia="zh-CN"/>
              </w:rPr>
              <w:t>3</w:t>
            </w:r>
          </w:p>
        </w:tc>
        <w:tc>
          <w:tcPr>
            <w:tcW w:w="5461" w:type="dxa"/>
            <w:tcBorders>
              <w:top w:val="single" w:color="auto" w:sz="4" w:space="0"/>
              <w:left w:val="single" w:color="auto" w:sz="4" w:space="0"/>
              <w:bottom w:val="single" w:color="auto" w:sz="4" w:space="0"/>
              <w:right w:val="single" w:color="auto" w:sz="4" w:space="0"/>
            </w:tcBorders>
            <w:vAlign w:val="center"/>
          </w:tcPr>
          <w:p w14:paraId="400F251E">
            <w:pPr>
              <w:pStyle w:val="46"/>
              <w:spacing w:line="360" w:lineRule="auto"/>
              <w:ind w:firstLine="420" w:firstLineChars="200"/>
              <w:rPr>
                <w:rFonts w:ascii="宋体" w:eastAsia="宋体" w:cs="宋体"/>
                <w:bCs/>
                <w:sz w:val="21"/>
                <w:szCs w:val="21"/>
                <w:u w:val="none"/>
              </w:rPr>
            </w:pPr>
            <w:r>
              <w:rPr>
                <w:rFonts w:hint="eastAsia" w:ascii="宋体" w:eastAsia="宋体" w:cs="宋体"/>
                <w:bCs/>
                <w:sz w:val="21"/>
                <w:szCs w:val="21"/>
                <w:u w:val="none"/>
              </w:rPr>
              <w:t>投标人具有由国家认证认可监督管理部门批准设立的认证机构颁发的有效期内认证证书：</w:t>
            </w:r>
          </w:p>
          <w:p w14:paraId="12FD8868">
            <w:pPr>
              <w:pStyle w:val="46"/>
              <w:spacing w:line="360" w:lineRule="auto"/>
              <w:ind w:firstLine="420" w:firstLineChars="200"/>
              <w:rPr>
                <w:rFonts w:ascii="宋体" w:eastAsia="宋体" w:cs="宋体"/>
                <w:bCs/>
                <w:sz w:val="21"/>
                <w:szCs w:val="21"/>
                <w:u w:val="none"/>
              </w:rPr>
            </w:pPr>
            <w:r>
              <w:rPr>
                <w:rFonts w:hint="eastAsia" w:ascii="宋体" w:eastAsia="宋体" w:cs="宋体"/>
                <w:bCs/>
                <w:sz w:val="21"/>
                <w:szCs w:val="21"/>
                <w:u w:val="none"/>
              </w:rPr>
              <w:t>①质量管理体系认证；</w:t>
            </w:r>
          </w:p>
          <w:p w14:paraId="7454451D">
            <w:pPr>
              <w:pStyle w:val="46"/>
              <w:spacing w:line="360" w:lineRule="auto"/>
              <w:ind w:firstLine="420" w:firstLineChars="200"/>
              <w:rPr>
                <w:rFonts w:ascii="宋体" w:eastAsia="宋体" w:cs="宋体"/>
                <w:bCs/>
                <w:sz w:val="21"/>
                <w:szCs w:val="21"/>
                <w:u w:val="none"/>
              </w:rPr>
            </w:pPr>
            <w:r>
              <w:rPr>
                <w:rFonts w:hint="eastAsia" w:ascii="宋体" w:eastAsia="宋体" w:cs="宋体"/>
                <w:bCs/>
                <w:sz w:val="21"/>
                <w:szCs w:val="21"/>
                <w:u w:val="none"/>
              </w:rPr>
              <w:t>②环境管理体系认证；</w:t>
            </w:r>
          </w:p>
          <w:p w14:paraId="0450B17E">
            <w:pPr>
              <w:pStyle w:val="46"/>
              <w:spacing w:line="360" w:lineRule="auto"/>
              <w:ind w:firstLine="420" w:firstLineChars="200"/>
              <w:rPr>
                <w:rFonts w:ascii="宋体" w:eastAsia="宋体" w:cs="宋体"/>
                <w:bCs/>
                <w:sz w:val="21"/>
                <w:szCs w:val="21"/>
                <w:u w:val="none"/>
              </w:rPr>
            </w:pPr>
            <w:r>
              <w:rPr>
                <w:rFonts w:hint="eastAsia" w:ascii="宋体" w:eastAsia="宋体" w:cs="宋体"/>
                <w:bCs/>
                <w:sz w:val="21"/>
                <w:szCs w:val="21"/>
                <w:u w:val="none"/>
              </w:rPr>
              <w:t>③职业健康安全管理体系认证；</w:t>
            </w:r>
          </w:p>
          <w:p w14:paraId="090FF34E">
            <w:pPr>
              <w:pStyle w:val="46"/>
              <w:spacing w:line="360" w:lineRule="auto"/>
              <w:ind w:firstLine="422" w:firstLineChars="200"/>
              <w:rPr>
                <w:rFonts w:ascii="宋体" w:eastAsia="宋体" w:cs="宋体"/>
                <w:bCs/>
                <w:sz w:val="21"/>
                <w:szCs w:val="21"/>
                <w:u w:val="none"/>
                <w:lang w:val="zh-CN"/>
              </w:rPr>
            </w:pPr>
            <w:r>
              <w:rPr>
                <w:rFonts w:hint="eastAsia" w:ascii="宋体" w:eastAsia="宋体" w:cs="宋体"/>
                <w:b/>
                <w:bCs w:val="0"/>
                <w:color w:val="auto"/>
                <w:sz w:val="21"/>
                <w:szCs w:val="21"/>
                <w:highlight w:val="none"/>
                <w:u w:val="none"/>
                <w:lang w:val="zh-CN"/>
              </w:rPr>
              <w:t>注：投标人</w:t>
            </w:r>
            <w:r>
              <w:rPr>
                <w:rFonts w:hint="eastAsia" w:ascii="宋体" w:eastAsia="宋体" w:cs="宋体"/>
                <w:b/>
                <w:bCs w:val="0"/>
                <w:color w:val="auto"/>
                <w:sz w:val="21"/>
                <w:szCs w:val="21"/>
                <w:highlight w:val="none"/>
                <w:u w:val="none"/>
                <w:lang w:val="en-US" w:eastAsia="zh-CN"/>
              </w:rPr>
              <w:t>(或</w:t>
            </w:r>
            <w:r>
              <w:rPr>
                <w:rFonts w:hint="eastAsia" w:ascii="宋体" w:eastAsia="宋体" w:cs="宋体"/>
                <w:b/>
                <w:bCs w:val="0"/>
                <w:color w:val="auto"/>
                <w:sz w:val="21"/>
                <w:szCs w:val="21"/>
                <w:highlight w:val="none"/>
                <w:u w:val="none"/>
                <w:lang w:val="zh-CN"/>
              </w:rPr>
              <w:t>联合体任意一方</w:t>
            </w:r>
            <w:r>
              <w:rPr>
                <w:rFonts w:hint="eastAsia" w:ascii="宋体" w:eastAsia="宋体" w:cs="宋体"/>
                <w:b/>
                <w:bCs w:val="0"/>
                <w:color w:val="auto"/>
                <w:sz w:val="21"/>
                <w:szCs w:val="21"/>
                <w:highlight w:val="none"/>
                <w:u w:val="none"/>
                <w:lang w:val="en-US" w:eastAsia="zh-CN"/>
              </w:rPr>
              <w:t>)</w:t>
            </w:r>
            <w:r>
              <w:rPr>
                <w:rFonts w:hint="eastAsia" w:ascii="宋体" w:eastAsia="宋体" w:cs="宋体"/>
                <w:b/>
                <w:bCs w:val="0"/>
                <w:color w:val="auto"/>
                <w:sz w:val="21"/>
                <w:szCs w:val="21"/>
                <w:highlight w:val="none"/>
                <w:u w:val="none"/>
              </w:rPr>
              <w:t>每提供一项得</w:t>
            </w:r>
            <w:r>
              <w:rPr>
                <w:rFonts w:hint="eastAsia" w:ascii="宋体" w:eastAsia="宋体" w:cs="宋体"/>
                <w:b/>
                <w:bCs w:val="0"/>
                <w:color w:val="auto"/>
                <w:sz w:val="21"/>
                <w:szCs w:val="21"/>
                <w:highlight w:val="none"/>
                <w:u w:val="none"/>
                <w:lang w:val="en-US" w:eastAsia="zh-CN"/>
              </w:rPr>
              <w:t>1</w:t>
            </w:r>
            <w:r>
              <w:rPr>
                <w:rFonts w:hint="eastAsia" w:ascii="宋体" w:eastAsia="宋体" w:cs="宋体"/>
                <w:b/>
                <w:bCs w:val="0"/>
                <w:color w:val="auto"/>
                <w:sz w:val="21"/>
                <w:szCs w:val="21"/>
                <w:highlight w:val="none"/>
                <w:u w:val="none"/>
              </w:rPr>
              <w:t>分，本项最高得</w:t>
            </w:r>
            <w:r>
              <w:rPr>
                <w:rFonts w:hint="eastAsia" w:ascii="宋体" w:eastAsia="宋体" w:cs="宋体"/>
                <w:b/>
                <w:bCs w:val="0"/>
                <w:color w:val="auto"/>
                <w:sz w:val="21"/>
                <w:szCs w:val="21"/>
                <w:highlight w:val="none"/>
                <w:u w:val="none"/>
                <w:lang w:val="en-US" w:eastAsia="zh-CN"/>
              </w:rPr>
              <w:t>3</w:t>
            </w:r>
            <w:r>
              <w:rPr>
                <w:rFonts w:hint="eastAsia" w:ascii="宋体" w:eastAsia="宋体" w:cs="宋体"/>
                <w:b/>
                <w:bCs w:val="0"/>
                <w:color w:val="auto"/>
                <w:sz w:val="21"/>
                <w:szCs w:val="21"/>
                <w:highlight w:val="none"/>
                <w:u w:val="none"/>
              </w:rPr>
              <w:t>分</w:t>
            </w:r>
            <w:r>
              <w:rPr>
                <w:rFonts w:hint="eastAsia" w:ascii="宋体" w:eastAsia="宋体" w:cs="宋体"/>
                <w:b/>
                <w:bCs w:val="0"/>
                <w:color w:val="auto"/>
                <w:sz w:val="21"/>
                <w:szCs w:val="21"/>
                <w:highlight w:val="none"/>
                <w:u w:val="none"/>
                <w:lang w:val="en-US" w:eastAsia="zh-CN"/>
              </w:rPr>
              <w:t>,</w:t>
            </w:r>
            <w:r>
              <w:rPr>
                <w:rFonts w:hint="eastAsia" w:ascii="宋体" w:eastAsia="宋体" w:cs="宋体"/>
                <w:b/>
                <w:bCs w:val="0"/>
                <w:color w:val="auto"/>
                <w:sz w:val="21"/>
                <w:szCs w:val="21"/>
                <w:highlight w:val="none"/>
                <w:u w:val="none"/>
                <w:lang w:val="zh-CN"/>
              </w:rPr>
              <w:t>应提供上述有效证书复印件及能显示证书有效状态的全国认证认可信息公共服务平台（http://cx.cnca.cn/）查询结果凭证[凭证界面需显示有“全国认证认可信息公共服务平台”或“认证证书（需显示网址cx.cnca.cn）”]，否则不得分。</w:t>
            </w:r>
          </w:p>
        </w:tc>
      </w:tr>
      <w:tr w14:paraId="07D39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14:paraId="00CE4C7E">
            <w:pPr>
              <w:pStyle w:val="46"/>
              <w:spacing w:line="360" w:lineRule="auto"/>
              <w:ind w:firstLine="0" w:firstLineChars="0"/>
              <w:jc w:val="center"/>
              <w:rPr>
                <w:rFonts w:ascii="宋体" w:eastAsia="宋体" w:cs="宋体"/>
                <w:sz w:val="21"/>
                <w:szCs w:val="21"/>
              </w:rPr>
            </w:pPr>
            <w:r>
              <w:rPr>
                <w:rFonts w:hint="eastAsia" w:ascii="宋体" w:eastAsia="宋体" w:cs="宋体"/>
                <w:sz w:val="21"/>
                <w:szCs w:val="21"/>
              </w:rPr>
              <w:t>2</w:t>
            </w:r>
          </w:p>
        </w:tc>
        <w:tc>
          <w:tcPr>
            <w:tcW w:w="1609" w:type="dxa"/>
            <w:tcBorders>
              <w:top w:val="single" w:color="auto" w:sz="4" w:space="0"/>
              <w:left w:val="single" w:color="auto" w:sz="4" w:space="0"/>
              <w:bottom w:val="single" w:color="auto" w:sz="4" w:space="0"/>
              <w:right w:val="single" w:color="auto" w:sz="4" w:space="0"/>
            </w:tcBorders>
            <w:vAlign w:val="center"/>
          </w:tcPr>
          <w:p w14:paraId="0E6FFD07">
            <w:pPr>
              <w:pStyle w:val="46"/>
              <w:spacing w:line="360" w:lineRule="auto"/>
              <w:ind w:firstLine="0" w:firstLineChars="0"/>
              <w:jc w:val="center"/>
              <w:rPr>
                <w:rFonts w:ascii="宋体" w:eastAsia="宋体" w:cs="宋体"/>
                <w:sz w:val="21"/>
                <w:szCs w:val="21"/>
                <w:u w:val="none"/>
              </w:rPr>
            </w:pPr>
            <w:r>
              <w:rPr>
                <w:rFonts w:hint="eastAsia" w:ascii="宋体" w:eastAsia="宋体" w:cs="宋体"/>
                <w:sz w:val="21"/>
                <w:szCs w:val="21"/>
              </w:rPr>
              <w:t>企业实力与信誉</w:t>
            </w:r>
          </w:p>
        </w:tc>
        <w:tc>
          <w:tcPr>
            <w:tcW w:w="762" w:type="dxa"/>
            <w:gridSpan w:val="2"/>
            <w:tcBorders>
              <w:top w:val="single" w:color="auto" w:sz="4" w:space="0"/>
              <w:left w:val="single" w:color="auto" w:sz="4" w:space="0"/>
              <w:bottom w:val="single" w:color="auto" w:sz="4" w:space="0"/>
              <w:right w:val="single" w:color="auto" w:sz="4" w:space="0"/>
            </w:tcBorders>
            <w:vAlign w:val="center"/>
          </w:tcPr>
          <w:p w14:paraId="2B17B68D">
            <w:pPr>
              <w:pStyle w:val="46"/>
              <w:spacing w:line="360" w:lineRule="auto"/>
              <w:ind w:firstLine="0" w:firstLineChars="0"/>
              <w:jc w:val="center"/>
              <w:rPr>
                <w:rFonts w:hint="eastAsia" w:ascii="宋体" w:eastAsia="宋体" w:cs="宋体"/>
                <w:sz w:val="21"/>
                <w:szCs w:val="21"/>
                <w:u w:val="none"/>
                <w:lang w:val="en-US" w:eastAsia="zh-CN"/>
              </w:rPr>
            </w:pPr>
            <w:r>
              <w:rPr>
                <w:rFonts w:hint="eastAsia" w:ascii="宋体" w:eastAsia="宋体" w:cs="宋体"/>
                <w:sz w:val="21"/>
                <w:szCs w:val="21"/>
                <w:u w:val="none"/>
                <w:lang w:val="en-US" w:eastAsia="zh-CN"/>
              </w:rPr>
              <w:t>8</w:t>
            </w:r>
          </w:p>
        </w:tc>
        <w:tc>
          <w:tcPr>
            <w:tcW w:w="5461" w:type="dxa"/>
            <w:tcBorders>
              <w:top w:val="single" w:color="auto" w:sz="4" w:space="0"/>
              <w:left w:val="single" w:color="auto" w:sz="4" w:space="0"/>
              <w:bottom w:val="single" w:color="auto" w:sz="4" w:space="0"/>
              <w:right w:val="single" w:color="auto" w:sz="4" w:space="0"/>
            </w:tcBorders>
            <w:vAlign w:val="center"/>
          </w:tcPr>
          <w:p w14:paraId="04FE203C">
            <w:pPr>
              <w:pStyle w:val="46"/>
              <w:numPr>
                <w:ilvl w:val="-1"/>
                <w:numId w:val="0"/>
              </w:numPr>
              <w:spacing w:line="360" w:lineRule="auto"/>
              <w:ind w:firstLine="420" w:firstLineChars="200"/>
              <w:rPr>
                <w:rFonts w:hint="eastAsia" w:ascii="宋体" w:eastAsia="宋体" w:cs="宋体"/>
                <w:bCs/>
                <w:sz w:val="21"/>
                <w:szCs w:val="21"/>
                <w:u w:val="none"/>
              </w:rPr>
            </w:pPr>
            <w:r>
              <w:rPr>
                <w:rFonts w:hint="eastAsia" w:ascii="宋体" w:eastAsia="宋体" w:cs="宋体"/>
                <w:bCs/>
                <w:sz w:val="21"/>
                <w:szCs w:val="21"/>
                <w:u w:val="none"/>
              </w:rPr>
              <w:t>（1）投标人具有第三方信用服务机构出具的有效期内的企业信用等级AAA证书得1分，企业信用等级AA证书得0.5分，最多得1分；</w:t>
            </w:r>
          </w:p>
          <w:p w14:paraId="1511AADF">
            <w:pPr>
              <w:pStyle w:val="46"/>
              <w:spacing w:line="360" w:lineRule="auto"/>
              <w:ind w:firstLine="420" w:firstLineChars="200"/>
              <w:rPr>
                <w:rFonts w:hint="eastAsia" w:ascii="宋体" w:eastAsia="宋体" w:cs="宋体"/>
                <w:bCs/>
                <w:sz w:val="21"/>
                <w:szCs w:val="21"/>
                <w:u w:val="none"/>
              </w:rPr>
            </w:pPr>
            <w:r>
              <w:rPr>
                <w:rFonts w:hint="eastAsia" w:ascii="宋体" w:eastAsia="宋体" w:cs="宋体"/>
                <w:bCs/>
                <w:sz w:val="21"/>
                <w:szCs w:val="21"/>
                <w:u w:val="none"/>
              </w:rPr>
              <w:t>（2）投标人取得有效期内的CMM或CMMI3级认证的得1分，4级认证得2分，5级认证得4分，最多得4分；</w:t>
            </w:r>
          </w:p>
          <w:p w14:paraId="4609B8B7">
            <w:pPr>
              <w:pStyle w:val="46"/>
              <w:spacing w:line="360" w:lineRule="auto"/>
              <w:ind w:firstLine="420" w:firstLineChars="200"/>
              <w:rPr>
                <w:rFonts w:hint="eastAsia" w:ascii="宋体" w:eastAsia="宋体" w:cs="宋体"/>
                <w:bCs/>
                <w:sz w:val="21"/>
                <w:szCs w:val="21"/>
                <w:u w:val="none"/>
              </w:rPr>
            </w:pPr>
            <w:r>
              <w:rPr>
                <w:rFonts w:hint="eastAsia" w:ascii="宋体" w:eastAsia="宋体" w:cs="宋体"/>
                <w:bCs/>
                <w:sz w:val="21"/>
                <w:szCs w:val="21"/>
                <w:u w:val="none"/>
              </w:rPr>
              <w:t>（3）投标人具有</w:t>
            </w:r>
            <w:r>
              <w:rPr>
                <w:rFonts w:hint="eastAsia" w:ascii="宋体" w:eastAsia="宋体" w:cs="宋体"/>
                <w:bCs/>
                <w:sz w:val="21"/>
                <w:szCs w:val="21"/>
                <w:u w:val="none"/>
                <w:lang w:val="en-US" w:eastAsia="zh-CN"/>
              </w:rPr>
              <w:t>安全</w:t>
            </w:r>
            <w:r>
              <w:rPr>
                <w:rFonts w:hint="eastAsia" w:ascii="宋体" w:eastAsia="宋体" w:cs="宋体"/>
                <w:bCs/>
                <w:sz w:val="21"/>
                <w:szCs w:val="21"/>
                <w:u w:val="none"/>
              </w:rPr>
              <w:t>管理系统相关计算机软件著作权登记证书，每提供1个证书得1分，最多得3分。</w:t>
            </w:r>
          </w:p>
          <w:p w14:paraId="77722652">
            <w:pPr>
              <w:pStyle w:val="46"/>
              <w:spacing w:line="360" w:lineRule="auto"/>
              <w:ind w:firstLine="422" w:firstLineChars="200"/>
              <w:rPr>
                <w:rFonts w:hint="eastAsia" w:ascii="宋体" w:eastAsia="宋体" w:cs="宋体"/>
                <w:bCs/>
                <w:sz w:val="21"/>
                <w:szCs w:val="21"/>
                <w:u w:val="none"/>
              </w:rPr>
            </w:pPr>
            <w:r>
              <w:rPr>
                <w:rFonts w:hint="eastAsia" w:ascii="宋体" w:eastAsia="宋体" w:cs="宋体"/>
                <w:b/>
                <w:bCs w:val="0"/>
                <w:sz w:val="21"/>
                <w:szCs w:val="21"/>
                <w:u w:val="none"/>
              </w:rPr>
              <w:t>注：提供上述投标人有效期内的证书复印件并加盖投标人公章，否则不得分。</w:t>
            </w:r>
          </w:p>
        </w:tc>
      </w:tr>
      <w:tr w14:paraId="5303F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14:paraId="4552DCB9">
            <w:pPr>
              <w:pStyle w:val="46"/>
              <w:spacing w:line="360" w:lineRule="auto"/>
              <w:ind w:firstLine="0" w:firstLineChars="0"/>
              <w:jc w:val="center"/>
              <w:rPr>
                <w:rFonts w:ascii="宋体" w:eastAsia="宋体" w:cs="宋体"/>
                <w:sz w:val="21"/>
                <w:szCs w:val="21"/>
              </w:rPr>
            </w:pPr>
            <w:r>
              <w:rPr>
                <w:rFonts w:hint="eastAsia" w:ascii="宋体" w:eastAsia="宋体" w:cs="宋体"/>
                <w:sz w:val="21"/>
                <w:szCs w:val="21"/>
              </w:rPr>
              <w:t>3</w:t>
            </w:r>
          </w:p>
        </w:tc>
        <w:tc>
          <w:tcPr>
            <w:tcW w:w="1609" w:type="dxa"/>
            <w:tcBorders>
              <w:top w:val="single" w:color="auto" w:sz="4" w:space="0"/>
              <w:left w:val="single" w:color="auto" w:sz="4" w:space="0"/>
              <w:bottom w:val="single" w:color="auto" w:sz="4" w:space="0"/>
              <w:right w:val="single" w:color="auto" w:sz="4" w:space="0"/>
            </w:tcBorders>
            <w:vAlign w:val="center"/>
          </w:tcPr>
          <w:p w14:paraId="608216F7">
            <w:pPr>
              <w:pStyle w:val="46"/>
              <w:spacing w:line="360" w:lineRule="auto"/>
              <w:ind w:firstLine="0" w:firstLineChars="0"/>
              <w:jc w:val="center"/>
              <w:rPr>
                <w:rFonts w:ascii="宋体" w:eastAsia="宋体" w:cs="宋体"/>
                <w:sz w:val="21"/>
                <w:szCs w:val="21"/>
                <w:u w:val="none"/>
              </w:rPr>
            </w:pPr>
            <w:r>
              <w:rPr>
                <w:rFonts w:hint="eastAsia" w:ascii="宋体" w:eastAsia="宋体" w:cs="宋体"/>
                <w:sz w:val="21"/>
                <w:szCs w:val="21"/>
                <w:u w:val="none"/>
              </w:rPr>
              <w:t>业绩</w:t>
            </w:r>
          </w:p>
        </w:tc>
        <w:tc>
          <w:tcPr>
            <w:tcW w:w="762" w:type="dxa"/>
            <w:gridSpan w:val="2"/>
            <w:tcBorders>
              <w:top w:val="single" w:color="auto" w:sz="4" w:space="0"/>
              <w:left w:val="single" w:color="auto" w:sz="4" w:space="0"/>
              <w:bottom w:val="single" w:color="auto" w:sz="4" w:space="0"/>
              <w:right w:val="single" w:color="auto" w:sz="4" w:space="0"/>
            </w:tcBorders>
            <w:vAlign w:val="center"/>
          </w:tcPr>
          <w:p w14:paraId="77FE9D71">
            <w:pPr>
              <w:pStyle w:val="46"/>
              <w:spacing w:line="360" w:lineRule="auto"/>
              <w:ind w:firstLine="0" w:firstLineChars="0"/>
              <w:jc w:val="center"/>
              <w:rPr>
                <w:rFonts w:hint="default"/>
                <w:u w:val="none"/>
                <w:lang w:val="en-US"/>
              </w:rPr>
            </w:pPr>
            <w:r>
              <w:rPr>
                <w:rFonts w:hint="eastAsia" w:ascii="宋体" w:eastAsia="宋体" w:cs="宋体"/>
                <w:sz w:val="21"/>
                <w:szCs w:val="21"/>
                <w:u w:val="none"/>
                <w:lang w:val="en-US" w:eastAsia="zh-CN"/>
              </w:rPr>
              <w:t>15</w:t>
            </w:r>
          </w:p>
        </w:tc>
        <w:tc>
          <w:tcPr>
            <w:tcW w:w="5461" w:type="dxa"/>
            <w:tcBorders>
              <w:top w:val="single" w:color="auto" w:sz="4" w:space="0"/>
              <w:left w:val="single" w:color="auto" w:sz="4" w:space="0"/>
              <w:bottom w:val="single" w:color="auto" w:sz="4" w:space="0"/>
              <w:right w:val="single" w:color="auto" w:sz="4" w:space="0"/>
            </w:tcBorders>
            <w:vAlign w:val="center"/>
          </w:tcPr>
          <w:p w14:paraId="5C9EFDB1">
            <w:pPr>
              <w:pStyle w:val="46"/>
              <w:spacing w:line="360" w:lineRule="auto"/>
              <w:ind w:firstLine="420" w:firstLineChars="200"/>
              <w:rPr>
                <w:rFonts w:ascii="宋体" w:eastAsia="宋体" w:cs="宋体"/>
                <w:bCs/>
                <w:sz w:val="21"/>
                <w:szCs w:val="21"/>
                <w:highlight w:val="none"/>
                <w:u w:val="none"/>
              </w:rPr>
            </w:pPr>
            <w:r>
              <w:rPr>
                <w:rFonts w:hint="eastAsia" w:ascii="宋体" w:eastAsia="宋体" w:cs="宋体"/>
                <w:bCs/>
                <w:sz w:val="21"/>
                <w:szCs w:val="21"/>
                <w:highlight w:val="none"/>
                <w:u w:val="none"/>
              </w:rPr>
              <w:t>根据投标人完成的</w:t>
            </w:r>
            <w:r>
              <w:rPr>
                <w:rFonts w:hint="eastAsia" w:asciiTheme="minorEastAsia" w:hAnsiTheme="minorEastAsia" w:eastAsiaTheme="minorEastAsia" w:cstheme="minorEastAsia"/>
                <w:kern w:val="2"/>
                <w:sz w:val="21"/>
                <w:szCs w:val="21"/>
                <w:lang w:val="en-US" w:eastAsia="zh-CN" w:bidi="ar-SA"/>
              </w:rPr>
              <w:t>安全信息化</w:t>
            </w:r>
            <w:r>
              <w:rPr>
                <w:rFonts w:hint="eastAsia" w:ascii="宋体" w:eastAsia="宋体" w:cs="宋体"/>
                <w:bCs/>
                <w:sz w:val="21"/>
                <w:szCs w:val="21"/>
                <w:highlight w:val="none"/>
                <w:u w:val="none"/>
              </w:rPr>
              <w:t>项目业绩进行评审，每提供一个得</w:t>
            </w:r>
            <w:r>
              <w:rPr>
                <w:rFonts w:hint="eastAsia" w:ascii="宋体" w:eastAsia="宋体" w:cs="宋体"/>
                <w:bCs/>
                <w:sz w:val="21"/>
                <w:szCs w:val="21"/>
                <w:highlight w:val="none"/>
                <w:u w:val="none"/>
                <w:lang w:val="en-US" w:eastAsia="zh-CN"/>
              </w:rPr>
              <w:t>3</w:t>
            </w:r>
            <w:r>
              <w:rPr>
                <w:rFonts w:hint="eastAsia" w:ascii="宋体" w:eastAsia="宋体" w:cs="宋体"/>
                <w:bCs/>
                <w:sz w:val="21"/>
                <w:szCs w:val="21"/>
                <w:highlight w:val="none"/>
                <w:u w:val="none"/>
              </w:rPr>
              <w:t>分，本项最高得</w:t>
            </w:r>
            <w:r>
              <w:rPr>
                <w:rFonts w:hint="eastAsia" w:ascii="宋体" w:eastAsia="宋体" w:cs="宋体"/>
                <w:bCs/>
                <w:sz w:val="21"/>
                <w:szCs w:val="21"/>
                <w:highlight w:val="none"/>
                <w:u w:val="none"/>
                <w:lang w:val="en-US" w:eastAsia="zh-CN"/>
              </w:rPr>
              <w:t>15</w:t>
            </w:r>
            <w:r>
              <w:rPr>
                <w:rFonts w:hint="eastAsia" w:ascii="宋体" w:eastAsia="宋体" w:cs="宋体"/>
                <w:bCs/>
                <w:sz w:val="21"/>
                <w:szCs w:val="21"/>
                <w:highlight w:val="none"/>
                <w:u w:val="none"/>
              </w:rPr>
              <w:t>分。</w:t>
            </w:r>
          </w:p>
          <w:p w14:paraId="3C4FF577">
            <w:pPr>
              <w:pStyle w:val="46"/>
              <w:spacing w:line="360" w:lineRule="auto"/>
              <w:ind w:firstLine="422" w:firstLineChars="200"/>
              <w:rPr>
                <w:rFonts w:ascii="宋体" w:eastAsia="宋体" w:cs="宋体"/>
                <w:bCs/>
                <w:sz w:val="21"/>
                <w:szCs w:val="21"/>
                <w:u w:val="none"/>
                <w:lang w:val="zh-CN"/>
              </w:rPr>
            </w:pPr>
            <w:r>
              <w:rPr>
                <w:rFonts w:hint="eastAsia" w:ascii="宋体" w:eastAsia="宋体" w:cs="宋体"/>
                <w:b/>
                <w:sz w:val="21"/>
                <w:szCs w:val="21"/>
                <w:highlight w:val="none"/>
                <w:u w:val="none"/>
                <w:lang w:val="zh-CN"/>
              </w:rPr>
              <w:t>注：①须提供合同</w:t>
            </w:r>
            <w:r>
              <w:rPr>
                <w:rFonts w:hint="eastAsia" w:ascii="宋体" w:eastAsia="宋体" w:cs="宋体"/>
                <w:b/>
                <w:sz w:val="21"/>
                <w:szCs w:val="21"/>
                <w:highlight w:val="none"/>
                <w:u w:val="none"/>
              </w:rPr>
              <w:t>关键页</w:t>
            </w:r>
            <w:r>
              <w:rPr>
                <w:rFonts w:hint="eastAsia" w:ascii="宋体" w:eastAsia="宋体" w:cs="宋体"/>
                <w:b/>
                <w:sz w:val="21"/>
                <w:szCs w:val="21"/>
                <w:highlight w:val="none"/>
                <w:u w:val="none"/>
                <w:lang w:val="zh-CN"/>
              </w:rPr>
              <w:t>复印件（包含但不限于合同首页、合同金额页、合同签字页等）加盖投标人公章，日期以合同签订时间为准；②</w:t>
            </w:r>
            <w:r>
              <w:rPr>
                <w:rFonts w:hint="eastAsia" w:ascii="宋体" w:eastAsia="宋体" w:cs="宋体"/>
                <w:b/>
                <w:sz w:val="21"/>
                <w:szCs w:val="21"/>
                <w:highlight w:val="none"/>
                <w:u w:val="none"/>
              </w:rPr>
              <w:t>该合同期内任意一期</w:t>
            </w:r>
            <w:r>
              <w:rPr>
                <w:rFonts w:hint="eastAsia" w:ascii="宋体" w:eastAsia="宋体" w:cs="宋体"/>
                <w:b/>
                <w:sz w:val="21"/>
                <w:szCs w:val="21"/>
                <w:highlight w:val="none"/>
                <w:u w:val="none"/>
                <w:lang w:val="zh-CN"/>
              </w:rPr>
              <w:t>发票</w:t>
            </w:r>
            <w:r>
              <w:rPr>
                <w:rFonts w:hint="eastAsia" w:ascii="宋体" w:eastAsia="宋体" w:cs="宋体"/>
                <w:b/>
                <w:sz w:val="21"/>
                <w:szCs w:val="21"/>
                <w:highlight w:val="none"/>
                <w:u w:val="none"/>
              </w:rPr>
              <w:t>复印件并加盖投标人公章</w:t>
            </w:r>
            <w:r>
              <w:rPr>
                <w:rFonts w:hint="eastAsia" w:ascii="宋体" w:eastAsia="宋体" w:cs="宋体"/>
                <w:b/>
                <w:sz w:val="21"/>
                <w:szCs w:val="21"/>
                <w:highlight w:val="none"/>
                <w:u w:val="none"/>
                <w:lang w:val="zh-CN"/>
              </w:rPr>
              <w:t>。</w:t>
            </w:r>
          </w:p>
        </w:tc>
      </w:tr>
      <w:tr w14:paraId="33C70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6" w:hRule="atLeast"/>
          <w:jc w:val="center"/>
        </w:trPr>
        <w:tc>
          <w:tcPr>
            <w:tcW w:w="690" w:type="dxa"/>
            <w:vMerge w:val="restart"/>
            <w:tcBorders>
              <w:top w:val="single" w:color="auto" w:sz="4" w:space="0"/>
              <w:left w:val="single" w:color="auto" w:sz="4" w:space="0"/>
              <w:right w:val="single" w:color="auto" w:sz="4" w:space="0"/>
            </w:tcBorders>
            <w:vAlign w:val="center"/>
          </w:tcPr>
          <w:p w14:paraId="6D043199">
            <w:pPr>
              <w:pStyle w:val="46"/>
              <w:spacing w:line="360" w:lineRule="auto"/>
              <w:ind w:firstLine="0" w:firstLineChars="0"/>
              <w:jc w:val="center"/>
              <w:rPr>
                <w:rFonts w:hint="eastAsia" w:ascii="宋体" w:eastAsia="宋体" w:cs="宋体"/>
                <w:sz w:val="21"/>
                <w:szCs w:val="21"/>
                <w:lang w:eastAsia="zh-CN"/>
              </w:rPr>
            </w:pPr>
            <w:r>
              <w:rPr>
                <w:rFonts w:hint="eastAsia" w:ascii="宋体" w:eastAsia="宋体" w:cs="宋体"/>
                <w:sz w:val="21"/>
                <w:szCs w:val="21"/>
                <w:lang w:val="en-US" w:eastAsia="zh-CN"/>
              </w:rPr>
              <w:t>4</w:t>
            </w:r>
          </w:p>
        </w:tc>
        <w:tc>
          <w:tcPr>
            <w:tcW w:w="1609" w:type="dxa"/>
            <w:vMerge w:val="restart"/>
            <w:tcBorders>
              <w:top w:val="single" w:color="auto" w:sz="4" w:space="0"/>
              <w:left w:val="single" w:color="auto" w:sz="4" w:space="0"/>
              <w:right w:val="single" w:color="auto" w:sz="4" w:space="0"/>
            </w:tcBorders>
            <w:vAlign w:val="center"/>
          </w:tcPr>
          <w:p w14:paraId="6A5EDAD9">
            <w:pPr>
              <w:pStyle w:val="46"/>
              <w:spacing w:line="360" w:lineRule="auto"/>
              <w:ind w:firstLine="0" w:firstLineChars="0"/>
              <w:jc w:val="center"/>
              <w:rPr>
                <w:rFonts w:ascii="宋体" w:eastAsia="宋体" w:cs="宋体"/>
                <w:sz w:val="21"/>
                <w:szCs w:val="21"/>
                <w:u w:val="none"/>
              </w:rPr>
            </w:pPr>
            <w:r>
              <w:rPr>
                <w:rFonts w:hint="eastAsia" w:ascii="宋体" w:eastAsia="宋体" w:cs="宋体"/>
                <w:sz w:val="21"/>
                <w:szCs w:val="21"/>
                <w:u w:val="none"/>
              </w:rPr>
              <w:t>人员要求</w:t>
            </w:r>
          </w:p>
        </w:tc>
        <w:tc>
          <w:tcPr>
            <w:tcW w:w="762" w:type="dxa"/>
            <w:gridSpan w:val="2"/>
            <w:tcBorders>
              <w:top w:val="single" w:color="auto" w:sz="4" w:space="0"/>
              <w:left w:val="single" w:color="auto" w:sz="4" w:space="0"/>
              <w:right w:val="single" w:color="auto" w:sz="4" w:space="0"/>
            </w:tcBorders>
            <w:vAlign w:val="center"/>
          </w:tcPr>
          <w:p w14:paraId="1354EB7A">
            <w:pPr>
              <w:pStyle w:val="46"/>
              <w:spacing w:line="360" w:lineRule="auto"/>
              <w:ind w:firstLine="0" w:firstLineChars="0"/>
              <w:jc w:val="center"/>
              <w:rPr>
                <w:rFonts w:hint="default" w:ascii="宋体" w:eastAsia="宋体" w:cs="宋体"/>
                <w:sz w:val="21"/>
                <w:szCs w:val="21"/>
                <w:u w:val="none"/>
                <w:lang w:val="en-US" w:eastAsia="zh-CN"/>
              </w:rPr>
            </w:pPr>
            <w:r>
              <w:rPr>
                <w:rFonts w:hint="eastAsia" w:ascii="宋体" w:eastAsia="宋体" w:cs="宋体"/>
                <w:sz w:val="21"/>
                <w:szCs w:val="21"/>
                <w:u w:val="none"/>
                <w:lang w:val="en-US" w:eastAsia="zh-CN"/>
              </w:rPr>
              <w:t>8</w:t>
            </w:r>
          </w:p>
        </w:tc>
        <w:tc>
          <w:tcPr>
            <w:tcW w:w="5461" w:type="dxa"/>
            <w:tcBorders>
              <w:top w:val="single" w:color="auto" w:sz="4" w:space="0"/>
              <w:left w:val="single" w:color="auto" w:sz="4" w:space="0"/>
              <w:bottom w:val="single" w:color="auto" w:sz="4" w:space="0"/>
              <w:right w:val="single" w:color="auto" w:sz="4" w:space="0"/>
            </w:tcBorders>
            <w:vAlign w:val="center"/>
          </w:tcPr>
          <w:p w14:paraId="6F8BC850">
            <w:pPr>
              <w:pStyle w:val="46"/>
              <w:spacing w:line="360" w:lineRule="auto"/>
              <w:ind w:firstLine="420" w:firstLineChars="200"/>
              <w:rPr>
                <w:rFonts w:hint="eastAsia" w:ascii="宋体" w:eastAsia="宋体" w:cs="宋体"/>
                <w:sz w:val="21"/>
                <w:szCs w:val="21"/>
                <w:u w:val="none"/>
              </w:rPr>
            </w:pPr>
            <w:r>
              <w:rPr>
                <w:rFonts w:hint="eastAsia" w:ascii="宋体" w:eastAsia="宋体" w:cs="宋体"/>
                <w:sz w:val="21"/>
                <w:szCs w:val="21"/>
                <w:u w:val="none"/>
              </w:rPr>
              <w:t>项目负责人：</w:t>
            </w:r>
          </w:p>
          <w:p w14:paraId="26AE2C2D">
            <w:pPr>
              <w:pStyle w:val="46"/>
              <w:spacing w:line="360" w:lineRule="auto"/>
              <w:ind w:firstLine="420" w:firstLineChars="200"/>
              <w:rPr>
                <w:rFonts w:hint="eastAsia" w:ascii="宋体" w:eastAsia="宋体" w:cs="宋体"/>
                <w:sz w:val="21"/>
                <w:szCs w:val="21"/>
                <w:u w:val="none"/>
              </w:rPr>
            </w:pPr>
            <w:r>
              <w:rPr>
                <w:rFonts w:hint="eastAsia" w:ascii="宋体" w:eastAsia="宋体" w:cs="宋体"/>
                <w:sz w:val="21"/>
                <w:szCs w:val="21"/>
                <w:u w:val="none"/>
              </w:rPr>
              <w:t>（1）项目经理有PMP证书或计算机技术与软件专业技术资格信息系统项目管理师高级证书，得</w:t>
            </w:r>
            <w:r>
              <w:rPr>
                <w:rFonts w:hint="eastAsia" w:ascii="宋体" w:eastAsia="宋体" w:cs="宋体"/>
                <w:sz w:val="21"/>
                <w:szCs w:val="21"/>
                <w:u w:val="none"/>
                <w:lang w:val="en-US" w:eastAsia="zh-CN"/>
              </w:rPr>
              <w:t>2</w:t>
            </w:r>
            <w:r>
              <w:rPr>
                <w:rFonts w:hint="eastAsia" w:ascii="宋体" w:eastAsia="宋体" w:cs="宋体"/>
                <w:sz w:val="21"/>
                <w:szCs w:val="21"/>
                <w:u w:val="none"/>
              </w:rPr>
              <w:t>分；</w:t>
            </w:r>
          </w:p>
          <w:p w14:paraId="10E7F461">
            <w:pPr>
              <w:pStyle w:val="46"/>
              <w:spacing w:line="360" w:lineRule="auto"/>
              <w:ind w:firstLine="420" w:firstLineChars="200"/>
              <w:rPr>
                <w:rFonts w:hint="eastAsia" w:ascii="宋体" w:eastAsia="宋体" w:cs="宋体"/>
                <w:sz w:val="21"/>
                <w:szCs w:val="21"/>
                <w:u w:val="none"/>
              </w:rPr>
            </w:pPr>
            <w:r>
              <w:rPr>
                <w:rFonts w:hint="eastAsia" w:ascii="宋体" w:eastAsia="宋体" w:cs="宋体"/>
                <w:sz w:val="21"/>
                <w:szCs w:val="21"/>
                <w:u w:val="none"/>
              </w:rPr>
              <w:t>（2）项目经理自2021年1月1日（以合同（或协议书）签订时间为准）至投标截止日前作为项目经理完成过的</w:t>
            </w:r>
            <w:r>
              <w:rPr>
                <w:rFonts w:hint="eastAsia" w:asciiTheme="minorEastAsia" w:hAnsiTheme="minorEastAsia" w:eastAsiaTheme="minorEastAsia" w:cstheme="minorEastAsia"/>
                <w:kern w:val="2"/>
                <w:sz w:val="21"/>
                <w:szCs w:val="21"/>
                <w:lang w:val="en-US" w:eastAsia="zh-CN" w:bidi="ar-SA"/>
              </w:rPr>
              <w:t>安全信息化</w:t>
            </w:r>
            <w:r>
              <w:rPr>
                <w:rFonts w:hint="eastAsia" w:ascii="宋体" w:eastAsia="宋体" w:cs="宋体"/>
                <w:bCs/>
                <w:sz w:val="21"/>
                <w:szCs w:val="21"/>
                <w:highlight w:val="none"/>
                <w:u w:val="none"/>
              </w:rPr>
              <w:t>项目</w:t>
            </w:r>
            <w:r>
              <w:rPr>
                <w:rFonts w:hint="eastAsia" w:ascii="宋体" w:eastAsia="宋体" w:cs="宋体"/>
                <w:sz w:val="21"/>
                <w:szCs w:val="21"/>
                <w:u w:val="none"/>
              </w:rPr>
              <w:t>的，每提供1个业绩得</w:t>
            </w:r>
            <w:r>
              <w:rPr>
                <w:rFonts w:hint="eastAsia" w:ascii="宋体" w:eastAsia="宋体" w:cs="宋体"/>
                <w:sz w:val="21"/>
                <w:szCs w:val="21"/>
                <w:u w:val="none"/>
                <w:lang w:val="en-US" w:eastAsia="zh-CN"/>
              </w:rPr>
              <w:t>2</w:t>
            </w:r>
            <w:r>
              <w:rPr>
                <w:rFonts w:hint="eastAsia" w:ascii="宋体" w:eastAsia="宋体" w:cs="宋体"/>
                <w:sz w:val="21"/>
                <w:szCs w:val="21"/>
                <w:u w:val="none"/>
              </w:rPr>
              <w:t>分，最多得</w:t>
            </w:r>
            <w:r>
              <w:rPr>
                <w:rFonts w:hint="eastAsia" w:ascii="宋体" w:eastAsia="宋体" w:cs="宋体"/>
                <w:sz w:val="21"/>
                <w:szCs w:val="21"/>
                <w:u w:val="none"/>
                <w:lang w:val="en-US" w:eastAsia="zh-CN"/>
              </w:rPr>
              <w:t>6</w:t>
            </w:r>
            <w:r>
              <w:rPr>
                <w:rFonts w:hint="eastAsia" w:ascii="宋体" w:eastAsia="宋体" w:cs="宋体"/>
                <w:sz w:val="21"/>
                <w:szCs w:val="21"/>
                <w:u w:val="none"/>
              </w:rPr>
              <w:t>分。</w:t>
            </w:r>
          </w:p>
          <w:p w14:paraId="4BB0C414">
            <w:pPr>
              <w:pStyle w:val="46"/>
              <w:spacing w:line="360" w:lineRule="auto"/>
              <w:ind w:firstLine="420" w:firstLineChars="200"/>
              <w:rPr>
                <w:rFonts w:ascii="宋体" w:eastAsia="宋体" w:cs="宋体"/>
                <w:sz w:val="21"/>
                <w:szCs w:val="21"/>
                <w:u w:val="none"/>
              </w:rPr>
            </w:pPr>
            <w:r>
              <w:rPr>
                <w:rFonts w:hint="eastAsia" w:ascii="宋体" w:eastAsia="宋体" w:cs="宋体"/>
                <w:sz w:val="21"/>
                <w:szCs w:val="21"/>
                <w:u w:val="none"/>
              </w:rPr>
              <w:t>注：①提供项目负责人的业绩证明资料（证明材料可以是合同（或协议书）关键页复印件或其他能反映拟派项目负责人业绩的含有业主公章的材料，如所提供的证明材料未能反映项目负责人岗位或未含有业主公章的，不予认可该项人员业绩）。②本项目拟投入人员应为注册于投标人本单位，不得同时受聘于两个或两个以上单位，须提供相关证书原件扫描件及投标人为其缴纳最近3个月（不含开标当月）社保证明，否则不得分。③以上第</w:t>
            </w:r>
            <w:r>
              <w:rPr>
                <w:rFonts w:hint="eastAsia" w:ascii="宋体" w:eastAsia="宋体" w:cs="宋体"/>
                <w:sz w:val="21"/>
                <w:szCs w:val="21"/>
                <w:u w:val="none"/>
                <w:lang w:eastAsia="zh-CN"/>
              </w:rPr>
              <w:t>（</w:t>
            </w:r>
            <w:r>
              <w:rPr>
                <w:rFonts w:hint="eastAsia" w:ascii="宋体" w:eastAsia="宋体" w:cs="宋体"/>
                <w:sz w:val="21"/>
                <w:szCs w:val="21"/>
                <w:u w:val="none"/>
              </w:rPr>
              <w:t>1</w:t>
            </w:r>
            <w:r>
              <w:rPr>
                <w:rFonts w:hint="eastAsia" w:ascii="宋体" w:eastAsia="宋体" w:cs="宋体"/>
                <w:sz w:val="21"/>
                <w:szCs w:val="21"/>
                <w:u w:val="none"/>
                <w:lang w:eastAsia="zh-CN"/>
              </w:rPr>
              <w:t>）</w:t>
            </w:r>
            <w:r>
              <w:rPr>
                <w:rFonts w:hint="eastAsia" w:ascii="宋体" w:eastAsia="宋体" w:cs="宋体"/>
                <w:sz w:val="21"/>
                <w:szCs w:val="21"/>
                <w:u w:val="none"/>
              </w:rPr>
              <w:t>项需提供项目负责人的有效期内证书复印件并加盖投标人公章。</w:t>
            </w:r>
          </w:p>
        </w:tc>
      </w:tr>
      <w:tr w14:paraId="514BB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690" w:type="dxa"/>
            <w:vMerge w:val="continue"/>
            <w:tcBorders>
              <w:left w:val="single" w:color="auto" w:sz="4" w:space="0"/>
              <w:bottom w:val="single" w:color="auto" w:sz="4" w:space="0"/>
              <w:right w:val="single" w:color="auto" w:sz="4" w:space="0"/>
            </w:tcBorders>
            <w:vAlign w:val="center"/>
          </w:tcPr>
          <w:p w14:paraId="106272BB">
            <w:pPr>
              <w:pStyle w:val="46"/>
              <w:spacing w:line="360" w:lineRule="auto"/>
              <w:ind w:firstLine="620" w:firstLineChars="200"/>
            </w:pPr>
          </w:p>
        </w:tc>
        <w:tc>
          <w:tcPr>
            <w:tcW w:w="1609" w:type="dxa"/>
            <w:vMerge w:val="continue"/>
            <w:tcBorders>
              <w:left w:val="single" w:color="auto" w:sz="4" w:space="0"/>
              <w:bottom w:val="single" w:color="auto" w:sz="4" w:space="0"/>
              <w:right w:val="single" w:color="auto" w:sz="4" w:space="0"/>
            </w:tcBorders>
            <w:vAlign w:val="center"/>
          </w:tcPr>
          <w:p w14:paraId="7BC48E20">
            <w:pPr>
              <w:pStyle w:val="46"/>
              <w:spacing w:line="360" w:lineRule="auto"/>
              <w:ind w:firstLine="620" w:firstLineChars="200"/>
            </w:pPr>
          </w:p>
        </w:tc>
        <w:tc>
          <w:tcPr>
            <w:tcW w:w="762" w:type="dxa"/>
            <w:gridSpan w:val="2"/>
            <w:tcBorders>
              <w:left w:val="single" w:color="auto" w:sz="4" w:space="0"/>
              <w:bottom w:val="single" w:color="auto" w:sz="4" w:space="0"/>
              <w:right w:val="single" w:color="auto" w:sz="4" w:space="0"/>
            </w:tcBorders>
            <w:vAlign w:val="center"/>
          </w:tcPr>
          <w:p w14:paraId="307D28F2">
            <w:pPr>
              <w:pStyle w:val="46"/>
              <w:spacing w:line="360" w:lineRule="auto"/>
              <w:ind w:firstLine="0" w:firstLineChars="0"/>
              <w:jc w:val="center"/>
              <w:rPr>
                <w:rFonts w:hint="eastAsia" w:eastAsia="仿宋_GB2312"/>
                <w:lang w:val="en-US" w:eastAsia="zh-CN"/>
              </w:rPr>
            </w:pPr>
            <w:r>
              <w:rPr>
                <w:rFonts w:hint="default" w:ascii="宋体" w:eastAsia="宋体" w:cs="宋体"/>
                <w:sz w:val="21"/>
                <w:szCs w:val="21"/>
                <w:u w:val="none"/>
                <w:lang w:val="en-US" w:eastAsia="zh-CN"/>
              </w:rPr>
              <w:t>6</w:t>
            </w:r>
          </w:p>
        </w:tc>
        <w:tc>
          <w:tcPr>
            <w:tcW w:w="5461" w:type="dxa"/>
            <w:tcBorders>
              <w:top w:val="single" w:color="auto" w:sz="4" w:space="0"/>
              <w:left w:val="single" w:color="auto" w:sz="4" w:space="0"/>
              <w:bottom w:val="single" w:color="auto" w:sz="4" w:space="0"/>
              <w:right w:val="single" w:color="auto" w:sz="4" w:space="0"/>
            </w:tcBorders>
            <w:vAlign w:val="center"/>
          </w:tcPr>
          <w:p w14:paraId="02A143CB">
            <w:pPr>
              <w:pStyle w:val="46"/>
              <w:spacing w:line="360" w:lineRule="auto"/>
              <w:ind w:firstLine="420" w:firstLineChars="200"/>
              <w:rPr>
                <w:rFonts w:hint="eastAsia" w:ascii="宋体" w:eastAsia="宋体" w:cs="宋体"/>
                <w:b w:val="0"/>
                <w:bCs w:val="0"/>
                <w:kern w:val="2"/>
                <w:sz w:val="21"/>
                <w:szCs w:val="21"/>
                <w:u w:val="none"/>
              </w:rPr>
            </w:pPr>
            <w:r>
              <w:rPr>
                <w:rFonts w:hint="eastAsia" w:ascii="宋体" w:eastAsia="宋体" w:cs="宋体"/>
                <w:b w:val="0"/>
                <w:bCs w:val="0"/>
                <w:kern w:val="2"/>
                <w:sz w:val="21"/>
                <w:szCs w:val="21"/>
                <w:u w:val="none"/>
              </w:rPr>
              <w:t>其他团队成员（不含项目负责人）：</w:t>
            </w:r>
          </w:p>
          <w:p w14:paraId="25F2B445">
            <w:pPr>
              <w:pStyle w:val="46"/>
              <w:spacing w:line="360" w:lineRule="auto"/>
              <w:ind w:firstLine="420" w:firstLineChars="200"/>
              <w:rPr>
                <w:rFonts w:hint="eastAsia" w:ascii="宋体" w:eastAsia="宋体" w:cs="宋体"/>
                <w:bCs w:val="0"/>
                <w:sz w:val="21"/>
                <w:szCs w:val="21"/>
                <w:u w:val="none"/>
              </w:rPr>
            </w:pPr>
            <w:r>
              <w:rPr>
                <w:rFonts w:hint="eastAsia" w:ascii="宋体" w:eastAsia="宋体" w:cs="宋体"/>
                <w:bCs w:val="0"/>
                <w:sz w:val="21"/>
                <w:szCs w:val="21"/>
                <w:u w:val="none"/>
              </w:rPr>
              <w:t>（1）具有计算机技术与软件专业技术资格高级证书，每提供1个证书得1分；具有计算机技术与软件专业技术资格中级证书，每提供1个证书得0.5分，最多得2分；</w:t>
            </w:r>
          </w:p>
          <w:p w14:paraId="6B64AFCA">
            <w:pPr>
              <w:pStyle w:val="46"/>
              <w:spacing w:line="360" w:lineRule="auto"/>
              <w:ind w:firstLine="420" w:firstLineChars="200"/>
              <w:rPr>
                <w:rFonts w:hint="eastAsia" w:ascii="宋体" w:eastAsia="宋体" w:cs="宋体"/>
                <w:bCs w:val="0"/>
                <w:sz w:val="21"/>
                <w:szCs w:val="21"/>
                <w:u w:val="none"/>
              </w:rPr>
            </w:pPr>
            <w:r>
              <w:rPr>
                <w:rFonts w:hint="eastAsia" w:ascii="宋体" w:eastAsia="宋体" w:cs="宋体"/>
                <w:bCs w:val="0"/>
                <w:sz w:val="21"/>
                <w:szCs w:val="21"/>
                <w:u w:val="none"/>
              </w:rPr>
              <w:t>（2）拟派项目团队成员（不含项目负责人）2021年1月1日（以合同（或协议书）签订时间为准）至投标截止日前参与完成过</w:t>
            </w:r>
            <w:r>
              <w:rPr>
                <w:rFonts w:hint="eastAsia" w:asciiTheme="minorEastAsia" w:hAnsiTheme="minorEastAsia" w:eastAsiaTheme="minorEastAsia" w:cstheme="minorEastAsia"/>
                <w:kern w:val="2"/>
                <w:sz w:val="21"/>
                <w:szCs w:val="21"/>
                <w:lang w:val="en-US" w:eastAsia="zh-CN" w:bidi="ar-SA"/>
              </w:rPr>
              <w:t>安全信息化</w:t>
            </w:r>
            <w:r>
              <w:rPr>
                <w:rFonts w:hint="eastAsia" w:ascii="宋体" w:eastAsia="宋体" w:cs="宋体"/>
                <w:bCs w:val="0"/>
                <w:sz w:val="21"/>
                <w:szCs w:val="21"/>
                <w:u w:val="none"/>
              </w:rPr>
              <w:t>项目的，每提供1人得0.5分，最多得3分。</w:t>
            </w:r>
          </w:p>
          <w:p w14:paraId="5FB960FF">
            <w:pPr>
              <w:pStyle w:val="46"/>
              <w:spacing w:line="360" w:lineRule="auto"/>
              <w:ind w:firstLine="420" w:firstLineChars="200"/>
              <w:rPr>
                <w:rFonts w:hint="eastAsia" w:ascii="宋体" w:eastAsia="宋体" w:cs="宋体"/>
                <w:bCs w:val="0"/>
                <w:sz w:val="21"/>
                <w:szCs w:val="21"/>
                <w:u w:val="none"/>
              </w:rPr>
            </w:pPr>
            <w:r>
              <w:rPr>
                <w:rFonts w:hint="eastAsia" w:ascii="宋体" w:eastAsia="宋体" w:cs="宋体"/>
                <w:bCs w:val="0"/>
                <w:sz w:val="21"/>
                <w:szCs w:val="21"/>
                <w:u w:val="none"/>
              </w:rPr>
              <w:t>（3）有</w:t>
            </w:r>
            <w:r>
              <w:rPr>
                <w:rFonts w:hint="eastAsia" w:ascii="宋体" w:eastAsia="宋体" w:cs="宋体"/>
                <w:bCs w:val="0"/>
                <w:sz w:val="21"/>
                <w:szCs w:val="21"/>
                <w:u w:val="none"/>
                <w:lang w:val="en-US" w:eastAsia="zh-CN"/>
              </w:rPr>
              <w:t>信息化</w:t>
            </w:r>
            <w:r>
              <w:rPr>
                <w:rFonts w:hint="eastAsia" w:ascii="宋体" w:eastAsia="宋体" w:cs="宋体"/>
                <w:bCs w:val="0"/>
                <w:sz w:val="21"/>
                <w:szCs w:val="21"/>
                <w:u w:val="none"/>
              </w:rPr>
              <w:t>专业学历的团队成员，每提供1人得0.5分，最多得1分。</w:t>
            </w:r>
          </w:p>
          <w:p w14:paraId="658AF540">
            <w:pPr>
              <w:pStyle w:val="46"/>
              <w:spacing w:line="360" w:lineRule="auto"/>
              <w:ind w:firstLine="420" w:firstLineChars="200"/>
              <w:rPr>
                <w:rFonts w:hint="eastAsia" w:ascii="宋体" w:eastAsia="宋体" w:cs="宋体"/>
                <w:sz w:val="21"/>
                <w:szCs w:val="21"/>
                <w:u w:val="none"/>
              </w:rPr>
            </w:pPr>
            <w:r>
              <w:rPr>
                <w:rFonts w:hint="eastAsia" w:ascii="宋体" w:eastAsia="宋体" w:cs="宋体"/>
                <w:b w:val="0"/>
                <w:sz w:val="21"/>
                <w:szCs w:val="21"/>
                <w:u w:val="none"/>
              </w:rPr>
              <w:t>注：①提供其他团队成员（不含项目负责人）的业绩证明资料（证明材料可以是合同（或协议书）关键页复印件或其他能反映其他团队成员（不含项目负责人）业绩的含有业主公章的材料，如所提供的证明材料未能反映其他团队成员（不含项目负责人）岗位或未含有业主公章的，不予认可该项人员业绩）。②本项目拟投入人员应为注册于投标人本单位，不得同时受聘于两个或两个以上单位，须提供相关证书原件扫描件及投标人为其缴纳最近3个月（不含开标当月）社保证明，否则不得分。③需提供项目人员简历表。④以上第</w:t>
            </w:r>
            <w:r>
              <w:rPr>
                <w:rFonts w:hint="eastAsia" w:ascii="宋体" w:eastAsia="宋体" w:cs="宋体"/>
                <w:b w:val="0"/>
                <w:sz w:val="21"/>
                <w:szCs w:val="21"/>
                <w:u w:val="none"/>
                <w:lang w:eastAsia="zh-CN"/>
              </w:rPr>
              <w:t>（</w:t>
            </w:r>
            <w:r>
              <w:rPr>
                <w:rFonts w:hint="eastAsia" w:ascii="宋体" w:eastAsia="宋体" w:cs="宋体"/>
                <w:b w:val="0"/>
                <w:sz w:val="21"/>
                <w:szCs w:val="21"/>
                <w:u w:val="none"/>
              </w:rPr>
              <w:t>1</w:t>
            </w:r>
            <w:r>
              <w:rPr>
                <w:rFonts w:hint="eastAsia" w:ascii="宋体" w:eastAsia="宋体" w:cs="宋体"/>
                <w:b w:val="0"/>
                <w:sz w:val="21"/>
                <w:szCs w:val="21"/>
                <w:u w:val="none"/>
                <w:lang w:eastAsia="zh-CN"/>
              </w:rPr>
              <w:t>）</w:t>
            </w:r>
            <w:r>
              <w:rPr>
                <w:rFonts w:hint="eastAsia" w:ascii="宋体" w:eastAsia="宋体" w:cs="宋体"/>
                <w:b w:val="0"/>
                <w:sz w:val="21"/>
                <w:szCs w:val="21"/>
                <w:u w:val="none"/>
              </w:rPr>
              <w:t>项、第</w:t>
            </w:r>
            <w:r>
              <w:rPr>
                <w:rFonts w:hint="eastAsia" w:ascii="宋体" w:eastAsia="宋体" w:cs="宋体"/>
                <w:b w:val="0"/>
                <w:sz w:val="21"/>
                <w:szCs w:val="21"/>
                <w:u w:val="none"/>
                <w:lang w:eastAsia="zh-CN"/>
              </w:rPr>
              <w:t>（</w:t>
            </w:r>
            <w:r>
              <w:rPr>
                <w:rFonts w:hint="eastAsia" w:ascii="宋体" w:eastAsia="宋体" w:cs="宋体"/>
                <w:b w:val="0"/>
                <w:sz w:val="21"/>
                <w:szCs w:val="21"/>
                <w:u w:val="none"/>
              </w:rPr>
              <w:t>3</w:t>
            </w:r>
            <w:r>
              <w:rPr>
                <w:rFonts w:hint="eastAsia" w:ascii="宋体" w:eastAsia="宋体" w:cs="宋体"/>
                <w:b w:val="0"/>
                <w:sz w:val="21"/>
                <w:szCs w:val="21"/>
                <w:u w:val="none"/>
                <w:lang w:eastAsia="zh-CN"/>
              </w:rPr>
              <w:t>）</w:t>
            </w:r>
            <w:r>
              <w:rPr>
                <w:rFonts w:hint="eastAsia" w:ascii="宋体" w:eastAsia="宋体" w:cs="宋体"/>
                <w:b w:val="0"/>
                <w:sz w:val="21"/>
                <w:szCs w:val="21"/>
                <w:u w:val="none"/>
              </w:rPr>
              <w:t>项需提供团队成员有效期内证书复印件并加盖投标人公章，一人具有多个证书的不重复计分。</w:t>
            </w:r>
          </w:p>
        </w:tc>
      </w:tr>
      <w:tr w14:paraId="64FCF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522" w:type="dxa"/>
            <w:gridSpan w:val="5"/>
            <w:tcBorders>
              <w:top w:val="single" w:color="auto" w:sz="4" w:space="0"/>
              <w:left w:val="single" w:color="auto" w:sz="4" w:space="0"/>
              <w:bottom w:val="single" w:color="auto" w:sz="4" w:space="0"/>
              <w:right w:val="single" w:color="auto" w:sz="4" w:space="0"/>
            </w:tcBorders>
            <w:vAlign w:val="center"/>
          </w:tcPr>
          <w:p w14:paraId="7E765559">
            <w:pPr>
              <w:pStyle w:val="46"/>
              <w:spacing w:line="360" w:lineRule="auto"/>
              <w:ind w:firstLine="0" w:firstLineChars="0"/>
              <w:jc w:val="center"/>
              <w:rPr>
                <w:rFonts w:ascii="宋体" w:eastAsia="宋体" w:cs="宋体"/>
                <w:sz w:val="21"/>
                <w:szCs w:val="21"/>
              </w:rPr>
            </w:pPr>
            <w:r>
              <w:rPr>
                <w:rFonts w:hint="eastAsia" w:ascii="宋体" w:eastAsia="宋体" w:cs="宋体"/>
                <w:b/>
                <w:bCs/>
                <w:sz w:val="21"/>
                <w:szCs w:val="21"/>
              </w:rPr>
              <w:t>技术评审（</w:t>
            </w:r>
            <w:r>
              <w:rPr>
                <w:rFonts w:hint="eastAsia" w:ascii="宋体" w:eastAsia="宋体" w:cs="宋体"/>
                <w:b/>
                <w:bCs/>
                <w:sz w:val="21"/>
                <w:szCs w:val="21"/>
                <w:lang w:val="en-US" w:eastAsia="zh-CN"/>
              </w:rPr>
              <w:t>30</w:t>
            </w:r>
            <w:r>
              <w:rPr>
                <w:rFonts w:hint="eastAsia" w:ascii="宋体" w:eastAsia="宋体" w:cs="宋体"/>
                <w:b/>
                <w:bCs/>
                <w:sz w:val="21"/>
                <w:szCs w:val="21"/>
              </w:rPr>
              <w:t>分）</w:t>
            </w:r>
          </w:p>
        </w:tc>
      </w:tr>
      <w:tr w14:paraId="347CF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14:paraId="1B07FB7D">
            <w:pPr>
              <w:pStyle w:val="46"/>
              <w:spacing w:line="360" w:lineRule="auto"/>
              <w:ind w:firstLine="0" w:firstLineChars="0"/>
              <w:jc w:val="center"/>
              <w:rPr>
                <w:rFonts w:ascii="宋体" w:eastAsia="宋体" w:cs="宋体"/>
                <w:sz w:val="21"/>
                <w:szCs w:val="21"/>
              </w:rPr>
            </w:pPr>
            <w:r>
              <w:rPr>
                <w:rFonts w:hint="eastAsia" w:ascii="宋体" w:eastAsia="宋体" w:cs="宋体"/>
                <w:sz w:val="21"/>
                <w:szCs w:val="21"/>
              </w:rPr>
              <w:t>1</w:t>
            </w:r>
          </w:p>
        </w:tc>
        <w:tc>
          <w:tcPr>
            <w:tcW w:w="1609" w:type="dxa"/>
            <w:tcBorders>
              <w:top w:val="single" w:color="auto" w:sz="4" w:space="0"/>
              <w:left w:val="single" w:color="auto" w:sz="4" w:space="0"/>
              <w:bottom w:val="single" w:color="auto" w:sz="4" w:space="0"/>
              <w:right w:val="single" w:color="auto" w:sz="4" w:space="0"/>
            </w:tcBorders>
            <w:vAlign w:val="center"/>
          </w:tcPr>
          <w:p w14:paraId="16B800C0">
            <w:pPr>
              <w:widowControl w:val="0"/>
              <w:adjustRightInd/>
              <w:snapToGrid/>
              <w:jc w:val="center"/>
              <w:rPr>
                <w:rFonts w:ascii="宋体" w:hAnsi="宋体" w:cs="宋体"/>
                <w:szCs w:val="21"/>
                <w:u w:val="none"/>
              </w:rPr>
            </w:pPr>
            <w:r>
              <w:t>整体设计方案</w:t>
            </w:r>
          </w:p>
        </w:tc>
        <w:tc>
          <w:tcPr>
            <w:tcW w:w="762" w:type="dxa"/>
            <w:gridSpan w:val="2"/>
            <w:tcBorders>
              <w:top w:val="single" w:color="auto" w:sz="4" w:space="0"/>
              <w:left w:val="single" w:color="auto" w:sz="4" w:space="0"/>
              <w:bottom w:val="single" w:color="auto" w:sz="4" w:space="0"/>
              <w:right w:val="single" w:color="auto" w:sz="4" w:space="0"/>
            </w:tcBorders>
            <w:vAlign w:val="center"/>
          </w:tcPr>
          <w:p w14:paraId="1A0C1C44">
            <w:pPr>
              <w:widowControl w:val="0"/>
              <w:adjustRightInd/>
              <w:snapToGrid/>
              <w:jc w:val="center"/>
              <w:rPr>
                <w:rFonts w:hint="eastAsia" w:ascii="宋体" w:hAnsi="宋体" w:eastAsia="宋体" w:cs="宋体"/>
                <w:szCs w:val="21"/>
                <w:lang w:val="en-US" w:eastAsia="zh-CN"/>
              </w:rPr>
            </w:pPr>
            <w:r>
              <w:rPr>
                <w:rFonts w:hint="eastAsia" w:ascii="宋体" w:hAnsi="宋体" w:cs="宋体"/>
                <w:szCs w:val="21"/>
                <w:lang w:val="en-US" w:eastAsia="zh-CN"/>
              </w:rPr>
              <w:t>6</w:t>
            </w:r>
          </w:p>
        </w:tc>
        <w:tc>
          <w:tcPr>
            <w:tcW w:w="5461" w:type="dxa"/>
            <w:tcBorders>
              <w:top w:val="single" w:color="auto" w:sz="4" w:space="0"/>
              <w:left w:val="single" w:color="auto" w:sz="4" w:space="0"/>
              <w:bottom w:val="single" w:color="auto" w:sz="4" w:space="0"/>
              <w:right w:val="single" w:color="auto" w:sz="4" w:space="0"/>
            </w:tcBorders>
            <w:vAlign w:val="center"/>
          </w:tcPr>
          <w:p w14:paraId="07787D62">
            <w:pPr>
              <w:widowControl/>
              <w:adjustRightInd/>
              <w:snapToGrid/>
              <w:ind w:firstLine="420" w:firstLineChars="200"/>
              <w:outlineLvl w:val="9"/>
              <w:rPr>
                <w:rFonts w:hint="eastAsia" w:asciiTheme="minorEastAsia" w:hAnsiTheme="minorEastAsia" w:eastAsiaTheme="minorEastAsia" w:cstheme="minorEastAsia"/>
                <w:bCs w:val="0"/>
                <w:kern w:val="0"/>
                <w:szCs w:val="22"/>
                <w:lang w:val="en-US" w:eastAsia="zh-CN"/>
              </w:rPr>
            </w:pPr>
            <w:r>
              <w:rPr>
                <w:rFonts w:hint="eastAsia" w:asciiTheme="minorEastAsia" w:hAnsiTheme="minorEastAsia" w:eastAsiaTheme="minorEastAsia" w:cstheme="minorEastAsia"/>
                <w:bCs w:val="0"/>
                <w:kern w:val="0"/>
                <w:szCs w:val="22"/>
                <w:lang w:val="zh-CN"/>
              </w:rPr>
              <w:t>根据投标人的设计方案进行评分，包括但不限于</w:t>
            </w:r>
            <w:r>
              <w:rPr>
                <w:rFonts w:hint="eastAsia" w:asciiTheme="minorEastAsia" w:hAnsiTheme="minorEastAsia" w:eastAsiaTheme="minorEastAsia" w:cstheme="minorEastAsia"/>
                <w:bCs w:val="0"/>
                <w:kern w:val="0"/>
                <w:szCs w:val="22"/>
                <w:lang w:val="en-US" w:eastAsia="zh-CN"/>
              </w:rPr>
              <w:t>对</w:t>
            </w:r>
            <w:r>
              <w:rPr>
                <w:rFonts w:hint="eastAsia" w:asciiTheme="minorEastAsia" w:hAnsiTheme="minorEastAsia" w:eastAsiaTheme="minorEastAsia" w:cstheme="minorEastAsia"/>
                <w:b w:val="0"/>
                <w:bCs w:val="0"/>
                <w:kern w:val="2"/>
                <w:sz w:val="21"/>
                <w:szCs w:val="21"/>
                <w:lang w:val="en-US" w:eastAsia="zh-CN" w:bidi="ar-SA"/>
              </w:rPr>
              <w:t>安全生产管理数字化平台（平台基础支撑模块（全板块通用）、视频监控整合板块、站控工艺参数集中展示板块、物业消防系统整合板块、综合安全管理板块、基础数据可视化看板、东莞地图基础点位展示、分期功能划分说明、非功能性需求、接口需求等）</w:t>
            </w:r>
            <w:r>
              <w:rPr>
                <w:rFonts w:hint="eastAsia" w:asciiTheme="minorEastAsia" w:hAnsiTheme="minorEastAsia" w:eastAsiaTheme="minorEastAsia" w:cstheme="minorEastAsia"/>
                <w:b w:val="0"/>
                <w:bCs w:val="0"/>
                <w:kern w:val="0"/>
                <w:szCs w:val="22"/>
                <w:lang w:val="zh-CN"/>
              </w:rPr>
              <w:t>需</w:t>
            </w:r>
            <w:r>
              <w:rPr>
                <w:rFonts w:hint="eastAsia" w:asciiTheme="minorEastAsia" w:hAnsiTheme="minorEastAsia" w:eastAsiaTheme="minorEastAsia" w:cstheme="minorEastAsia"/>
                <w:bCs w:val="0"/>
                <w:kern w:val="0"/>
                <w:szCs w:val="22"/>
                <w:lang w:val="zh-CN"/>
              </w:rPr>
              <w:t>求分析、项目现状、项目建设总体思路、项目方案设计</w:t>
            </w:r>
            <w:r>
              <w:rPr>
                <w:rFonts w:hint="eastAsia" w:asciiTheme="minorEastAsia" w:hAnsiTheme="minorEastAsia" w:eastAsiaTheme="minorEastAsia" w:cstheme="minorEastAsia"/>
                <w:bCs w:val="0"/>
                <w:kern w:val="0"/>
                <w:szCs w:val="22"/>
                <w:lang w:val="en-US" w:eastAsia="zh-CN"/>
              </w:rPr>
              <w:t>等</w:t>
            </w:r>
            <w:r>
              <w:rPr>
                <w:rFonts w:hint="eastAsia" w:asciiTheme="minorEastAsia" w:hAnsiTheme="minorEastAsia" w:eastAsiaTheme="minorEastAsia" w:cstheme="minorEastAsia"/>
                <w:lang w:val="zh-CN"/>
              </w:rPr>
              <w:t>进行评审：</w:t>
            </w:r>
          </w:p>
          <w:p w14:paraId="7D32EAC6">
            <w:pPr>
              <w:widowControl/>
              <w:adjustRightInd/>
              <w:snapToGrid/>
              <w:ind w:firstLine="420" w:firstLineChars="200"/>
              <w:outlineLvl w:val="9"/>
              <w:rPr>
                <w:rFonts w:hint="eastAsia" w:asciiTheme="minorEastAsia" w:hAnsiTheme="minorEastAsia" w:eastAsiaTheme="minorEastAsia" w:cstheme="minorEastAsia"/>
                <w:bCs w:val="0"/>
                <w:kern w:val="0"/>
                <w:szCs w:val="22"/>
                <w:lang w:val="zh-CN"/>
              </w:rPr>
            </w:pPr>
            <w:r>
              <w:rPr>
                <w:rFonts w:hint="eastAsia" w:asciiTheme="minorEastAsia" w:hAnsiTheme="minorEastAsia" w:eastAsiaTheme="minorEastAsia" w:cstheme="minorEastAsia"/>
                <w:bCs w:val="0"/>
                <w:kern w:val="0"/>
                <w:szCs w:val="22"/>
                <w:lang w:val="zh-CN"/>
              </w:rPr>
              <w:t>①深刻理解招标人总体业务、</w:t>
            </w:r>
            <w:r>
              <w:rPr>
                <w:rFonts w:hint="eastAsia" w:asciiTheme="minorEastAsia" w:hAnsiTheme="minorEastAsia" w:eastAsiaTheme="minorEastAsia" w:cstheme="minorEastAsia"/>
                <w:b w:val="0"/>
                <w:bCs w:val="0"/>
                <w:kern w:val="2"/>
                <w:sz w:val="21"/>
                <w:szCs w:val="21"/>
                <w:lang w:val="en-US" w:eastAsia="zh-CN" w:bidi="ar-SA"/>
              </w:rPr>
              <w:t>安全生产管理数字化平台</w:t>
            </w:r>
            <w:r>
              <w:rPr>
                <w:rFonts w:hint="eastAsia" w:asciiTheme="minorEastAsia" w:hAnsiTheme="minorEastAsia" w:eastAsiaTheme="minorEastAsia" w:cstheme="minorEastAsia"/>
                <w:bCs w:val="0"/>
                <w:kern w:val="0"/>
                <w:szCs w:val="22"/>
                <w:lang w:val="zh-CN"/>
              </w:rPr>
              <w:t>需求</w:t>
            </w:r>
            <w:r>
              <w:rPr>
                <w:rFonts w:hint="eastAsia" w:asciiTheme="minorEastAsia" w:hAnsiTheme="minorEastAsia" w:eastAsiaTheme="minorEastAsia" w:cstheme="minorEastAsia"/>
                <w:bCs w:val="0"/>
                <w:kern w:val="0"/>
                <w:szCs w:val="22"/>
                <w:lang w:val="en-US" w:eastAsia="zh-CN"/>
              </w:rPr>
              <w:t>分析</w:t>
            </w:r>
            <w:r>
              <w:rPr>
                <w:rFonts w:hint="eastAsia" w:asciiTheme="minorEastAsia" w:hAnsiTheme="minorEastAsia" w:eastAsiaTheme="minorEastAsia" w:cstheme="minorEastAsia"/>
                <w:b w:val="0"/>
                <w:bCs w:val="0"/>
                <w:kern w:val="2"/>
                <w:sz w:val="21"/>
                <w:szCs w:val="21"/>
                <w:lang w:val="en-US" w:eastAsia="zh-CN" w:bidi="ar-SA"/>
              </w:rPr>
              <w:t>、</w:t>
            </w:r>
            <w:r>
              <w:rPr>
                <w:rFonts w:hint="eastAsia" w:asciiTheme="minorEastAsia" w:hAnsiTheme="minorEastAsia" w:eastAsiaTheme="minorEastAsia" w:cstheme="minorEastAsia"/>
                <w:bCs w:val="0"/>
                <w:kern w:val="0"/>
                <w:szCs w:val="22"/>
                <w:lang w:val="zh-CN"/>
              </w:rPr>
              <w:t>项目现状，建设思路清晰，方案详细完整，科学合理，且可行性高，项目保障措施充足，得6分；</w:t>
            </w:r>
          </w:p>
          <w:p w14:paraId="690F95FF">
            <w:pPr>
              <w:widowControl/>
              <w:adjustRightInd/>
              <w:snapToGrid/>
              <w:ind w:firstLine="420" w:firstLineChars="200"/>
              <w:outlineLvl w:val="9"/>
              <w:rPr>
                <w:rFonts w:hint="eastAsia" w:asciiTheme="minorEastAsia" w:hAnsiTheme="minorEastAsia" w:eastAsiaTheme="minorEastAsia" w:cstheme="minorEastAsia"/>
                <w:bCs w:val="0"/>
                <w:kern w:val="0"/>
                <w:szCs w:val="22"/>
                <w:lang w:val="zh-CN"/>
              </w:rPr>
            </w:pPr>
            <w:r>
              <w:rPr>
                <w:rFonts w:hint="eastAsia" w:asciiTheme="minorEastAsia" w:hAnsiTheme="minorEastAsia" w:eastAsiaTheme="minorEastAsia" w:cstheme="minorEastAsia"/>
                <w:bCs w:val="0"/>
                <w:kern w:val="0"/>
                <w:szCs w:val="22"/>
                <w:lang w:val="zh-CN"/>
              </w:rPr>
              <w:t>②基本理解项目需求，方案详细完整，能基本满足需求，科学合理，具备可行性的，得4分；</w:t>
            </w:r>
          </w:p>
          <w:p w14:paraId="60A808AB">
            <w:pPr>
              <w:widowControl/>
              <w:adjustRightInd/>
              <w:snapToGrid/>
              <w:ind w:firstLine="420" w:firstLineChars="200"/>
              <w:outlineLvl w:val="9"/>
              <w:rPr>
                <w:rFonts w:hint="eastAsia" w:asciiTheme="minorEastAsia" w:hAnsiTheme="minorEastAsia" w:eastAsiaTheme="minorEastAsia" w:cstheme="minorEastAsia"/>
                <w:bCs w:val="0"/>
                <w:kern w:val="0"/>
                <w:szCs w:val="22"/>
                <w:lang w:val="zh-CN"/>
              </w:rPr>
            </w:pPr>
            <w:r>
              <w:rPr>
                <w:rFonts w:hint="eastAsia" w:asciiTheme="minorEastAsia" w:hAnsiTheme="minorEastAsia" w:eastAsiaTheme="minorEastAsia" w:cstheme="minorEastAsia"/>
                <w:bCs w:val="0"/>
                <w:kern w:val="0"/>
                <w:szCs w:val="22"/>
                <w:lang w:val="zh-CN"/>
              </w:rPr>
              <w:t>③方案基本完整，具备一定可行性的，得2分；</w:t>
            </w:r>
          </w:p>
          <w:p w14:paraId="366D309D">
            <w:pPr>
              <w:adjustRightInd/>
              <w:snapToGrid/>
              <w:ind w:firstLine="420" w:firstLineChars="200"/>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bCs w:val="0"/>
                <w:kern w:val="0"/>
                <w:szCs w:val="22"/>
                <w:lang w:val="en-US" w:eastAsia="zh-CN"/>
              </w:rPr>
              <w:t>④</w:t>
            </w:r>
            <w:r>
              <w:rPr>
                <w:rFonts w:hint="eastAsia" w:asciiTheme="minorEastAsia" w:hAnsiTheme="minorEastAsia" w:eastAsiaTheme="minorEastAsia" w:cstheme="minorEastAsia"/>
                <w:bCs w:val="0"/>
                <w:kern w:val="0"/>
                <w:szCs w:val="22"/>
                <w:lang w:val="zh-CN"/>
              </w:rPr>
              <w:t>未提供方案不得分。</w:t>
            </w:r>
          </w:p>
        </w:tc>
      </w:tr>
      <w:tr w14:paraId="7729D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14:paraId="1C95C954">
            <w:pPr>
              <w:pStyle w:val="46"/>
              <w:spacing w:line="360" w:lineRule="auto"/>
              <w:ind w:firstLine="0" w:firstLineChars="0"/>
              <w:jc w:val="center"/>
              <w:rPr>
                <w:rFonts w:ascii="宋体" w:eastAsia="宋体" w:cs="宋体"/>
                <w:sz w:val="21"/>
                <w:szCs w:val="21"/>
              </w:rPr>
            </w:pPr>
            <w:r>
              <w:rPr>
                <w:rFonts w:hint="eastAsia" w:ascii="宋体" w:eastAsia="宋体" w:cs="宋体"/>
                <w:sz w:val="21"/>
                <w:szCs w:val="21"/>
              </w:rPr>
              <w:t>2</w:t>
            </w:r>
          </w:p>
        </w:tc>
        <w:tc>
          <w:tcPr>
            <w:tcW w:w="1609" w:type="dxa"/>
            <w:tcBorders>
              <w:top w:val="single" w:color="auto" w:sz="4" w:space="0"/>
              <w:left w:val="single" w:color="auto" w:sz="4" w:space="0"/>
              <w:bottom w:val="single" w:color="auto" w:sz="4" w:space="0"/>
              <w:right w:val="single" w:color="auto" w:sz="4" w:space="0"/>
            </w:tcBorders>
            <w:vAlign w:val="center"/>
          </w:tcPr>
          <w:p w14:paraId="07417CF0">
            <w:pPr>
              <w:widowControl w:val="0"/>
              <w:adjustRightInd/>
              <w:snapToGrid/>
              <w:jc w:val="center"/>
              <w:rPr>
                <w:rFonts w:ascii="宋体" w:hAnsi="宋体" w:cs="宋体"/>
                <w:szCs w:val="21"/>
                <w:u w:val="none"/>
              </w:rPr>
            </w:pPr>
            <w:r>
              <w:t>项目重点难点分析</w:t>
            </w:r>
          </w:p>
        </w:tc>
        <w:tc>
          <w:tcPr>
            <w:tcW w:w="762" w:type="dxa"/>
            <w:gridSpan w:val="2"/>
            <w:tcBorders>
              <w:top w:val="single" w:color="auto" w:sz="4" w:space="0"/>
              <w:left w:val="single" w:color="auto" w:sz="4" w:space="0"/>
              <w:bottom w:val="single" w:color="auto" w:sz="4" w:space="0"/>
              <w:right w:val="single" w:color="auto" w:sz="4" w:space="0"/>
            </w:tcBorders>
            <w:vAlign w:val="center"/>
          </w:tcPr>
          <w:p w14:paraId="4C584D28">
            <w:pPr>
              <w:widowControl w:val="0"/>
              <w:adjustRightInd/>
              <w:snapToGrid/>
              <w:jc w:val="center"/>
              <w:rPr>
                <w:rFonts w:hint="eastAsia" w:ascii="宋体" w:hAnsi="宋体" w:eastAsia="宋体" w:cs="宋体"/>
                <w:szCs w:val="21"/>
                <w:lang w:val="en-US" w:eastAsia="zh-CN"/>
              </w:rPr>
            </w:pPr>
            <w:r>
              <w:rPr>
                <w:rFonts w:hint="eastAsia" w:ascii="宋体" w:hAnsi="宋体" w:cs="宋体"/>
                <w:szCs w:val="21"/>
                <w:lang w:val="en-US" w:eastAsia="zh-CN"/>
              </w:rPr>
              <w:t>6</w:t>
            </w:r>
          </w:p>
        </w:tc>
        <w:tc>
          <w:tcPr>
            <w:tcW w:w="5461" w:type="dxa"/>
            <w:tcBorders>
              <w:top w:val="single" w:color="auto" w:sz="4" w:space="0"/>
              <w:left w:val="single" w:color="auto" w:sz="4" w:space="0"/>
              <w:bottom w:val="single" w:color="auto" w:sz="4" w:space="0"/>
              <w:right w:val="single" w:color="auto" w:sz="4" w:space="0"/>
            </w:tcBorders>
            <w:vAlign w:val="center"/>
          </w:tcPr>
          <w:p w14:paraId="77040B96">
            <w:pPr>
              <w:adjustRightInd/>
              <w:snapToGrid/>
              <w:ind w:firstLine="42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zh-CN" w:eastAsia="zh-CN"/>
              </w:rPr>
              <w:t>根据</w:t>
            </w:r>
            <w:r>
              <w:rPr>
                <w:rFonts w:hint="eastAsia" w:asciiTheme="minorEastAsia" w:hAnsiTheme="minorEastAsia" w:eastAsiaTheme="minorEastAsia" w:cstheme="minorEastAsia"/>
                <w:lang w:val="en-US" w:eastAsia="zh-CN"/>
              </w:rPr>
              <w:t>投标人制定</w:t>
            </w:r>
            <w:r>
              <w:rPr>
                <w:rFonts w:hint="eastAsia" w:asciiTheme="minorEastAsia" w:hAnsiTheme="minorEastAsia" w:eastAsiaTheme="minorEastAsia" w:cstheme="minorEastAsia"/>
                <w:lang w:val="zh-CN" w:eastAsia="zh-CN"/>
              </w:rPr>
              <w:t>的</w:t>
            </w:r>
            <w:r>
              <w:rPr>
                <w:rFonts w:hint="eastAsia" w:asciiTheme="minorEastAsia" w:hAnsiTheme="minorEastAsia" w:eastAsiaTheme="minorEastAsia" w:cstheme="minorEastAsia"/>
                <w:lang w:val="en-US" w:eastAsia="zh-CN"/>
              </w:rPr>
              <w:t>提供的项目重点难点分析进行评分：</w:t>
            </w:r>
          </w:p>
          <w:p w14:paraId="74A7B376">
            <w:pPr>
              <w:adjustRightInd/>
              <w:snapToGrid/>
              <w:ind w:firstLine="42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①对项目理解深刻，对项目实施重点、难点分析准确，应对措施完善，合理，可行性高，得6分；</w:t>
            </w:r>
          </w:p>
          <w:p w14:paraId="1C6D3CB1">
            <w:pPr>
              <w:adjustRightInd/>
              <w:snapToGrid/>
              <w:ind w:firstLine="42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②对项目理解较为充分，对项目实施重点、难点分析较为准确，可行性较高，得4分；</w:t>
            </w:r>
          </w:p>
          <w:p w14:paraId="067AA5AB">
            <w:pPr>
              <w:adjustRightInd/>
              <w:snapToGrid/>
              <w:ind w:firstLine="42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③对项目理解一般，对项目实施重点、难点分析基本准确，可行性一般，得2分； </w:t>
            </w:r>
          </w:p>
          <w:p w14:paraId="5BE4F0EF">
            <w:pPr>
              <w:adjustRightInd/>
              <w:snapToGrid/>
              <w:ind w:firstLine="420" w:firstLineChars="200"/>
              <w:rPr>
                <w:rFonts w:hint="eastAsia" w:asciiTheme="minorEastAsia" w:hAnsiTheme="minorEastAsia" w:eastAsiaTheme="minorEastAsia" w:cstheme="minorEastAsia"/>
                <w:lang w:val="zh-CN"/>
              </w:rPr>
            </w:pPr>
            <w:r>
              <w:rPr>
                <w:rFonts w:hint="eastAsia" w:asciiTheme="minorEastAsia" w:hAnsiTheme="minorEastAsia" w:eastAsiaTheme="minorEastAsia" w:cstheme="minorEastAsia"/>
                <w:lang w:val="en-US" w:eastAsia="zh-CN"/>
              </w:rPr>
              <w:t>④未提供分析不得分。</w:t>
            </w:r>
          </w:p>
        </w:tc>
      </w:tr>
      <w:tr w14:paraId="4ADDE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14:paraId="5523A15A">
            <w:pPr>
              <w:pStyle w:val="46"/>
              <w:spacing w:line="360" w:lineRule="auto"/>
              <w:ind w:firstLine="0" w:firstLineChars="0"/>
              <w:jc w:val="center"/>
              <w:rPr>
                <w:rFonts w:ascii="宋体" w:eastAsia="宋体" w:cs="宋体"/>
                <w:sz w:val="21"/>
                <w:szCs w:val="21"/>
              </w:rPr>
            </w:pPr>
            <w:r>
              <w:rPr>
                <w:rFonts w:hint="eastAsia" w:ascii="宋体" w:eastAsia="宋体" w:cs="宋体"/>
                <w:sz w:val="21"/>
                <w:szCs w:val="21"/>
              </w:rPr>
              <w:t>3</w:t>
            </w:r>
          </w:p>
        </w:tc>
        <w:tc>
          <w:tcPr>
            <w:tcW w:w="1609" w:type="dxa"/>
            <w:tcBorders>
              <w:top w:val="single" w:color="auto" w:sz="4" w:space="0"/>
              <w:left w:val="single" w:color="auto" w:sz="4" w:space="0"/>
              <w:bottom w:val="single" w:color="auto" w:sz="4" w:space="0"/>
              <w:right w:val="single" w:color="auto" w:sz="4" w:space="0"/>
            </w:tcBorders>
            <w:vAlign w:val="center"/>
          </w:tcPr>
          <w:p w14:paraId="72BD9301">
            <w:pPr>
              <w:widowControl w:val="0"/>
              <w:adjustRightInd/>
              <w:snapToGrid/>
              <w:jc w:val="center"/>
              <w:rPr>
                <w:rFonts w:ascii="宋体" w:hAnsi="宋体" w:cs="宋体"/>
                <w:szCs w:val="21"/>
                <w:u w:val="none"/>
              </w:rPr>
            </w:pPr>
            <w:r>
              <w:rPr>
                <w:rFonts w:hint="eastAsia" w:hAnsi="宋体" w:cs="宋体"/>
                <w:spacing w:val="2"/>
                <w:szCs w:val="21"/>
                <w:u w:val="none"/>
              </w:rPr>
              <w:t>服务质量承诺及措施</w:t>
            </w:r>
          </w:p>
        </w:tc>
        <w:tc>
          <w:tcPr>
            <w:tcW w:w="762" w:type="dxa"/>
            <w:gridSpan w:val="2"/>
            <w:tcBorders>
              <w:top w:val="single" w:color="auto" w:sz="4" w:space="0"/>
              <w:left w:val="single" w:color="auto" w:sz="4" w:space="0"/>
              <w:bottom w:val="single" w:color="auto" w:sz="4" w:space="0"/>
              <w:right w:val="single" w:color="auto" w:sz="4" w:space="0"/>
            </w:tcBorders>
            <w:vAlign w:val="center"/>
          </w:tcPr>
          <w:p w14:paraId="6A5E1647">
            <w:pPr>
              <w:widowControl w:val="0"/>
              <w:adjustRightInd/>
              <w:snapToGrid/>
              <w:jc w:val="center"/>
              <w:rPr>
                <w:rFonts w:hint="eastAsia" w:ascii="宋体" w:hAnsi="宋体" w:eastAsia="宋体" w:cs="宋体"/>
                <w:szCs w:val="21"/>
                <w:lang w:val="en-US" w:eastAsia="zh-CN"/>
              </w:rPr>
            </w:pPr>
            <w:r>
              <w:rPr>
                <w:rFonts w:hint="eastAsia" w:ascii="宋体" w:hAnsi="宋体" w:cs="宋体"/>
                <w:szCs w:val="21"/>
                <w:lang w:val="en-US" w:eastAsia="zh-CN"/>
              </w:rPr>
              <w:t>6</w:t>
            </w:r>
          </w:p>
        </w:tc>
        <w:tc>
          <w:tcPr>
            <w:tcW w:w="5461" w:type="dxa"/>
            <w:tcBorders>
              <w:top w:val="single" w:color="auto" w:sz="4" w:space="0"/>
              <w:left w:val="single" w:color="auto" w:sz="4" w:space="0"/>
              <w:bottom w:val="single" w:color="auto" w:sz="4" w:space="0"/>
              <w:right w:val="single" w:color="auto" w:sz="4" w:space="0"/>
            </w:tcBorders>
            <w:vAlign w:val="center"/>
          </w:tcPr>
          <w:p w14:paraId="7DAC1B74">
            <w:pPr>
              <w:adjustRightInd/>
              <w:snapToGrid/>
              <w:ind w:firstLine="420" w:firstLineChars="200"/>
              <w:rPr>
                <w:rFonts w:hint="eastAsia" w:asciiTheme="minorEastAsia" w:hAnsiTheme="minorEastAsia" w:eastAsiaTheme="minorEastAsia" w:cstheme="minorEastAsia"/>
                <w:lang w:val="zh-CN"/>
              </w:rPr>
            </w:pPr>
            <w:r>
              <w:rPr>
                <w:rFonts w:hint="eastAsia" w:asciiTheme="minorEastAsia" w:hAnsiTheme="minorEastAsia" w:eastAsiaTheme="minorEastAsia" w:cstheme="minorEastAsia"/>
                <w:lang w:val="zh-CN"/>
              </w:rPr>
              <w:t>根据供应商提供服务质量保证措施方案（包括但不限于质量目标、项目质量的控制、质量保证措施等）进行评审；</w:t>
            </w:r>
          </w:p>
          <w:p w14:paraId="7060278E">
            <w:pPr>
              <w:adjustRightInd/>
              <w:snapToGrid/>
              <w:ind w:firstLine="420" w:firstLineChars="200"/>
              <w:rPr>
                <w:rFonts w:hint="eastAsia" w:asciiTheme="minorEastAsia" w:hAnsiTheme="minorEastAsia" w:eastAsiaTheme="minorEastAsia" w:cstheme="minorEastAsia"/>
                <w:lang w:val="zh-CN"/>
              </w:rPr>
            </w:pPr>
            <w:r>
              <w:rPr>
                <w:rFonts w:hint="eastAsia" w:asciiTheme="minorEastAsia" w:hAnsiTheme="minorEastAsia" w:eastAsiaTheme="minorEastAsia" w:cstheme="minorEastAsia"/>
                <w:lang w:val="en-US" w:eastAsia="zh-CN"/>
              </w:rPr>
              <w:t>①</w:t>
            </w:r>
            <w:r>
              <w:rPr>
                <w:rFonts w:hint="eastAsia" w:asciiTheme="minorEastAsia" w:hAnsiTheme="minorEastAsia" w:eastAsiaTheme="minorEastAsia" w:cstheme="minorEastAsia"/>
                <w:lang w:val="zh-CN"/>
              </w:rPr>
              <w:t>服务质量目标非常明确、对项目质量的控制非常详细、检验手段非常科学，质量保证措施非常具体，可行</w:t>
            </w:r>
            <w:r>
              <w:rPr>
                <w:rFonts w:hint="eastAsia" w:asciiTheme="minorEastAsia" w:hAnsiTheme="minorEastAsia" w:eastAsiaTheme="minorEastAsia" w:cstheme="minorEastAsia"/>
                <w:lang w:val="en-US" w:eastAsia="zh-CN"/>
              </w:rPr>
              <w:t>强</w:t>
            </w:r>
            <w:r>
              <w:rPr>
                <w:rFonts w:hint="eastAsia" w:asciiTheme="minorEastAsia" w:hAnsiTheme="minorEastAsia" w:eastAsiaTheme="minorEastAsia" w:cstheme="minorEastAsia"/>
                <w:lang w:val="zh-CN"/>
              </w:rPr>
              <w:t>的，得</w:t>
            </w: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lang w:val="zh-CN"/>
              </w:rPr>
              <w:t>分；</w:t>
            </w:r>
          </w:p>
          <w:p w14:paraId="026B9ED5">
            <w:pPr>
              <w:adjustRightInd/>
              <w:snapToGrid/>
              <w:ind w:firstLine="420" w:firstLineChars="200"/>
              <w:rPr>
                <w:rFonts w:hint="eastAsia" w:asciiTheme="minorEastAsia" w:hAnsiTheme="minorEastAsia" w:eastAsiaTheme="minorEastAsia" w:cstheme="minorEastAsia"/>
                <w:lang w:val="zh-CN"/>
              </w:rPr>
            </w:pPr>
            <w:r>
              <w:rPr>
                <w:rFonts w:hint="eastAsia" w:asciiTheme="minorEastAsia" w:hAnsiTheme="minorEastAsia" w:eastAsiaTheme="minorEastAsia" w:cstheme="minorEastAsia"/>
                <w:lang w:val="en-US" w:eastAsia="zh-CN"/>
              </w:rPr>
              <w:t>②</w:t>
            </w:r>
            <w:r>
              <w:rPr>
                <w:rFonts w:hint="eastAsia" w:asciiTheme="minorEastAsia" w:hAnsiTheme="minorEastAsia" w:eastAsiaTheme="minorEastAsia" w:cstheme="minorEastAsia"/>
                <w:lang w:val="zh-CN"/>
              </w:rPr>
              <w:t>服务质量目标比较明确、对项目质量的控制较为详细、检验手段比较科学，质量保证措施比较具体，可行</w:t>
            </w:r>
            <w:r>
              <w:rPr>
                <w:rFonts w:hint="eastAsia" w:asciiTheme="minorEastAsia" w:hAnsiTheme="minorEastAsia" w:eastAsiaTheme="minorEastAsia" w:cstheme="minorEastAsia"/>
                <w:lang w:val="en-US" w:eastAsia="zh-CN"/>
              </w:rPr>
              <w:t>较强</w:t>
            </w:r>
            <w:r>
              <w:rPr>
                <w:rFonts w:hint="eastAsia" w:asciiTheme="minorEastAsia" w:hAnsiTheme="minorEastAsia" w:eastAsiaTheme="minorEastAsia" w:cstheme="minorEastAsia"/>
                <w:lang w:val="zh-CN"/>
              </w:rPr>
              <w:t>的，得</w:t>
            </w: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lang w:val="zh-CN"/>
              </w:rPr>
              <w:t>分；</w:t>
            </w:r>
          </w:p>
          <w:p w14:paraId="58769E04">
            <w:pPr>
              <w:adjustRightInd/>
              <w:snapToGrid/>
              <w:ind w:firstLine="420" w:firstLineChars="200"/>
              <w:rPr>
                <w:rFonts w:hint="eastAsia" w:asciiTheme="minorEastAsia" w:hAnsiTheme="minorEastAsia" w:eastAsiaTheme="minorEastAsia" w:cstheme="minorEastAsia"/>
                <w:lang w:val="zh-CN"/>
              </w:rPr>
            </w:pPr>
            <w:r>
              <w:rPr>
                <w:rFonts w:hint="eastAsia" w:asciiTheme="minorEastAsia" w:hAnsiTheme="minorEastAsia" w:eastAsiaTheme="minorEastAsia" w:cstheme="minorEastAsia"/>
                <w:lang w:val="en-US" w:eastAsia="zh-CN"/>
              </w:rPr>
              <w:t>③</w:t>
            </w:r>
            <w:r>
              <w:rPr>
                <w:rFonts w:hint="eastAsia" w:asciiTheme="minorEastAsia" w:hAnsiTheme="minorEastAsia" w:eastAsiaTheme="minorEastAsia" w:cstheme="minorEastAsia"/>
                <w:lang w:val="zh-CN"/>
              </w:rPr>
              <w:t>服务质量目标基本明确、对项目质量的控制详细程度</w:t>
            </w:r>
            <w:r>
              <w:rPr>
                <w:rFonts w:hint="eastAsia" w:asciiTheme="minorEastAsia" w:hAnsiTheme="minorEastAsia" w:eastAsiaTheme="minorEastAsia" w:cstheme="minorEastAsia"/>
                <w:lang w:val="en-US" w:eastAsia="zh-CN"/>
              </w:rPr>
              <w:t>一般</w:t>
            </w:r>
            <w:r>
              <w:rPr>
                <w:rFonts w:hint="eastAsia" w:asciiTheme="minorEastAsia" w:hAnsiTheme="minorEastAsia" w:eastAsiaTheme="minorEastAsia" w:cstheme="minorEastAsia"/>
                <w:lang w:val="zh-CN"/>
              </w:rPr>
              <w:t>、检验手段科学性较差，质量保证措施不够具体，可行性较差，得</w:t>
            </w: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lang w:val="zh-CN"/>
              </w:rPr>
              <w:t>分</w:t>
            </w:r>
          </w:p>
          <w:p w14:paraId="2ADB94EC">
            <w:pPr>
              <w:adjustRightInd/>
              <w:snapToGrid/>
              <w:ind w:firstLine="420" w:firstLineChars="200"/>
              <w:rPr>
                <w:rFonts w:hint="eastAsia" w:asciiTheme="minorEastAsia" w:hAnsiTheme="minorEastAsia" w:eastAsiaTheme="minorEastAsia" w:cstheme="minorEastAsia"/>
                <w:lang w:val="zh-CN"/>
              </w:rPr>
            </w:pPr>
            <w:r>
              <w:rPr>
                <w:rFonts w:hint="eastAsia" w:asciiTheme="minorEastAsia" w:hAnsiTheme="minorEastAsia" w:eastAsiaTheme="minorEastAsia" w:cstheme="minorEastAsia"/>
                <w:lang w:val="en-US" w:eastAsia="zh-CN"/>
              </w:rPr>
              <w:t>④</w:t>
            </w:r>
            <w:r>
              <w:rPr>
                <w:rFonts w:hint="eastAsia" w:asciiTheme="minorEastAsia" w:hAnsiTheme="minorEastAsia" w:eastAsiaTheme="minorEastAsia" w:cstheme="minorEastAsia"/>
                <w:lang w:val="zh-CN"/>
              </w:rPr>
              <w:t>未提供</w:t>
            </w:r>
            <w:r>
              <w:rPr>
                <w:rFonts w:hint="eastAsia" w:asciiTheme="minorEastAsia" w:hAnsiTheme="minorEastAsia" w:eastAsiaTheme="minorEastAsia" w:cstheme="minorEastAsia"/>
              </w:rPr>
              <w:t>服务质量承诺及措施</w:t>
            </w:r>
            <w:r>
              <w:rPr>
                <w:rFonts w:hint="eastAsia" w:asciiTheme="minorEastAsia" w:hAnsiTheme="minorEastAsia" w:eastAsiaTheme="minorEastAsia" w:cstheme="minorEastAsia"/>
                <w:lang w:val="zh-CN"/>
              </w:rPr>
              <w:t>的，不得分。</w:t>
            </w:r>
          </w:p>
        </w:tc>
      </w:tr>
      <w:tr w14:paraId="3A0CF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14:paraId="0A15C22F">
            <w:pPr>
              <w:pStyle w:val="46"/>
              <w:spacing w:line="360" w:lineRule="auto"/>
              <w:ind w:firstLine="0" w:firstLineChars="0"/>
              <w:jc w:val="center"/>
              <w:rPr>
                <w:rFonts w:ascii="宋体" w:eastAsia="宋体" w:cs="宋体"/>
                <w:sz w:val="21"/>
                <w:szCs w:val="21"/>
              </w:rPr>
            </w:pPr>
            <w:r>
              <w:rPr>
                <w:rFonts w:hint="eastAsia" w:ascii="宋体" w:eastAsia="宋体" w:cs="宋体"/>
                <w:sz w:val="21"/>
                <w:szCs w:val="21"/>
              </w:rPr>
              <w:t>4</w:t>
            </w:r>
          </w:p>
        </w:tc>
        <w:tc>
          <w:tcPr>
            <w:tcW w:w="1609" w:type="dxa"/>
            <w:tcBorders>
              <w:top w:val="single" w:color="auto" w:sz="4" w:space="0"/>
              <w:left w:val="single" w:color="auto" w:sz="4" w:space="0"/>
              <w:bottom w:val="single" w:color="auto" w:sz="4" w:space="0"/>
              <w:right w:val="single" w:color="auto" w:sz="4" w:space="0"/>
            </w:tcBorders>
            <w:vAlign w:val="center"/>
          </w:tcPr>
          <w:p w14:paraId="3F1DA343">
            <w:pPr>
              <w:widowControl w:val="0"/>
              <w:adjustRightInd/>
              <w:snapToGrid/>
              <w:ind w:left="0"/>
              <w:jc w:val="center"/>
              <w:rPr>
                <w:rFonts w:ascii="宋体" w:hAnsi="宋体" w:cs="宋体"/>
                <w:szCs w:val="21"/>
                <w:u w:val="none"/>
              </w:rPr>
            </w:pPr>
            <w:r>
              <w:rPr>
                <w:rFonts w:hint="eastAsia" w:ascii="Tahoma" w:hAnsi="宋体" w:cs="宋体"/>
                <w:spacing w:val="2"/>
                <w:szCs w:val="21"/>
                <w:u w:val="none"/>
              </w:rPr>
              <w:t>项目服务方案</w:t>
            </w:r>
          </w:p>
        </w:tc>
        <w:tc>
          <w:tcPr>
            <w:tcW w:w="762" w:type="dxa"/>
            <w:gridSpan w:val="2"/>
            <w:tcBorders>
              <w:top w:val="single" w:color="auto" w:sz="4" w:space="0"/>
              <w:left w:val="single" w:color="auto" w:sz="4" w:space="0"/>
              <w:bottom w:val="single" w:color="auto" w:sz="4" w:space="0"/>
              <w:right w:val="single" w:color="auto" w:sz="4" w:space="0"/>
            </w:tcBorders>
            <w:vAlign w:val="center"/>
          </w:tcPr>
          <w:p w14:paraId="2809055C">
            <w:pPr>
              <w:widowControl w:val="0"/>
              <w:adjustRightInd/>
              <w:snapToGrid/>
              <w:jc w:val="center"/>
              <w:rPr>
                <w:rFonts w:hint="eastAsia" w:ascii="宋体" w:hAnsi="宋体" w:eastAsia="宋体" w:cs="宋体"/>
                <w:szCs w:val="21"/>
                <w:lang w:val="en-US" w:eastAsia="zh-CN"/>
              </w:rPr>
            </w:pPr>
            <w:r>
              <w:rPr>
                <w:rFonts w:hint="eastAsia" w:ascii="宋体" w:hAnsi="宋体" w:cs="宋体"/>
                <w:szCs w:val="21"/>
                <w:lang w:val="en-US" w:eastAsia="zh-CN"/>
              </w:rPr>
              <w:t>6</w:t>
            </w:r>
          </w:p>
        </w:tc>
        <w:tc>
          <w:tcPr>
            <w:tcW w:w="5461" w:type="dxa"/>
            <w:tcBorders>
              <w:top w:val="single" w:color="auto" w:sz="4" w:space="0"/>
              <w:left w:val="single" w:color="auto" w:sz="4" w:space="0"/>
              <w:bottom w:val="single" w:color="auto" w:sz="4" w:space="0"/>
              <w:right w:val="single" w:color="auto" w:sz="4" w:space="0"/>
            </w:tcBorders>
            <w:vAlign w:val="center"/>
          </w:tcPr>
          <w:p w14:paraId="043ECB0B">
            <w:pPr>
              <w:adjustRightInd/>
              <w:snapToGrid/>
              <w:ind w:firstLine="420" w:firstLineChars="200"/>
              <w:rPr>
                <w:rFonts w:hint="eastAsia" w:asciiTheme="minorEastAsia" w:hAnsiTheme="minorEastAsia" w:eastAsiaTheme="minorEastAsia" w:cstheme="minorEastAsia"/>
                <w:lang w:val="zh-CN"/>
              </w:rPr>
            </w:pPr>
            <w:r>
              <w:rPr>
                <w:rFonts w:hint="eastAsia" w:asciiTheme="minorEastAsia" w:hAnsiTheme="minorEastAsia" w:eastAsiaTheme="minorEastAsia" w:cstheme="minorEastAsia"/>
                <w:lang w:val="zh-CN"/>
              </w:rPr>
              <w:t>根据投标人提供的</w:t>
            </w:r>
            <w:r>
              <w:rPr>
                <w:rFonts w:hint="eastAsia" w:ascii="宋体" w:hAnsi="宋体" w:cs="宋体"/>
                <w:szCs w:val="21"/>
                <w:u w:val="none"/>
              </w:rPr>
              <w:t>项目服务方案</w:t>
            </w:r>
            <w:r>
              <w:rPr>
                <w:rFonts w:hint="eastAsia"/>
                <w:color w:val="000000" w:themeColor="text1"/>
                <w:sz w:val="21"/>
                <w:szCs w:val="21"/>
                <w14:textFill>
                  <w14:solidFill>
                    <w14:schemeClr w14:val="tx1"/>
                  </w14:solidFill>
                </w14:textFill>
              </w:rPr>
              <w:t>（包括但不限于实施方法、实施计划、售后服务方案、售后持续开发支持、培训方案、培训计划等）进行评分：</w:t>
            </w:r>
          </w:p>
          <w:p w14:paraId="1FED0F73">
            <w:pPr>
              <w:adjustRightInd/>
              <w:snapToGrid/>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①项目详细的实施方法优秀，实施计划合理，售后服务与持续开发支持满足招标需求，各种开发及维护文档完整，培训方案满足要求，</w:t>
            </w:r>
            <w:r>
              <w:rPr>
                <w:rFonts w:hint="eastAsia" w:asciiTheme="minorEastAsia" w:hAnsiTheme="minorEastAsia" w:eastAsiaTheme="minorEastAsia" w:cstheme="minorEastAsia"/>
                <w:bCs w:val="0"/>
                <w:kern w:val="0"/>
                <w:szCs w:val="22"/>
              </w:rPr>
              <w:t>得</w:t>
            </w:r>
            <w:r>
              <w:rPr>
                <w:rFonts w:hint="eastAsia" w:asciiTheme="minorEastAsia" w:hAnsiTheme="minorEastAsia" w:eastAsiaTheme="minorEastAsia" w:cstheme="minorEastAsia"/>
                <w:bCs w:val="0"/>
                <w:kern w:val="0"/>
                <w:szCs w:val="22"/>
                <w:lang w:val="en-US" w:eastAsia="zh-CN"/>
              </w:rPr>
              <w:t>6</w:t>
            </w:r>
            <w:r>
              <w:rPr>
                <w:rFonts w:hint="eastAsia" w:asciiTheme="minorEastAsia" w:hAnsiTheme="minorEastAsia" w:eastAsiaTheme="minorEastAsia" w:cstheme="minorEastAsia"/>
                <w:bCs w:val="0"/>
                <w:kern w:val="0"/>
                <w:szCs w:val="22"/>
              </w:rPr>
              <w:t>分</w:t>
            </w:r>
            <w:r>
              <w:rPr>
                <w:rFonts w:hint="eastAsia" w:asciiTheme="minorEastAsia" w:hAnsiTheme="minorEastAsia" w:eastAsiaTheme="minorEastAsia" w:cstheme="minorEastAsia"/>
              </w:rPr>
              <w:t>；</w:t>
            </w:r>
          </w:p>
          <w:p w14:paraId="0CB85235">
            <w:pPr>
              <w:adjustRightInd/>
              <w:snapToGrid/>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②项目详细的实施方法一般，实施计划欠详细，售后服务与持续开发支持不能完全满足招标需求，开发文档不完整，培训方案和培训计划不清晰，得</w:t>
            </w:r>
            <w:r>
              <w:rPr>
                <w:rFonts w:hint="eastAsia" w:asciiTheme="minorEastAsia" w:hAnsiTheme="minorEastAsia" w:eastAsiaTheme="minorEastAsia" w:cstheme="minorEastAsia"/>
                <w:bCs w:val="0"/>
                <w:kern w:val="0"/>
                <w:szCs w:val="22"/>
                <w:lang w:eastAsia="zh-CN"/>
              </w:rPr>
              <w:t>4</w:t>
            </w:r>
            <w:r>
              <w:rPr>
                <w:rFonts w:hint="eastAsia" w:asciiTheme="minorEastAsia" w:hAnsiTheme="minorEastAsia" w:eastAsiaTheme="minorEastAsia" w:cstheme="minorEastAsia"/>
              </w:rPr>
              <w:t xml:space="preserve">分； </w:t>
            </w:r>
          </w:p>
          <w:p w14:paraId="520B71FF">
            <w:pPr>
              <w:adjustRightInd/>
              <w:snapToGrid/>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③项目详细的实施方法差，实施计划不合理，售后服务、持续开发支持和培训不满足招标需求，</w:t>
            </w:r>
            <w:r>
              <w:rPr>
                <w:rFonts w:hint="eastAsia" w:asciiTheme="minorEastAsia" w:hAnsiTheme="minorEastAsia" w:eastAsiaTheme="minorEastAsia" w:cstheme="minorEastAsia"/>
                <w:bCs w:val="0"/>
                <w:kern w:val="0"/>
                <w:szCs w:val="22"/>
              </w:rPr>
              <w:t>得</w:t>
            </w:r>
            <w:r>
              <w:rPr>
                <w:rFonts w:hint="eastAsia" w:asciiTheme="minorEastAsia" w:hAnsiTheme="minorEastAsia" w:eastAsiaTheme="minorEastAsia" w:cstheme="minorEastAsia"/>
                <w:bCs w:val="0"/>
                <w:kern w:val="0"/>
                <w:szCs w:val="22"/>
                <w:lang w:eastAsia="zh-CN"/>
              </w:rPr>
              <w:t>2</w:t>
            </w:r>
            <w:r>
              <w:rPr>
                <w:rFonts w:hint="eastAsia" w:asciiTheme="minorEastAsia" w:hAnsiTheme="minorEastAsia" w:eastAsiaTheme="minorEastAsia" w:cstheme="minorEastAsia"/>
              </w:rPr>
              <w:t xml:space="preserve">分； </w:t>
            </w:r>
          </w:p>
          <w:p w14:paraId="32B15A8C">
            <w:pPr>
              <w:adjustRightInd/>
              <w:snapToGrid/>
              <w:ind w:firstLine="42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④未提供方案不得分。</w:t>
            </w:r>
          </w:p>
        </w:tc>
      </w:tr>
      <w:tr w14:paraId="7DBAA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14:paraId="05FCC115">
            <w:pPr>
              <w:pStyle w:val="46"/>
              <w:spacing w:line="360" w:lineRule="auto"/>
              <w:ind w:firstLine="0" w:firstLineChars="0"/>
              <w:jc w:val="center"/>
              <w:rPr>
                <w:rFonts w:hint="eastAsia" w:ascii="宋体" w:eastAsia="宋体" w:cs="宋体"/>
                <w:sz w:val="21"/>
                <w:szCs w:val="21"/>
              </w:rPr>
            </w:pPr>
            <w:r>
              <w:rPr>
                <w:rFonts w:hint="eastAsia" w:ascii="宋体" w:eastAsia="宋体" w:cs="宋体"/>
                <w:sz w:val="21"/>
                <w:szCs w:val="21"/>
              </w:rPr>
              <w:t>5</w:t>
            </w:r>
          </w:p>
        </w:tc>
        <w:tc>
          <w:tcPr>
            <w:tcW w:w="1609" w:type="dxa"/>
            <w:tcBorders>
              <w:top w:val="single" w:color="auto" w:sz="4" w:space="0"/>
              <w:left w:val="single" w:color="auto" w:sz="4" w:space="0"/>
              <w:bottom w:val="single" w:color="auto" w:sz="4" w:space="0"/>
              <w:right w:val="single" w:color="auto" w:sz="4" w:space="0"/>
            </w:tcBorders>
            <w:vAlign w:val="center"/>
          </w:tcPr>
          <w:p w14:paraId="29A6C451">
            <w:pPr>
              <w:widowControl w:val="0"/>
              <w:adjustRightInd/>
              <w:snapToGrid/>
              <w:jc w:val="center"/>
              <w:rPr>
                <w:rFonts w:hint="eastAsia" w:hAnsi="宋体" w:cs="宋体"/>
                <w:spacing w:val="2"/>
                <w:szCs w:val="21"/>
                <w:u w:val="none"/>
              </w:rPr>
            </w:pPr>
            <w:r>
              <w:rPr>
                <w:rFonts w:hint="eastAsia" w:asciiTheme="minorEastAsia" w:hAnsiTheme="minorEastAsia" w:eastAsiaTheme="minorEastAsia" w:cstheme="minorEastAsia"/>
                <w:szCs w:val="21"/>
              </w:rPr>
              <w:t>项目运维费用</w:t>
            </w:r>
          </w:p>
        </w:tc>
        <w:tc>
          <w:tcPr>
            <w:tcW w:w="762" w:type="dxa"/>
            <w:gridSpan w:val="2"/>
            <w:tcBorders>
              <w:top w:val="single" w:color="auto" w:sz="4" w:space="0"/>
              <w:left w:val="single" w:color="auto" w:sz="4" w:space="0"/>
              <w:bottom w:val="single" w:color="auto" w:sz="4" w:space="0"/>
              <w:right w:val="single" w:color="auto" w:sz="4" w:space="0"/>
            </w:tcBorders>
            <w:vAlign w:val="center"/>
          </w:tcPr>
          <w:p w14:paraId="646A4055">
            <w:pPr>
              <w:widowControl w:val="0"/>
              <w:adjustRightInd/>
              <w:snapToGrid/>
              <w:jc w:val="center"/>
              <w:rPr>
                <w:rFonts w:hint="eastAsia" w:ascii="宋体" w:hAnsi="宋体" w:eastAsia="宋体" w:cs="宋体"/>
                <w:szCs w:val="21"/>
                <w:lang w:val="en-US" w:eastAsia="zh-CN"/>
              </w:rPr>
            </w:pPr>
            <w:r>
              <w:rPr>
                <w:rFonts w:hint="eastAsia" w:ascii="宋体" w:hAnsi="宋体" w:cs="宋体"/>
                <w:szCs w:val="21"/>
                <w:lang w:val="en-US" w:eastAsia="zh-CN"/>
              </w:rPr>
              <w:t>6</w:t>
            </w:r>
          </w:p>
        </w:tc>
        <w:tc>
          <w:tcPr>
            <w:tcW w:w="5461" w:type="dxa"/>
            <w:tcBorders>
              <w:top w:val="single" w:color="auto" w:sz="4" w:space="0"/>
              <w:left w:val="single" w:color="auto" w:sz="4" w:space="0"/>
              <w:bottom w:val="single" w:color="auto" w:sz="4" w:space="0"/>
              <w:right w:val="single" w:color="auto" w:sz="4" w:space="0"/>
            </w:tcBorders>
            <w:vAlign w:val="center"/>
          </w:tcPr>
          <w:p w14:paraId="41E5492E">
            <w:pPr>
              <w:ind w:firstLine="420" w:firstLineChars="200"/>
              <w:rPr>
                <w:rFonts w:hint="eastAsia" w:asciiTheme="minorEastAsia" w:hAnsiTheme="minorEastAsia" w:eastAsiaTheme="minorEastAsia" w:cstheme="minorEastAsia"/>
                <w:bCs w:val="0"/>
                <w:szCs w:val="22"/>
                <w:lang w:val="zh-CN"/>
              </w:rPr>
            </w:pPr>
            <w:r>
              <w:rPr>
                <w:rFonts w:hint="eastAsia" w:asciiTheme="minorEastAsia" w:hAnsiTheme="minorEastAsia" w:eastAsiaTheme="minorEastAsia" w:cstheme="minorEastAsia"/>
              </w:rPr>
              <w:t>对投标人的运维费用进行比较，根据投标人本项目运维费用占</w:t>
            </w:r>
            <w:r>
              <w:rPr>
                <w:rFonts w:hint="eastAsia" w:asciiTheme="minorEastAsia" w:hAnsiTheme="minorEastAsia" w:eastAsiaTheme="minorEastAsia" w:cstheme="minorEastAsia"/>
                <w:szCs w:val="22"/>
              </w:rPr>
              <w:t>本项目预算金额的比例，</w:t>
            </w:r>
            <w:r>
              <w:rPr>
                <w:rFonts w:hint="eastAsia" w:asciiTheme="minorEastAsia" w:hAnsiTheme="minorEastAsia" w:eastAsiaTheme="minorEastAsia" w:cstheme="minorEastAsia"/>
                <w:bCs w:val="0"/>
                <w:szCs w:val="22"/>
                <w:lang w:val="zh-CN"/>
              </w:rPr>
              <w:t>按下列情况评分：</w:t>
            </w:r>
          </w:p>
          <w:p w14:paraId="1E4C03B5">
            <w:pPr>
              <w:ind w:firstLine="420" w:firstLineChars="200"/>
              <w:rPr>
                <w:rFonts w:hint="eastAsia" w:asciiTheme="minorEastAsia" w:hAnsiTheme="minorEastAsia" w:eastAsiaTheme="minorEastAsia" w:cstheme="minorEastAsia"/>
                <w:szCs w:val="22"/>
              </w:rPr>
            </w:pPr>
            <w:r>
              <w:rPr>
                <w:rFonts w:hint="eastAsia" w:asciiTheme="minorEastAsia" w:hAnsiTheme="minorEastAsia" w:eastAsiaTheme="minorEastAsia" w:cstheme="minorEastAsia"/>
                <w:bCs w:val="0"/>
                <w:szCs w:val="22"/>
                <w:lang w:val="zh-CN"/>
              </w:rPr>
              <w:t>①</w:t>
            </w:r>
            <w:r>
              <w:rPr>
                <w:rFonts w:hint="eastAsia" w:asciiTheme="minorEastAsia" w:hAnsiTheme="minorEastAsia" w:eastAsiaTheme="minorEastAsia" w:cstheme="minorEastAsia"/>
                <w:bCs w:val="0"/>
                <w:szCs w:val="22"/>
              </w:rPr>
              <w:t>0%≤</w:t>
            </w:r>
            <w:r>
              <w:rPr>
                <w:rFonts w:hint="eastAsia" w:asciiTheme="minorEastAsia" w:hAnsiTheme="minorEastAsia" w:eastAsiaTheme="minorEastAsia" w:cstheme="minorEastAsia"/>
              </w:rPr>
              <w:t>投标人本项目运维费用占</w:t>
            </w:r>
            <w:r>
              <w:rPr>
                <w:rFonts w:hint="eastAsia" w:asciiTheme="minorEastAsia" w:hAnsiTheme="minorEastAsia" w:eastAsiaTheme="minorEastAsia" w:cstheme="minorEastAsia"/>
                <w:szCs w:val="22"/>
              </w:rPr>
              <w:t>本项目预算金额的比例＜2.5%，得</w:t>
            </w:r>
            <w:r>
              <w:rPr>
                <w:rFonts w:hint="eastAsia" w:asciiTheme="minorEastAsia" w:hAnsiTheme="minorEastAsia" w:eastAsiaTheme="minorEastAsia" w:cstheme="minorEastAsia"/>
                <w:szCs w:val="22"/>
                <w:lang w:val="en-US" w:eastAsia="zh-CN"/>
              </w:rPr>
              <w:t>6</w:t>
            </w:r>
            <w:r>
              <w:rPr>
                <w:rFonts w:hint="eastAsia" w:asciiTheme="minorEastAsia" w:hAnsiTheme="minorEastAsia" w:eastAsiaTheme="minorEastAsia" w:cstheme="minorEastAsia"/>
                <w:szCs w:val="22"/>
              </w:rPr>
              <w:t>分；</w:t>
            </w:r>
          </w:p>
          <w:p w14:paraId="78CAD738">
            <w:pPr>
              <w:ind w:firstLine="420" w:firstLineChars="200"/>
              <w:rPr>
                <w:rFonts w:hint="eastAsia" w:asciiTheme="minorEastAsia" w:hAnsiTheme="minorEastAsia" w:eastAsiaTheme="minorEastAsia" w:cstheme="minorEastAsia"/>
                <w:szCs w:val="22"/>
              </w:rPr>
            </w:pPr>
            <w:r>
              <w:rPr>
                <w:rFonts w:hint="eastAsia" w:asciiTheme="minorEastAsia" w:hAnsiTheme="minorEastAsia" w:eastAsiaTheme="minorEastAsia" w:cstheme="minorEastAsia"/>
                <w:szCs w:val="22"/>
              </w:rPr>
              <w:t>②2.5%≤</w:t>
            </w:r>
            <w:r>
              <w:rPr>
                <w:rFonts w:hint="eastAsia" w:asciiTheme="minorEastAsia" w:hAnsiTheme="minorEastAsia" w:eastAsiaTheme="minorEastAsia" w:cstheme="minorEastAsia"/>
              </w:rPr>
              <w:t>投标人本项目运维费用占</w:t>
            </w:r>
            <w:r>
              <w:rPr>
                <w:rFonts w:hint="eastAsia" w:asciiTheme="minorEastAsia" w:hAnsiTheme="minorEastAsia" w:eastAsiaTheme="minorEastAsia" w:cstheme="minorEastAsia"/>
                <w:szCs w:val="22"/>
              </w:rPr>
              <w:t>本项目预算金额的比例＜4%，得</w:t>
            </w:r>
            <w:r>
              <w:rPr>
                <w:rFonts w:hint="eastAsia" w:asciiTheme="minorEastAsia" w:hAnsiTheme="minorEastAsia" w:eastAsiaTheme="minorEastAsia" w:cstheme="minorEastAsia"/>
                <w:szCs w:val="22"/>
                <w:lang w:val="en-US" w:eastAsia="zh-CN"/>
              </w:rPr>
              <w:t>4</w:t>
            </w:r>
            <w:r>
              <w:rPr>
                <w:rFonts w:hint="eastAsia" w:asciiTheme="minorEastAsia" w:hAnsiTheme="minorEastAsia" w:eastAsiaTheme="minorEastAsia" w:cstheme="minorEastAsia"/>
                <w:szCs w:val="22"/>
              </w:rPr>
              <w:t>分；</w:t>
            </w:r>
          </w:p>
          <w:p w14:paraId="5F9DD6EF">
            <w:pPr>
              <w:ind w:firstLine="420" w:firstLineChars="200"/>
              <w:rPr>
                <w:rFonts w:hint="eastAsia" w:asciiTheme="minorEastAsia" w:hAnsiTheme="minorEastAsia" w:eastAsiaTheme="minorEastAsia" w:cstheme="minorEastAsia"/>
                <w:szCs w:val="22"/>
              </w:rPr>
            </w:pPr>
            <w:r>
              <w:rPr>
                <w:rFonts w:hint="eastAsia" w:asciiTheme="minorEastAsia" w:hAnsiTheme="minorEastAsia" w:eastAsiaTheme="minorEastAsia" w:cstheme="minorEastAsia"/>
                <w:szCs w:val="22"/>
              </w:rPr>
              <w:t>③4%≤</w:t>
            </w:r>
            <w:r>
              <w:rPr>
                <w:rFonts w:hint="eastAsia" w:asciiTheme="minorEastAsia" w:hAnsiTheme="minorEastAsia" w:eastAsiaTheme="minorEastAsia" w:cstheme="minorEastAsia"/>
              </w:rPr>
              <w:t>投标人本项目运维费用占</w:t>
            </w:r>
            <w:r>
              <w:rPr>
                <w:rFonts w:hint="eastAsia" w:asciiTheme="minorEastAsia" w:hAnsiTheme="minorEastAsia" w:eastAsiaTheme="minorEastAsia" w:cstheme="minorEastAsia"/>
                <w:szCs w:val="22"/>
              </w:rPr>
              <w:t>本项目预算金额的比例＜5.5%，得</w:t>
            </w:r>
            <w:r>
              <w:rPr>
                <w:rFonts w:hint="eastAsia" w:asciiTheme="minorEastAsia" w:hAnsiTheme="minorEastAsia" w:eastAsiaTheme="minorEastAsia" w:cstheme="minorEastAsia"/>
                <w:szCs w:val="22"/>
                <w:lang w:val="en-US" w:eastAsia="zh-CN"/>
              </w:rPr>
              <w:t>2</w:t>
            </w:r>
            <w:r>
              <w:rPr>
                <w:rFonts w:hint="eastAsia" w:asciiTheme="minorEastAsia" w:hAnsiTheme="minorEastAsia" w:eastAsiaTheme="minorEastAsia" w:cstheme="minorEastAsia"/>
                <w:szCs w:val="22"/>
              </w:rPr>
              <w:t>分；</w:t>
            </w:r>
          </w:p>
          <w:p w14:paraId="12AEA97E">
            <w:pPr>
              <w:adjustRightInd/>
              <w:snapToGrid/>
              <w:ind w:firstLine="420" w:firstLineChars="2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szCs w:val="22"/>
              </w:rPr>
              <w:t>④5.5%≤</w:t>
            </w:r>
            <w:r>
              <w:rPr>
                <w:rFonts w:hint="eastAsia" w:asciiTheme="minorEastAsia" w:hAnsiTheme="minorEastAsia" w:eastAsiaTheme="minorEastAsia" w:cstheme="minorEastAsia"/>
              </w:rPr>
              <w:t>投标人本项目运维费用占</w:t>
            </w:r>
            <w:r>
              <w:rPr>
                <w:rFonts w:hint="eastAsia" w:asciiTheme="minorEastAsia" w:hAnsiTheme="minorEastAsia" w:eastAsiaTheme="minorEastAsia" w:cstheme="minorEastAsia"/>
                <w:szCs w:val="22"/>
              </w:rPr>
              <w:t>本项目预算金额的比例＜7%，得</w:t>
            </w:r>
            <w:r>
              <w:rPr>
                <w:rFonts w:hint="eastAsia" w:asciiTheme="minorEastAsia" w:hAnsiTheme="minorEastAsia" w:eastAsiaTheme="minorEastAsia" w:cstheme="minorEastAsia"/>
                <w:szCs w:val="22"/>
                <w:lang w:val="en-US" w:eastAsia="zh-CN"/>
              </w:rPr>
              <w:t>1</w:t>
            </w:r>
            <w:r>
              <w:rPr>
                <w:rFonts w:hint="eastAsia" w:asciiTheme="minorEastAsia" w:hAnsiTheme="minorEastAsia" w:eastAsiaTheme="minorEastAsia" w:cstheme="minorEastAsia"/>
                <w:szCs w:val="22"/>
              </w:rPr>
              <w:t>分。</w:t>
            </w:r>
          </w:p>
        </w:tc>
      </w:tr>
      <w:tr w14:paraId="190D8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8522" w:type="dxa"/>
            <w:gridSpan w:val="5"/>
            <w:tcBorders>
              <w:top w:val="single" w:color="auto" w:sz="4" w:space="0"/>
              <w:left w:val="single" w:color="auto" w:sz="4" w:space="0"/>
              <w:bottom w:val="single" w:color="auto" w:sz="4" w:space="0"/>
              <w:right w:val="single" w:color="auto" w:sz="4" w:space="0"/>
            </w:tcBorders>
            <w:vAlign w:val="center"/>
          </w:tcPr>
          <w:p w14:paraId="1FC8B2F2">
            <w:pPr>
              <w:widowControl w:val="0"/>
              <w:tabs>
                <w:tab w:val="left" w:pos="907"/>
              </w:tabs>
              <w:adjustRightInd/>
              <w:snapToGrid/>
              <w:ind w:firstLine="422" w:firstLineChars="200"/>
              <w:jc w:val="both"/>
              <w:rPr>
                <w:rFonts w:ascii="宋体" w:hAnsi="宋体" w:cs="宋体"/>
                <w:b/>
                <w:szCs w:val="21"/>
              </w:rPr>
            </w:pPr>
            <w:r>
              <w:rPr>
                <w:rFonts w:hint="eastAsia" w:ascii="宋体" w:hAnsi="宋体" w:cs="宋体"/>
                <w:b/>
                <w:szCs w:val="21"/>
              </w:rPr>
              <w:t>注：</w:t>
            </w:r>
          </w:p>
          <w:p w14:paraId="322BEC4A">
            <w:pPr>
              <w:widowControl w:val="0"/>
              <w:tabs>
                <w:tab w:val="left" w:pos="907"/>
              </w:tabs>
              <w:adjustRightInd/>
              <w:snapToGrid/>
              <w:ind w:firstLine="422" w:firstLineChars="200"/>
              <w:jc w:val="both"/>
              <w:rPr>
                <w:rFonts w:ascii="宋体" w:hAnsi="宋体" w:cs="宋体"/>
                <w:b/>
                <w:szCs w:val="21"/>
              </w:rPr>
            </w:pPr>
            <w:r>
              <w:rPr>
                <w:rFonts w:hint="eastAsia" w:ascii="宋体" w:hAnsi="宋体" w:cs="宋体"/>
                <w:b/>
                <w:szCs w:val="21"/>
              </w:rPr>
              <w:t>（1）无特殊说明外，以上评审项，同一证明文件不重复计分。</w:t>
            </w:r>
          </w:p>
          <w:p w14:paraId="186C82F0">
            <w:pPr>
              <w:widowControl w:val="0"/>
              <w:tabs>
                <w:tab w:val="left" w:pos="907"/>
              </w:tabs>
              <w:adjustRightInd/>
              <w:snapToGrid/>
              <w:ind w:firstLine="422" w:firstLineChars="200"/>
              <w:jc w:val="both"/>
              <w:rPr>
                <w:rFonts w:ascii="宋体" w:hAnsi="宋体" w:cs="宋体"/>
                <w:b/>
                <w:szCs w:val="21"/>
              </w:rPr>
            </w:pPr>
            <w:r>
              <w:rPr>
                <w:rFonts w:hint="eastAsia" w:ascii="宋体" w:hAnsi="宋体" w:cs="宋体"/>
                <w:b/>
                <w:szCs w:val="21"/>
              </w:rPr>
              <w:t>（2）投标人根据以上评分要求提供的投标材料因模糊不清导致评标委员会无法清晰辨认进行评审的，视为无效材料。</w:t>
            </w:r>
          </w:p>
          <w:p w14:paraId="33312268">
            <w:pPr>
              <w:widowControl w:val="0"/>
              <w:tabs>
                <w:tab w:val="left" w:pos="907"/>
              </w:tabs>
              <w:adjustRightInd/>
              <w:snapToGrid/>
              <w:ind w:firstLine="422" w:firstLineChars="200"/>
              <w:jc w:val="both"/>
              <w:rPr>
                <w:rFonts w:ascii="宋体" w:hAnsi="宋体" w:cs="宋体"/>
                <w:szCs w:val="21"/>
              </w:rPr>
            </w:pPr>
            <w:r>
              <w:rPr>
                <w:rFonts w:hint="eastAsia" w:ascii="宋体" w:hAnsi="宋体" w:cs="宋体"/>
                <w:b/>
                <w:szCs w:val="21"/>
              </w:rPr>
              <w:t>（3）若因疫情原因暂缓统一托收或阶段性减免社会保险费而导致无法打印社保缴费证明的需提供书面说明并加盖投标人公章。</w:t>
            </w:r>
          </w:p>
        </w:tc>
      </w:tr>
      <w:tr w14:paraId="3A7F8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522" w:type="dxa"/>
            <w:gridSpan w:val="5"/>
            <w:tcBorders>
              <w:top w:val="single" w:color="auto" w:sz="4" w:space="0"/>
              <w:left w:val="single" w:color="auto" w:sz="4" w:space="0"/>
              <w:bottom w:val="single" w:color="auto" w:sz="4" w:space="0"/>
              <w:right w:val="single" w:color="auto" w:sz="4" w:space="0"/>
            </w:tcBorders>
            <w:vAlign w:val="center"/>
          </w:tcPr>
          <w:p w14:paraId="3075D1DE">
            <w:pPr>
              <w:pStyle w:val="46"/>
              <w:spacing w:line="360" w:lineRule="auto"/>
              <w:ind w:firstLine="0" w:firstLineChars="0"/>
              <w:jc w:val="center"/>
              <w:rPr>
                <w:rFonts w:ascii="宋体" w:eastAsia="宋体" w:cs="宋体"/>
                <w:sz w:val="21"/>
                <w:szCs w:val="21"/>
                <w:lang w:val="zh-CN"/>
              </w:rPr>
            </w:pPr>
            <w:r>
              <w:rPr>
                <w:rFonts w:hint="eastAsia" w:ascii="宋体" w:eastAsia="宋体" w:cs="宋体"/>
                <w:b/>
                <w:bCs/>
                <w:sz w:val="21"/>
                <w:szCs w:val="21"/>
                <w:u w:val="single"/>
              </w:rPr>
              <w:t>价格评审（</w:t>
            </w:r>
            <w:r>
              <w:rPr>
                <w:rFonts w:hint="eastAsia" w:ascii="宋体" w:eastAsia="宋体" w:cs="宋体"/>
                <w:b/>
                <w:bCs/>
                <w:sz w:val="21"/>
                <w:szCs w:val="21"/>
                <w:u w:val="single"/>
                <w:lang w:val="en-US" w:eastAsia="zh-CN"/>
              </w:rPr>
              <w:t>30</w:t>
            </w:r>
            <w:r>
              <w:rPr>
                <w:rFonts w:hint="eastAsia" w:ascii="宋体" w:eastAsia="宋体" w:cs="宋体"/>
                <w:b/>
                <w:bCs/>
                <w:sz w:val="21"/>
                <w:szCs w:val="21"/>
                <w:u w:val="single"/>
              </w:rPr>
              <w:t>分）</w:t>
            </w:r>
          </w:p>
        </w:tc>
      </w:tr>
      <w:tr w14:paraId="2FBDB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14:paraId="5B070DC5">
            <w:pPr>
              <w:pStyle w:val="46"/>
              <w:spacing w:line="360" w:lineRule="auto"/>
              <w:ind w:firstLine="0" w:firstLineChars="0"/>
              <w:jc w:val="center"/>
              <w:rPr>
                <w:rFonts w:ascii="宋体" w:eastAsia="宋体" w:cs="宋体"/>
                <w:sz w:val="21"/>
                <w:szCs w:val="21"/>
              </w:rPr>
            </w:pPr>
            <w:r>
              <w:rPr>
                <w:rFonts w:hint="eastAsia" w:ascii="宋体" w:eastAsia="宋体" w:cs="宋体"/>
                <w:sz w:val="21"/>
                <w:szCs w:val="21"/>
              </w:rPr>
              <w:t>1</w:t>
            </w:r>
          </w:p>
        </w:tc>
        <w:tc>
          <w:tcPr>
            <w:tcW w:w="1609" w:type="dxa"/>
            <w:tcBorders>
              <w:top w:val="single" w:color="auto" w:sz="4" w:space="0"/>
              <w:left w:val="single" w:color="auto" w:sz="4" w:space="0"/>
              <w:bottom w:val="single" w:color="auto" w:sz="4" w:space="0"/>
              <w:right w:val="single" w:color="auto" w:sz="4" w:space="0"/>
            </w:tcBorders>
            <w:vAlign w:val="center"/>
          </w:tcPr>
          <w:p w14:paraId="544EE83E">
            <w:pPr>
              <w:widowControl w:val="0"/>
              <w:adjustRightInd/>
              <w:snapToGrid/>
              <w:jc w:val="center"/>
              <w:rPr>
                <w:rFonts w:ascii="宋体" w:hAnsi="宋体" w:cs="宋体"/>
                <w:kern w:val="2"/>
                <w:szCs w:val="21"/>
              </w:rPr>
            </w:pPr>
            <w:r>
              <w:rPr>
                <w:rFonts w:hint="eastAsia" w:ascii="宋体" w:hAnsi="宋体" w:cs="宋体"/>
                <w:kern w:val="2"/>
                <w:szCs w:val="21"/>
              </w:rPr>
              <w:t>投标总价</w:t>
            </w:r>
          </w:p>
        </w:tc>
        <w:tc>
          <w:tcPr>
            <w:tcW w:w="734" w:type="dxa"/>
            <w:tcBorders>
              <w:top w:val="single" w:color="auto" w:sz="4" w:space="0"/>
              <w:left w:val="single" w:color="auto" w:sz="4" w:space="0"/>
              <w:bottom w:val="single" w:color="auto" w:sz="4" w:space="0"/>
              <w:right w:val="single" w:color="auto" w:sz="4" w:space="0"/>
            </w:tcBorders>
            <w:vAlign w:val="center"/>
          </w:tcPr>
          <w:p w14:paraId="40ECAC70">
            <w:pPr>
              <w:widowControl w:val="0"/>
              <w:adjustRightInd/>
              <w:snapToGrid/>
              <w:jc w:val="center"/>
              <w:rPr>
                <w:rFonts w:hint="default" w:ascii="宋体" w:hAnsi="宋体" w:eastAsia="宋体" w:cs="宋体"/>
                <w:kern w:val="2"/>
                <w:szCs w:val="21"/>
                <w:lang w:val="en-US" w:eastAsia="zh-CN"/>
              </w:rPr>
            </w:pPr>
            <w:r>
              <w:rPr>
                <w:rFonts w:hint="eastAsia" w:ascii="宋体" w:hAnsi="宋体" w:cs="宋体"/>
                <w:kern w:val="2"/>
                <w:szCs w:val="21"/>
                <w:lang w:val="en-US" w:eastAsia="zh-CN"/>
              </w:rPr>
              <w:t>30</w:t>
            </w:r>
          </w:p>
        </w:tc>
        <w:tc>
          <w:tcPr>
            <w:tcW w:w="5489" w:type="dxa"/>
            <w:gridSpan w:val="2"/>
            <w:tcBorders>
              <w:top w:val="single" w:color="auto" w:sz="4" w:space="0"/>
              <w:left w:val="single" w:color="auto" w:sz="4" w:space="0"/>
              <w:bottom w:val="single" w:color="auto" w:sz="4" w:space="0"/>
              <w:right w:val="single" w:color="auto" w:sz="4" w:space="0"/>
            </w:tcBorders>
            <w:vAlign w:val="center"/>
          </w:tcPr>
          <w:p w14:paraId="36CD354C">
            <w:pPr>
              <w:widowControl w:val="0"/>
              <w:adjustRightInd/>
              <w:snapToGrid/>
              <w:ind w:firstLine="420" w:firstLineChars="200"/>
              <w:rPr>
                <w:rFonts w:ascii="宋体" w:hAnsi="宋体" w:cs="宋体"/>
                <w:kern w:val="2"/>
                <w:szCs w:val="21"/>
                <w:lang w:val="zh-CN"/>
              </w:rPr>
            </w:pPr>
            <w:r>
              <w:rPr>
                <w:rFonts w:hint="eastAsia" w:ascii="宋体" w:hAnsi="宋体" w:cs="宋体"/>
                <w:kern w:val="2"/>
                <w:szCs w:val="21"/>
                <w:lang w:val="zh-CN"/>
              </w:rPr>
              <w:t>价格分计算方法：满足采购文件要求且投标价格最低的投标报价为评标基准价，其价格分为满分。其他投标人的价格分统一按照下列公式计算：</w:t>
            </w:r>
          </w:p>
          <w:p w14:paraId="1936624C">
            <w:pPr>
              <w:widowControl w:val="0"/>
              <w:adjustRightInd/>
              <w:snapToGrid/>
              <w:ind w:firstLine="420" w:firstLineChars="200"/>
              <w:rPr>
                <w:rFonts w:ascii="宋体" w:hAnsi="宋体" w:cs="宋体"/>
                <w:kern w:val="2"/>
                <w:szCs w:val="21"/>
              </w:rPr>
            </w:pPr>
            <w:r>
              <w:rPr>
                <w:rFonts w:hint="eastAsia" w:ascii="宋体" w:hAnsi="宋体" w:cs="宋体"/>
                <w:kern w:val="2"/>
                <w:szCs w:val="21"/>
                <w:lang w:val="zh-CN"/>
              </w:rPr>
              <w:t>投标报价得分=(评标基准价／投标报价)×价格权</w:t>
            </w:r>
            <w:r>
              <w:rPr>
                <w:rFonts w:hint="eastAsia" w:ascii="宋体" w:hAnsi="宋体" w:cs="宋体"/>
                <w:kern w:val="2"/>
                <w:szCs w:val="21"/>
              </w:rPr>
              <w:t>重</w:t>
            </w:r>
          </w:p>
        </w:tc>
      </w:tr>
    </w:tbl>
    <w:p w14:paraId="05BF8D96">
      <w:pPr>
        <w:ind w:firstLine="420" w:firstLineChars="200"/>
      </w:pPr>
      <w:r>
        <w:rPr>
          <w:rFonts w:hint="eastAsia"/>
        </w:rPr>
        <w:t>注：评标委员会评委按评标标准独立对技术标进行评审，得出技术标评分。当评标委员会为五人时，在所有评委</w:t>
      </w:r>
      <w:r>
        <w:rPr>
          <w:rFonts w:hint="eastAsia"/>
          <w:highlight w:val="none"/>
        </w:rPr>
        <w:t>对同一份投标文件技术标评审的总评分中，去掉一个最高分和一个最低分，计算剩余总评分的算术平均值即为该投标人技术标的最终综合得分；当评标委员会为七人及以上单数时，在各评委的打分中，同一评委的最高评分减去最低评分，去掉分差最大评委的所有技术标评分（当一位或两位评委评分差值最大时均取消其评委评分，当多于两位评分差值均最大时，不取消任一评委评分），在所有剩余评委对同一份投标文件技术部分评审的总评分中，去掉一个最高分和一个最低分，计算剩余总评分的算术平均值即为该投标人技术部分的最终综合得分。</w:t>
      </w:r>
      <w:r>
        <w:rPr>
          <w:rFonts w:hint="eastAsia"/>
        </w:rPr>
        <w:br w:type="page"/>
      </w:r>
    </w:p>
    <w:p w14:paraId="10A77F59">
      <w:pPr>
        <w:pStyle w:val="5"/>
        <w:spacing w:before="0" w:after="0" w:line="240" w:lineRule="auto"/>
        <w:outlineLvl w:val="0"/>
        <w:rPr>
          <w:sz w:val="36"/>
          <w:szCs w:val="36"/>
        </w:rPr>
      </w:pPr>
      <w:bookmarkStart w:id="10" w:name="_Toc1803"/>
      <w:bookmarkStart w:id="11" w:name="_Toc957"/>
      <w:r>
        <w:rPr>
          <w:rFonts w:hint="eastAsia"/>
          <w:sz w:val="28"/>
          <w:szCs w:val="28"/>
        </w:rPr>
        <w:t>第三部分用户需求书</w:t>
      </w:r>
      <w:bookmarkEnd w:id="10"/>
      <w:bookmarkEnd w:id="11"/>
    </w:p>
    <w:p w14:paraId="35FC934B">
      <w:pPr>
        <w:pStyle w:val="6"/>
        <w:spacing w:before="0" w:after="0" w:line="360" w:lineRule="auto"/>
        <w:jc w:val="center"/>
        <w:outlineLvl w:val="1"/>
        <w:rPr>
          <w:rFonts w:ascii="宋体" w:hAnsi="宋体"/>
        </w:rPr>
      </w:pPr>
      <w:bookmarkStart w:id="12" w:name="_Toc1593"/>
      <w:bookmarkStart w:id="13" w:name="_Toc31830"/>
      <w:bookmarkStart w:id="14" w:name="_Toc30133"/>
      <w:bookmarkStart w:id="15" w:name="_Toc24679"/>
      <w:bookmarkStart w:id="16" w:name="_Toc308786492"/>
      <w:bookmarkStart w:id="17" w:name="_Toc14462"/>
      <w:bookmarkStart w:id="18" w:name="_Toc31278"/>
      <w:bookmarkStart w:id="19" w:name="_Toc13112"/>
      <w:r>
        <w:rPr>
          <w:rFonts w:hint="eastAsia" w:ascii="宋体" w:hAnsi="宋体"/>
        </w:rPr>
        <w:t>第一章 商务需求书</w:t>
      </w:r>
      <w:bookmarkEnd w:id="12"/>
      <w:bookmarkEnd w:id="13"/>
      <w:bookmarkEnd w:id="14"/>
    </w:p>
    <w:tbl>
      <w:tblPr>
        <w:tblStyle w:val="31"/>
        <w:tblW w:w="868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1501"/>
        <w:gridCol w:w="6466"/>
      </w:tblGrid>
      <w:tr w14:paraId="152932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718" w:type="dxa"/>
            <w:vAlign w:val="center"/>
          </w:tcPr>
          <w:p w14:paraId="789E4D6F">
            <w:pPr>
              <w:jc w:val="center"/>
              <w:rPr>
                <w:rFonts w:ascii="宋体" w:hAnsi="宋体" w:cs="宋体"/>
                <w:szCs w:val="21"/>
              </w:rPr>
            </w:pPr>
            <w:r>
              <w:rPr>
                <w:rFonts w:hint="eastAsia" w:ascii="宋体" w:hAnsi="宋体" w:cs="宋体"/>
                <w:szCs w:val="21"/>
              </w:rPr>
              <w:t>序号</w:t>
            </w:r>
          </w:p>
        </w:tc>
        <w:tc>
          <w:tcPr>
            <w:tcW w:w="1501" w:type="dxa"/>
            <w:vAlign w:val="center"/>
          </w:tcPr>
          <w:p w14:paraId="602AA753">
            <w:pPr>
              <w:jc w:val="center"/>
              <w:rPr>
                <w:rFonts w:ascii="宋体" w:hAnsi="宋体" w:cs="宋体"/>
                <w:szCs w:val="21"/>
              </w:rPr>
            </w:pPr>
            <w:r>
              <w:rPr>
                <w:rFonts w:hint="eastAsia" w:ascii="宋体" w:hAnsi="宋体" w:cs="宋体"/>
                <w:szCs w:val="21"/>
              </w:rPr>
              <w:t>条款名称</w:t>
            </w:r>
          </w:p>
        </w:tc>
        <w:tc>
          <w:tcPr>
            <w:tcW w:w="6466" w:type="dxa"/>
            <w:vAlign w:val="center"/>
          </w:tcPr>
          <w:p w14:paraId="157BC736">
            <w:pPr>
              <w:jc w:val="center"/>
              <w:rPr>
                <w:rFonts w:ascii="宋体" w:hAnsi="宋体" w:cs="宋体"/>
                <w:szCs w:val="21"/>
              </w:rPr>
            </w:pPr>
            <w:r>
              <w:rPr>
                <w:rFonts w:hint="eastAsia" w:ascii="宋体" w:hAnsi="宋体" w:cs="宋体"/>
                <w:szCs w:val="21"/>
              </w:rPr>
              <w:t>说  明</w:t>
            </w:r>
          </w:p>
        </w:tc>
      </w:tr>
      <w:tr w14:paraId="6C769A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1" w:hRule="atLeast"/>
        </w:trPr>
        <w:tc>
          <w:tcPr>
            <w:tcW w:w="718" w:type="dxa"/>
            <w:vAlign w:val="center"/>
          </w:tcPr>
          <w:p w14:paraId="2C0F336A">
            <w:pPr>
              <w:jc w:val="center"/>
              <w:rPr>
                <w:rFonts w:ascii="宋体" w:hAnsi="宋体" w:cs="宋体"/>
                <w:szCs w:val="21"/>
              </w:rPr>
            </w:pPr>
            <w:r>
              <w:rPr>
                <w:rFonts w:hint="eastAsia" w:ascii="宋体" w:hAnsi="宋体" w:cs="宋体"/>
                <w:szCs w:val="21"/>
              </w:rPr>
              <w:t>1</w:t>
            </w:r>
          </w:p>
        </w:tc>
        <w:tc>
          <w:tcPr>
            <w:tcW w:w="1501" w:type="dxa"/>
            <w:vAlign w:val="center"/>
          </w:tcPr>
          <w:p w14:paraId="3DCF774A">
            <w:pPr>
              <w:jc w:val="center"/>
              <w:rPr>
                <w:rFonts w:ascii="宋体" w:hAnsi="宋体" w:cs="宋体"/>
                <w:szCs w:val="21"/>
              </w:rPr>
            </w:pPr>
            <w:r>
              <w:rPr>
                <w:rFonts w:hint="eastAsia" w:ascii="宋体" w:hAnsi="宋体" w:cs="宋体"/>
                <w:szCs w:val="21"/>
              </w:rPr>
              <w:t>合格投标人</w:t>
            </w:r>
          </w:p>
        </w:tc>
        <w:tc>
          <w:tcPr>
            <w:tcW w:w="6466" w:type="dxa"/>
            <w:vAlign w:val="center"/>
          </w:tcPr>
          <w:p w14:paraId="569F3075">
            <w:pPr>
              <w:bidi w:val="0"/>
            </w:pPr>
            <w:r>
              <w:rPr>
                <w:rFonts w:hint="eastAsia"/>
              </w:rPr>
              <w:t>详见“第一部分 投标邀请”中“二、投标人资格要求”</w:t>
            </w:r>
          </w:p>
        </w:tc>
      </w:tr>
      <w:tr w14:paraId="79E8DD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1" w:hRule="atLeast"/>
        </w:trPr>
        <w:tc>
          <w:tcPr>
            <w:tcW w:w="718" w:type="dxa"/>
            <w:vAlign w:val="center"/>
          </w:tcPr>
          <w:p w14:paraId="27996DF7">
            <w:pPr>
              <w:jc w:val="center"/>
              <w:rPr>
                <w:rFonts w:ascii="宋体" w:hAnsi="宋体" w:cs="宋体"/>
                <w:szCs w:val="21"/>
              </w:rPr>
            </w:pPr>
            <w:r>
              <w:rPr>
                <w:rFonts w:hint="eastAsia" w:ascii="宋体" w:hAnsi="宋体" w:cs="宋体"/>
                <w:szCs w:val="21"/>
              </w:rPr>
              <w:t>2</w:t>
            </w:r>
          </w:p>
        </w:tc>
        <w:tc>
          <w:tcPr>
            <w:tcW w:w="1501" w:type="dxa"/>
            <w:vAlign w:val="center"/>
          </w:tcPr>
          <w:p w14:paraId="56FA3304">
            <w:pPr>
              <w:jc w:val="center"/>
              <w:rPr>
                <w:rFonts w:ascii="宋体" w:hAnsi="宋体" w:cs="宋体"/>
                <w:szCs w:val="21"/>
              </w:rPr>
            </w:pPr>
            <w:r>
              <w:rPr>
                <w:rFonts w:hint="eastAsia" w:ascii="宋体" w:hAnsi="宋体" w:cs="宋体"/>
                <w:szCs w:val="21"/>
              </w:rPr>
              <w:t>服务期</w:t>
            </w:r>
          </w:p>
        </w:tc>
        <w:tc>
          <w:tcPr>
            <w:tcW w:w="6466" w:type="dxa"/>
            <w:vAlign w:val="center"/>
          </w:tcPr>
          <w:p w14:paraId="27C79C19">
            <w:pPr>
              <w:bidi w:val="0"/>
              <w:rPr>
                <w:rFonts w:hint="eastAsia" w:eastAsia="宋体"/>
                <w:lang w:eastAsia="zh-CN"/>
              </w:rPr>
            </w:pPr>
            <w:r>
              <w:rPr>
                <w:rFonts w:hint="eastAsia"/>
              </w:rPr>
              <w:t>自合同签订之日起至2026年12月31日（不含二期）</w:t>
            </w:r>
            <w:r>
              <w:rPr>
                <w:rFonts w:hint="eastAsia" w:asciiTheme="minorEastAsia" w:hAnsiTheme="minorEastAsia" w:cstheme="minorEastAsia"/>
                <w:szCs w:val="21"/>
              </w:rPr>
              <w:t>完成整个项目的建设及上线试运行，系统整体稳定试运行1个月后进行系统初验工作，初验通过即进入为期6个月的系统迭代优化阶段</w:t>
            </w:r>
            <w:r>
              <w:rPr>
                <w:rFonts w:hint="eastAsia"/>
                <w:lang w:eastAsia="zh-CN"/>
              </w:rPr>
              <w:t>。</w:t>
            </w:r>
            <w:r>
              <w:rPr>
                <w:rFonts w:hint="eastAsia" w:asciiTheme="minorEastAsia" w:hAnsiTheme="minorEastAsia" w:cstheme="minorEastAsia"/>
                <w:szCs w:val="21"/>
              </w:rPr>
              <w:t>完成系统建设、上线试运行、初验以及6个月的迭代优化并运行稳定，即具备终验条件，进行终验工作。</w:t>
            </w:r>
          </w:p>
        </w:tc>
      </w:tr>
      <w:tr w14:paraId="6E4D83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8" w:hRule="atLeast"/>
        </w:trPr>
        <w:tc>
          <w:tcPr>
            <w:tcW w:w="718" w:type="dxa"/>
            <w:vAlign w:val="center"/>
          </w:tcPr>
          <w:p w14:paraId="613DB934">
            <w:pPr>
              <w:jc w:val="center"/>
              <w:rPr>
                <w:rFonts w:ascii="宋体" w:hAnsi="宋体" w:cs="宋体"/>
                <w:szCs w:val="21"/>
              </w:rPr>
            </w:pPr>
            <w:r>
              <w:rPr>
                <w:rFonts w:hint="eastAsia" w:ascii="宋体" w:hAnsi="宋体" w:cs="宋体"/>
                <w:szCs w:val="21"/>
              </w:rPr>
              <w:t>3</w:t>
            </w:r>
          </w:p>
        </w:tc>
        <w:tc>
          <w:tcPr>
            <w:tcW w:w="1501" w:type="dxa"/>
            <w:vAlign w:val="center"/>
          </w:tcPr>
          <w:p w14:paraId="4CC17EA5">
            <w:pPr>
              <w:jc w:val="center"/>
              <w:rPr>
                <w:rFonts w:ascii="宋体" w:hAnsi="宋体" w:cs="宋体"/>
                <w:szCs w:val="21"/>
              </w:rPr>
            </w:pPr>
            <w:r>
              <w:rPr>
                <w:rFonts w:hint="eastAsia" w:ascii="宋体" w:hAnsi="宋体" w:cs="宋体"/>
                <w:szCs w:val="21"/>
              </w:rPr>
              <w:t>付款方式</w:t>
            </w:r>
          </w:p>
        </w:tc>
        <w:tc>
          <w:tcPr>
            <w:tcW w:w="6466" w:type="dxa"/>
            <w:vAlign w:val="center"/>
          </w:tcPr>
          <w:p w14:paraId="71C7E5F3">
            <w:pPr>
              <w:bidi w:val="0"/>
              <w:rPr>
                <w:rFonts w:hint="eastAsia"/>
              </w:rPr>
            </w:pPr>
            <w:r>
              <w:rPr>
                <w:rFonts w:hint="eastAsia"/>
              </w:rPr>
              <w:t>按项目实施阶段分四期支付：</w:t>
            </w:r>
          </w:p>
          <w:p w14:paraId="3CFF73A1">
            <w:pPr>
              <w:bidi w:val="0"/>
              <w:rPr>
                <w:rFonts w:hint="eastAsia"/>
              </w:rPr>
            </w:pPr>
            <w:r>
              <w:rPr>
                <w:rFonts w:hint="eastAsia"/>
                <w:lang w:val="en-US" w:eastAsia="zh-CN"/>
              </w:rPr>
              <w:t>第一期：合同签订后，采购人收到合格的付款发票及请款报告等资料之日起5个工作日内支付合同金额的</w:t>
            </w:r>
            <w:r>
              <w:rPr>
                <w:rFonts w:hint="eastAsia"/>
              </w:rPr>
              <w:t>30%预付款。</w:t>
            </w:r>
          </w:p>
          <w:p w14:paraId="023F4533">
            <w:pPr>
              <w:bidi w:val="0"/>
              <w:rPr>
                <w:rFonts w:hint="eastAsia"/>
              </w:rPr>
            </w:pPr>
            <w:r>
              <w:rPr>
                <w:rFonts w:hint="eastAsia"/>
                <w:lang w:val="en-US" w:eastAsia="zh-CN"/>
              </w:rPr>
              <w:t>第二期：</w:t>
            </w:r>
            <w:r>
              <w:rPr>
                <w:rFonts w:hint="eastAsia"/>
              </w:rPr>
              <w:t>完成开发、单元测试、系统集成部署后</w:t>
            </w:r>
            <w:r>
              <w:rPr>
                <w:rFonts w:hint="eastAsia" w:asciiTheme="minorEastAsia" w:hAnsiTheme="minorEastAsia" w:cstheme="minorEastAsia"/>
                <w:szCs w:val="21"/>
              </w:rPr>
              <w:t>采购人收到合格的付款发票及试运行报告等资料之日起</w:t>
            </w:r>
            <w:r>
              <w:rPr>
                <w:rFonts w:hint="eastAsia" w:asciiTheme="minorEastAsia" w:hAnsiTheme="minorEastAsia" w:cstheme="minorEastAsia"/>
                <w:szCs w:val="21"/>
                <w:lang w:val="zh-CN"/>
              </w:rPr>
              <w:t>15</w:t>
            </w:r>
            <w:r>
              <w:rPr>
                <w:rFonts w:hint="eastAsia" w:asciiTheme="minorEastAsia" w:hAnsiTheme="minorEastAsia" w:cstheme="minorEastAsia"/>
                <w:szCs w:val="21"/>
              </w:rPr>
              <w:t>个工作日支付合同金额的</w:t>
            </w:r>
            <w:r>
              <w:rPr>
                <w:rFonts w:hint="eastAsia"/>
              </w:rPr>
              <w:t>40%进度款。</w:t>
            </w:r>
          </w:p>
          <w:p w14:paraId="06B3FECD">
            <w:pPr>
              <w:bidi w:val="0"/>
              <w:rPr>
                <w:rFonts w:hint="eastAsia"/>
              </w:rPr>
            </w:pPr>
            <w:r>
              <w:rPr>
                <w:rFonts w:hint="eastAsia"/>
                <w:lang w:val="en-US" w:eastAsia="zh-CN"/>
              </w:rPr>
              <w:t>第三期：</w:t>
            </w:r>
            <w:r>
              <w:rPr>
                <w:rFonts w:hint="eastAsia"/>
              </w:rPr>
              <w:t>全集团上线、培训完成、验收合格后支付采购人收到合格的付款发票及终验报告等资料之日起15个工作日支付合同金额的25%验收款。</w:t>
            </w:r>
          </w:p>
          <w:p w14:paraId="6A83E0B9">
            <w:pPr>
              <w:bidi w:val="0"/>
              <w:rPr>
                <w:rFonts w:hint="eastAsia"/>
              </w:rPr>
            </w:pPr>
            <w:r>
              <w:rPr>
                <w:rFonts w:hint="eastAsia"/>
                <w:lang w:val="en-US" w:eastAsia="zh-CN"/>
              </w:rPr>
              <w:t>第四期：项目维护期满后，采购人收到合格的付款发票及验收证明等资料之日起15个工作日内支付合同金额的5%。成交人应在每次申请付款前，向采购人提供相应金额的增值税专用发票，具体开票信息以合同约定为准。</w:t>
            </w:r>
          </w:p>
        </w:tc>
      </w:tr>
      <w:tr w14:paraId="30D487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1" w:hRule="atLeast"/>
        </w:trPr>
        <w:tc>
          <w:tcPr>
            <w:tcW w:w="718" w:type="dxa"/>
            <w:vAlign w:val="center"/>
          </w:tcPr>
          <w:p w14:paraId="2BB2A9C1">
            <w:pPr>
              <w:jc w:val="center"/>
              <w:rPr>
                <w:rFonts w:ascii="宋体" w:hAnsi="宋体" w:cs="宋体"/>
                <w:szCs w:val="21"/>
              </w:rPr>
            </w:pPr>
            <w:r>
              <w:rPr>
                <w:rFonts w:hint="eastAsia" w:ascii="宋体" w:hAnsi="宋体" w:cs="宋体"/>
                <w:szCs w:val="21"/>
              </w:rPr>
              <w:t>4</w:t>
            </w:r>
          </w:p>
        </w:tc>
        <w:tc>
          <w:tcPr>
            <w:tcW w:w="1501" w:type="dxa"/>
            <w:vAlign w:val="center"/>
          </w:tcPr>
          <w:p w14:paraId="6F091BEA">
            <w:pPr>
              <w:jc w:val="center"/>
              <w:rPr>
                <w:rFonts w:ascii="宋体" w:hAnsi="宋体" w:cs="宋体"/>
                <w:szCs w:val="21"/>
              </w:rPr>
            </w:pPr>
            <w:r>
              <w:rPr>
                <w:rFonts w:hint="eastAsia" w:ascii="宋体" w:hAnsi="宋体" w:cs="宋体"/>
                <w:szCs w:val="21"/>
              </w:rPr>
              <w:t>项目地点</w:t>
            </w:r>
          </w:p>
        </w:tc>
        <w:tc>
          <w:tcPr>
            <w:tcW w:w="6466" w:type="dxa"/>
            <w:vAlign w:val="center"/>
          </w:tcPr>
          <w:p w14:paraId="30792462">
            <w:pPr>
              <w:bidi w:val="0"/>
              <w:rPr>
                <w:rFonts w:hint="eastAsia"/>
              </w:rPr>
            </w:pPr>
            <w:r>
              <w:rPr>
                <w:rFonts w:hint="eastAsia"/>
              </w:rPr>
              <w:t>采购人指定地点。</w:t>
            </w:r>
          </w:p>
        </w:tc>
      </w:tr>
      <w:tr w14:paraId="3592B2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76" w:hRule="atLeast"/>
        </w:trPr>
        <w:tc>
          <w:tcPr>
            <w:tcW w:w="718" w:type="dxa"/>
            <w:vAlign w:val="center"/>
          </w:tcPr>
          <w:p w14:paraId="339663DA">
            <w:pPr>
              <w:jc w:val="center"/>
              <w:rPr>
                <w:rFonts w:ascii="宋体" w:hAnsi="宋体" w:cs="宋体"/>
                <w:szCs w:val="21"/>
              </w:rPr>
            </w:pPr>
            <w:r>
              <w:rPr>
                <w:rFonts w:hint="eastAsia" w:ascii="宋体" w:hAnsi="宋体" w:cs="宋体"/>
                <w:szCs w:val="21"/>
              </w:rPr>
              <w:t>5</w:t>
            </w:r>
          </w:p>
        </w:tc>
        <w:tc>
          <w:tcPr>
            <w:tcW w:w="1501" w:type="dxa"/>
            <w:vAlign w:val="center"/>
          </w:tcPr>
          <w:p w14:paraId="4F0C3A63">
            <w:pPr>
              <w:jc w:val="center"/>
              <w:rPr>
                <w:rFonts w:ascii="宋体" w:hAnsi="宋体" w:cs="宋体"/>
                <w:szCs w:val="21"/>
              </w:rPr>
            </w:pPr>
            <w:r>
              <w:rPr>
                <w:rFonts w:hint="eastAsia" w:ascii="宋体" w:hAnsi="宋体" w:cs="宋体"/>
                <w:szCs w:val="21"/>
              </w:rPr>
              <w:t>报价要求</w:t>
            </w:r>
          </w:p>
        </w:tc>
        <w:tc>
          <w:tcPr>
            <w:tcW w:w="6466" w:type="dxa"/>
            <w:vAlign w:val="center"/>
          </w:tcPr>
          <w:p w14:paraId="5F958F14">
            <w:pPr>
              <w:bidi w:val="0"/>
            </w:pPr>
            <w:r>
              <w:t>1.报价方式：以人民币报价。</w:t>
            </w:r>
          </w:p>
          <w:p w14:paraId="26DA632D">
            <w:pPr>
              <w:bidi w:val="0"/>
            </w:pPr>
            <w:r>
              <w:t>2.报价应包含完成本次采购所有标的内容的费用，包含服务费用、人工费、材料费、调试费、各种税务费及合同实施过程中的不可预见费用等全部费用（含采购文件所要求的必要的辅助材料费用)和售后服务费等。</w:t>
            </w:r>
          </w:p>
          <w:p w14:paraId="2E60F7AF">
            <w:pPr>
              <w:bidi w:val="0"/>
              <w:rPr>
                <w:rFonts w:hint="eastAsia"/>
                <w:lang w:eastAsia="zh-CN"/>
              </w:rPr>
            </w:pPr>
            <w:r>
              <w:t>3.报价应包含所有应支付的对专利权和版权、设计或其他知识产权而需要向其他方支付的版税</w:t>
            </w:r>
            <w:r>
              <w:rPr>
                <w:rFonts w:hint="eastAsia"/>
                <w:lang w:eastAsia="zh-CN"/>
              </w:rPr>
              <w:t>。</w:t>
            </w:r>
          </w:p>
          <w:p w14:paraId="4D4C22E3">
            <w:pPr>
              <w:rPr>
                <w:rFonts w:hint="default"/>
                <w:lang w:val="en-US" w:eastAsia="zh-CN"/>
              </w:rPr>
            </w:pPr>
            <w:r>
              <w:rPr>
                <w:rFonts w:hint="default"/>
                <w:lang w:val="en-US" w:eastAsia="zh-CN"/>
              </w:rPr>
              <w:t>4.</w:t>
            </w:r>
            <w:r>
              <w:rPr>
                <w:rFonts w:hint="default" w:ascii="Tahoma" w:hAnsi="Tahoma" w:cstheme="minorBidi"/>
                <w:szCs w:val="22"/>
              </w:rPr>
              <w:t>本项目需要投标人对免费质保期后的每年运维费用进行报价，报价不得高于本项目投标报价的7%，前述费用不计入在本项目投标报价中。免费质保期后，采购人有权在不高于本次运维报价的情况下与中标人洽商确定运维费用。</w:t>
            </w:r>
          </w:p>
        </w:tc>
      </w:tr>
      <w:tr w14:paraId="030AB3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1" w:hRule="atLeast"/>
        </w:trPr>
        <w:tc>
          <w:tcPr>
            <w:tcW w:w="718" w:type="dxa"/>
            <w:vAlign w:val="center"/>
          </w:tcPr>
          <w:p w14:paraId="289F4AB8">
            <w:pPr>
              <w:jc w:val="center"/>
              <w:rPr>
                <w:rFonts w:hint="eastAsia" w:ascii="宋体" w:hAnsi="宋体" w:eastAsia="宋体" w:cs="宋体"/>
                <w:szCs w:val="21"/>
                <w:lang w:val="en-US" w:eastAsia="zh-CN"/>
              </w:rPr>
            </w:pPr>
            <w:r>
              <w:rPr>
                <w:rFonts w:hint="eastAsia" w:ascii="宋体" w:hAnsi="宋体" w:cs="宋体"/>
                <w:szCs w:val="21"/>
                <w:lang w:val="en-US" w:eastAsia="zh-CN"/>
              </w:rPr>
              <w:t>6</w:t>
            </w:r>
          </w:p>
        </w:tc>
        <w:tc>
          <w:tcPr>
            <w:tcW w:w="1501" w:type="dxa"/>
            <w:vAlign w:val="center"/>
          </w:tcPr>
          <w:p w14:paraId="28E8C56B">
            <w:pPr>
              <w:jc w:val="center"/>
              <w:rPr>
                <w:rFonts w:hint="default" w:ascii="宋体" w:hAnsi="宋体" w:eastAsia="宋体" w:cs="宋体"/>
                <w:szCs w:val="21"/>
                <w:lang w:val="en-US" w:eastAsia="zh-CN"/>
              </w:rPr>
            </w:pPr>
            <w:r>
              <w:rPr>
                <w:rFonts w:hint="eastAsia" w:ascii="宋体" w:hAnsi="宋体" w:cs="宋体"/>
                <w:szCs w:val="21"/>
                <w:lang w:val="en-US" w:eastAsia="zh-CN"/>
              </w:rPr>
              <w:t>验收要求</w:t>
            </w:r>
          </w:p>
        </w:tc>
        <w:tc>
          <w:tcPr>
            <w:tcW w:w="6466" w:type="dxa"/>
            <w:vAlign w:val="center"/>
          </w:tcPr>
          <w:p w14:paraId="0CA73DE4">
            <w:pPr>
              <w:bidi w:val="0"/>
              <w:rPr>
                <w:rFonts w:hint="eastAsia"/>
                <w:lang w:val="en-US" w:eastAsia="zh-CN"/>
              </w:rPr>
            </w:pPr>
            <w:r>
              <w:rPr>
                <w:rFonts w:hint="eastAsia"/>
                <w:lang w:val="en-US" w:eastAsia="zh-CN"/>
              </w:rPr>
              <w:t>1.功能验收</w:t>
            </w:r>
          </w:p>
          <w:p w14:paraId="72211C42">
            <w:pPr>
              <w:bidi w:val="0"/>
              <w:rPr>
                <w:rFonts w:hint="eastAsia"/>
                <w:lang w:val="en-US" w:eastAsia="zh-CN"/>
              </w:rPr>
            </w:pPr>
            <w:r>
              <w:rPr>
                <w:rFonts w:hint="eastAsia"/>
                <w:lang w:val="en-US" w:eastAsia="zh-CN"/>
              </w:rPr>
              <w:t>所有本期规划建设模块完整落地，业务流程完整闭环，物联设备数据采集展示正常，台账报表、导出打印、消息提醒、权限管控功能全部正常使用，满足企业日常安全管理业务需求。</w:t>
            </w:r>
          </w:p>
          <w:p w14:paraId="5750820D">
            <w:pPr>
              <w:bidi w:val="0"/>
              <w:rPr>
                <w:rFonts w:hint="eastAsia"/>
                <w:lang w:val="en-US" w:eastAsia="zh-CN"/>
              </w:rPr>
            </w:pPr>
            <w:r>
              <w:rPr>
                <w:rFonts w:hint="eastAsia"/>
                <w:lang w:val="en-US" w:eastAsia="zh-CN"/>
              </w:rPr>
              <w:t>2.性能验收</w:t>
            </w:r>
          </w:p>
          <w:p w14:paraId="49BEE2A7">
            <w:pPr>
              <w:bidi w:val="0"/>
              <w:rPr>
                <w:rFonts w:hint="eastAsia"/>
                <w:lang w:val="en-US" w:eastAsia="zh-CN"/>
              </w:rPr>
            </w:pPr>
            <w:r>
              <w:rPr>
                <w:rFonts w:hint="eastAsia"/>
                <w:lang w:val="en-US" w:eastAsia="zh-CN"/>
              </w:rPr>
              <w:t>系统响应速度、并发承载、视频预览、数据采集等性能指标达到设计要求，长时间连续运行稳定无异常。</w:t>
            </w:r>
          </w:p>
          <w:p w14:paraId="09753F38">
            <w:pPr>
              <w:bidi w:val="0"/>
              <w:rPr>
                <w:rFonts w:hint="eastAsia"/>
                <w:lang w:val="en-US" w:eastAsia="zh-CN"/>
              </w:rPr>
            </w:pPr>
            <w:r>
              <w:rPr>
                <w:rFonts w:hint="eastAsia"/>
                <w:lang w:val="en-US" w:eastAsia="zh-CN"/>
              </w:rPr>
              <w:t>3.接口验收</w:t>
            </w:r>
          </w:p>
          <w:p w14:paraId="6C8327AD">
            <w:pPr>
              <w:bidi w:val="0"/>
              <w:rPr>
                <w:rFonts w:hint="eastAsia"/>
                <w:lang w:val="en-US" w:eastAsia="zh-CN"/>
              </w:rPr>
            </w:pPr>
            <w:r>
              <w:rPr>
                <w:rFonts w:hint="eastAsia"/>
                <w:lang w:val="en-US" w:eastAsia="zh-CN"/>
              </w:rPr>
              <w:t>各类硬件对接接口、内部交互接口运行稳定，数据传输实时准确，接口文档完整规范。</w:t>
            </w:r>
          </w:p>
          <w:p w14:paraId="7DBEF335">
            <w:pPr>
              <w:bidi w:val="0"/>
              <w:rPr>
                <w:rFonts w:hint="eastAsia"/>
                <w:lang w:val="en-US" w:eastAsia="zh-CN"/>
              </w:rPr>
            </w:pPr>
            <w:r>
              <w:rPr>
                <w:rFonts w:hint="eastAsia"/>
                <w:lang w:val="en-US" w:eastAsia="zh-CN"/>
              </w:rPr>
              <w:t>4.安全验收</w:t>
            </w:r>
          </w:p>
          <w:p w14:paraId="6FEA998B">
            <w:pPr>
              <w:bidi w:val="0"/>
              <w:rPr>
                <w:rFonts w:hint="eastAsia"/>
                <w:lang w:val="en-US" w:eastAsia="zh-CN"/>
              </w:rPr>
            </w:pPr>
            <w:r>
              <w:rPr>
                <w:rFonts w:hint="eastAsia"/>
                <w:lang w:val="en-US" w:eastAsia="zh-CN"/>
              </w:rPr>
              <w:t>权限隔离、数据备份、操作日志、网络防护等安全措施落实到位，无安全漏洞与数据风险。</w:t>
            </w:r>
          </w:p>
          <w:p w14:paraId="7151BA4F">
            <w:pPr>
              <w:bidi w:val="0"/>
              <w:rPr>
                <w:rFonts w:hint="eastAsia"/>
                <w:lang w:val="en-US" w:eastAsia="zh-CN"/>
              </w:rPr>
            </w:pPr>
            <w:r>
              <w:rPr>
                <w:rFonts w:hint="eastAsia"/>
                <w:lang w:val="en-US" w:eastAsia="zh-CN"/>
              </w:rPr>
              <w:t>5.文档验收</w:t>
            </w:r>
          </w:p>
          <w:p w14:paraId="2293E3D8">
            <w:pPr>
              <w:bidi w:val="0"/>
              <w:rPr>
                <w:rFonts w:hint="eastAsia"/>
              </w:rPr>
            </w:pPr>
            <w:r>
              <w:rPr>
                <w:rFonts w:hint="eastAsia"/>
                <w:lang w:val="en-US" w:eastAsia="zh-CN"/>
              </w:rPr>
              <w:t>完整交付需求报告、设计方案、接口文档、操作手册、运维手册、测试报告等全套资料，统一归档交付。</w:t>
            </w:r>
          </w:p>
        </w:tc>
      </w:tr>
      <w:tr w14:paraId="35B780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1" w:hRule="atLeast"/>
        </w:trPr>
        <w:tc>
          <w:tcPr>
            <w:tcW w:w="718" w:type="dxa"/>
            <w:vAlign w:val="center"/>
          </w:tcPr>
          <w:p w14:paraId="32EF3FF6">
            <w:pPr>
              <w:jc w:val="center"/>
              <w:rPr>
                <w:rFonts w:hint="eastAsia" w:ascii="宋体" w:hAnsi="宋体" w:eastAsia="宋体" w:cs="宋体"/>
                <w:szCs w:val="21"/>
                <w:lang w:eastAsia="zh-CN"/>
              </w:rPr>
            </w:pPr>
            <w:r>
              <w:rPr>
                <w:rFonts w:hint="eastAsia" w:ascii="宋体" w:hAnsi="宋体" w:cs="宋体"/>
                <w:szCs w:val="21"/>
                <w:lang w:val="en-US" w:eastAsia="zh-CN"/>
              </w:rPr>
              <w:t>7</w:t>
            </w:r>
          </w:p>
        </w:tc>
        <w:tc>
          <w:tcPr>
            <w:tcW w:w="1501" w:type="dxa"/>
            <w:vAlign w:val="center"/>
          </w:tcPr>
          <w:p w14:paraId="10BB3E20">
            <w:pPr>
              <w:jc w:val="center"/>
              <w:rPr>
                <w:rFonts w:ascii="宋体" w:hAnsi="宋体" w:cs="宋体"/>
                <w:szCs w:val="21"/>
              </w:rPr>
            </w:pPr>
            <w:r>
              <w:rPr>
                <w:rFonts w:hint="eastAsia" w:ascii="宋体" w:hAnsi="宋体" w:cs="宋体"/>
                <w:szCs w:val="21"/>
              </w:rPr>
              <w:t>投标有效期</w:t>
            </w:r>
          </w:p>
        </w:tc>
        <w:tc>
          <w:tcPr>
            <w:tcW w:w="6466" w:type="dxa"/>
            <w:vAlign w:val="center"/>
          </w:tcPr>
          <w:p w14:paraId="4654F203">
            <w:pPr>
              <w:bidi w:val="0"/>
              <w:rPr>
                <w:rFonts w:hint="eastAsia"/>
              </w:rPr>
            </w:pPr>
            <w:r>
              <w:rPr>
                <w:rFonts w:hint="eastAsia"/>
              </w:rPr>
              <w:t>自开标之日起90天。</w:t>
            </w:r>
          </w:p>
        </w:tc>
      </w:tr>
      <w:tr w14:paraId="426E6B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1" w:hRule="atLeast"/>
        </w:trPr>
        <w:tc>
          <w:tcPr>
            <w:tcW w:w="718" w:type="dxa"/>
            <w:vAlign w:val="center"/>
          </w:tcPr>
          <w:p w14:paraId="1897DCD5">
            <w:pPr>
              <w:jc w:val="center"/>
              <w:rPr>
                <w:rFonts w:hint="eastAsia" w:ascii="宋体" w:hAnsi="宋体" w:eastAsia="宋体" w:cs="宋体"/>
                <w:szCs w:val="21"/>
                <w:lang w:eastAsia="zh-CN"/>
              </w:rPr>
            </w:pPr>
            <w:r>
              <w:rPr>
                <w:rFonts w:hint="eastAsia" w:ascii="宋体" w:hAnsi="宋体" w:cs="宋体"/>
                <w:szCs w:val="21"/>
                <w:lang w:val="en-US" w:eastAsia="zh-CN"/>
              </w:rPr>
              <w:t>8</w:t>
            </w:r>
          </w:p>
        </w:tc>
        <w:tc>
          <w:tcPr>
            <w:tcW w:w="1501" w:type="dxa"/>
            <w:vAlign w:val="center"/>
          </w:tcPr>
          <w:p w14:paraId="7E3C5A3F">
            <w:pPr>
              <w:jc w:val="center"/>
              <w:rPr>
                <w:rFonts w:ascii="宋体" w:hAnsi="宋体" w:cs="宋体"/>
                <w:szCs w:val="21"/>
              </w:rPr>
            </w:pPr>
            <w:r>
              <w:rPr>
                <w:rFonts w:hint="eastAsia" w:ascii="宋体" w:hAnsi="宋体" w:cs="宋体"/>
                <w:szCs w:val="21"/>
              </w:rPr>
              <w:t>合同条款</w:t>
            </w:r>
          </w:p>
        </w:tc>
        <w:tc>
          <w:tcPr>
            <w:tcW w:w="6466" w:type="dxa"/>
            <w:vAlign w:val="center"/>
          </w:tcPr>
          <w:p w14:paraId="274D1AAF">
            <w:pPr>
              <w:bidi w:val="0"/>
              <w:rPr>
                <w:rFonts w:hint="eastAsia"/>
              </w:rPr>
            </w:pPr>
            <w:r>
              <w:rPr>
                <w:rFonts w:hint="eastAsia"/>
              </w:rPr>
              <w:t>投标人实质响应合同各条款。</w:t>
            </w:r>
          </w:p>
        </w:tc>
      </w:tr>
      <w:tr w14:paraId="7C828B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1" w:hRule="atLeast"/>
        </w:trPr>
        <w:tc>
          <w:tcPr>
            <w:tcW w:w="718" w:type="dxa"/>
            <w:vAlign w:val="center"/>
          </w:tcPr>
          <w:p w14:paraId="546A83B9">
            <w:pPr>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9</w:t>
            </w:r>
          </w:p>
        </w:tc>
        <w:tc>
          <w:tcPr>
            <w:tcW w:w="1501" w:type="dxa"/>
            <w:vAlign w:val="center"/>
          </w:tcPr>
          <w:p w14:paraId="1703DF46">
            <w:pPr>
              <w:jc w:val="center"/>
              <w:rPr>
                <w:rFonts w:hint="eastAsia" w:ascii="宋体" w:hAnsi="宋体" w:eastAsia="宋体" w:cs="宋体"/>
                <w:szCs w:val="21"/>
                <w:highlight w:val="none"/>
                <w:lang w:eastAsia="zh-CN"/>
              </w:rPr>
            </w:pPr>
            <w:r>
              <w:rPr>
                <w:rFonts w:hint="eastAsia" w:ascii="宋体" w:hAnsi="宋体"/>
                <w:szCs w:val="21"/>
              </w:rPr>
              <w:t>★</w:t>
            </w:r>
            <w:r>
              <w:rPr>
                <w:rFonts w:hint="eastAsia" w:ascii="宋体" w:hAnsi="宋体" w:cs="宋体"/>
                <w:szCs w:val="21"/>
                <w:highlight w:val="none"/>
                <w:lang w:val="en-US" w:eastAsia="zh-CN"/>
              </w:rPr>
              <w:t>其他</w:t>
            </w:r>
          </w:p>
        </w:tc>
        <w:tc>
          <w:tcPr>
            <w:tcW w:w="6466" w:type="dxa"/>
            <w:vAlign w:val="center"/>
          </w:tcPr>
          <w:p w14:paraId="1B7A00DC">
            <w:pPr>
              <w:bidi w:val="0"/>
              <w:rPr>
                <w:rFonts w:hint="default"/>
                <w:lang w:val="en-US" w:eastAsia="zh-CN"/>
              </w:rPr>
            </w:pPr>
            <w:r>
              <w:rPr>
                <w:rFonts w:hint="eastAsia"/>
                <w:lang w:val="en-US" w:eastAsia="zh-CN"/>
              </w:rPr>
              <w:t>1、严格按照项目进度计划交付，确保一期在2026年12月底前完成全集团上线试运行。（单独提供承诺书）</w:t>
            </w:r>
          </w:p>
          <w:p w14:paraId="662E90B4">
            <w:pPr>
              <w:bidi w:val="0"/>
              <w:rPr>
                <w:rFonts w:hint="eastAsia"/>
                <w:lang w:val="en-US" w:eastAsia="zh-CN"/>
              </w:rPr>
            </w:pPr>
            <w:r>
              <w:rPr>
                <w:rFonts w:hint="eastAsia"/>
                <w:lang w:val="en-US" w:eastAsia="zh-CN"/>
              </w:rPr>
              <w:t>2、提供需求对接、现场实施、系统测试、问题整改、操作培训全流程服务。（单独提供承诺书）</w:t>
            </w:r>
          </w:p>
          <w:p w14:paraId="742580D3">
            <w:pPr>
              <w:bidi w:val="0"/>
              <w:rPr>
                <w:rFonts w:hint="eastAsia"/>
                <w:lang w:val="en-US" w:eastAsia="zh-CN"/>
              </w:rPr>
            </w:pPr>
            <w:r>
              <w:rPr>
                <w:rFonts w:hint="eastAsia"/>
                <w:lang w:val="en-US" w:eastAsia="zh-CN"/>
              </w:rPr>
              <w:t>3、</w:t>
            </w:r>
            <w:r>
              <w:rPr>
                <w:rFonts w:hint="eastAsia" w:asciiTheme="minorEastAsia" w:hAnsiTheme="minorEastAsia" w:cstheme="minorEastAsia"/>
                <w:szCs w:val="21"/>
              </w:rPr>
              <w:t>项目维护期</w:t>
            </w:r>
            <w:r>
              <w:rPr>
                <w:rFonts w:hint="eastAsia" w:asciiTheme="minorEastAsia" w:hAnsiTheme="minorEastAsia" w:cstheme="minorEastAsia"/>
                <w:szCs w:val="21"/>
                <w:lang w:eastAsia="zh-CN"/>
              </w:rPr>
              <w:t>：</w:t>
            </w:r>
            <w:r>
              <w:rPr>
                <w:rFonts w:hint="eastAsia"/>
                <w:lang w:val="en-US" w:eastAsia="zh-CN"/>
              </w:rPr>
              <w:t>提供不少于1年免费运维服务，7×24小时技术响应。（单独提供承诺书）</w:t>
            </w:r>
          </w:p>
          <w:p w14:paraId="20D0E9D9">
            <w:pPr>
              <w:bidi w:val="0"/>
              <w:rPr>
                <w:rFonts w:hint="eastAsia"/>
                <w:lang w:val="en-US" w:eastAsia="zh-CN"/>
              </w:rPr>
            </w:pPr>
            <w:r>
              <w:rPr>
                <w:rFonts w:hint="eastAsia"/>
                <w:lang w:val="en-US" w:eastAsia="zh-CN"/>
              </w:rPr>
              <w:t>4、配合完成二期迭代升级规划与建设。（单独提供承诺书）</w:t>
            </w:r>
          </w:p>
          <w:p w14:paraId="475F0C16">
            <w:pPr>
              <w:bidi w:val="0"/>
              <w:rPr>
                <w:rFonts w:hint="eastAsia"/>
              </w:rPr>
            </w:pPr>
            <w:r>
              <w:rPr>
                <w:rFonts w:hint="eastAsia"/>
                <w:lang w:val="en-US" w:eastAsia="zh-CN"/>
              </w:rPr>
              <w:t>5、交付全套技术文档、使用手册、培训材料。（单独提供承诺书）</w:t>
            </w:r>
          </w:p>
        </w:tc>
      </w:tr>
    </w:tbl>
    <w:p w14:paraId="080BC5FE">
      <w:pPr>
        <w:rPr>
          <w:rFonts w:ascii="宋体" w:hAnsi="宋体"/>
          <w:highlight w:val="yellow"/>
        </w:rPr>
      </w:pPr>
      <w:bookmarkStart w:id="20" w:name="_Toc19316"/>
      <w:r>
        <w:rPr>
          <w:rFonts w:hint="eastAsia" w:ascii="宋体" w:hAnsi="宋体"/>
          <w:highlight w:val="yellow"/>
        </w:rPr>
        <w:br w:type="page"/>
      </w:r>
    </w:p>
    <w:p w14:paraId="5C918663">
      <w:pPr>
        <w:pStyle w:val="6"/>
        <w:spacing w:before="0" w:after="0" w:line="360" w:lineRule="auto"/>
        <w:jc w:val="center"/>
        <w:outlineLvl w:val="1"/>
      </w:pPr>
      <w:bookmarkStart w:id="21" w:name="_Toc9776"/>
      <w:bookmarkStart w:id="22" w:name="_Toc22644"/>
      <w:r>
        <w:rPr>
          <w:rFonts w:hint="eastAsia" w:ascii="宋体" w:hAnsi="宋体"/>
        </w:rPr>
        <w:t>第二章 技术需求书</w:t>
      </w:r>
      <w:bookmarkEnd w:id="20"/>
      <w:bookmarkEnd w:id="21"/>
      <w:bookmarkEnd w:id="22"/>
    </w:p>
    <w:bookmarkEnd w:id="15"/>
    <w:bookmarkEnd w:id="16"/>
    <w:bookmarkEnd w:id="17"/>
    <w:bookmarkEnd w:id="18"/>
    <w:bookmarkEnd w:id="19"/>
    <w:p w14:paraId="00864581">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jc w:val="both"/>
        <w:textAlignment w:val="auto"/>
        <w:outlineLvl w:val="2"/>
        <w:rPr>
          <w:rFonts w:hint="eastAsia" w:asciiTheme="minorEastAsia" w:hAnsiTheme="minorEastAsia" w:eastAsiaTheme="minorEastAsia" w:cstheme="minorEastAsia"/>
          <w:b w:val="0"/>
          <w:bCs w:val="0"/>
          <w:kern w:val="2"/>
          <w:sz w:val="21"/>
          <w:szCs w:val="21"/>
          <w:lang w:val="en-US" w:eastAsia="zh-CN" w:bidi="ar-SA"/>
        </w:rPr>
      </w:pPr>
      <w:bookmarkStart w:id="23" w:name="_Toc15151"/>
      <w:bookmarkStart w:id="24" w:name="_Toc29541"/>
      <w:r>
        <w:rPr>
          <w:rFonts w:hint="eastAsia" w:asciiTheme="minorEastAsia" w:hAnsiTheme="minorEastAsia" w:eastAsiaTheme="minorEastAsia" w:cstheme="minorEastAsia"/>
          <w:b w:val="0"/>
          <w:bCs w:val="0"/>
          <w:kern w:val="2"/>
          <w:sz w:val="21"/>
          <w:szCs w:val="21"/>
          <w:lang w:val="en-US" w:eastAsia="zh-CN" w:bidi="ar-SA"/>
        </w:rPr>
        <w:t>1 项目概述</w:t>
      </w:r>
      <w:bookmarkEnd w:id="23"/>
      <w:bookmarkEnd w:id="24"/>
    </w:p>
    <w:p w14:paraId="307D8ACB">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jc w:val="both"/>
        <w:textAlignment w:val="auto"/>
        <w:outlineLvl w:val="3"/>
        <w:rPr>
          <w:rFonts w:hint="eastAsia" w:asciiTheme="minorEastAsia" w:hAnsiTheme="minorEastAsia" w:eastAsiaTheme="minorEastAsia" w:cstheme="minorEastAsia"/>
          <w:b w:val="0"/>
          <w:bCs w:val="0"/>
          <w:kern w:val="2"/>
          <w:sz w:val="21"/>
          <w:szCs w:val="21"/>
          <w:lang w:val="en-US" w:eastAsia="zh-CN" w:bidi="ar-SA"/>
        </w:rPr>
      </w:pPr>
      <w:bookmarkStart w:id="25" w:name="_Toc13225"/>
      <w:r>
        <w:rPr>
          <w:rFonts w:hint="eastAsia" w:asciiTheme="minorEastAsia" w:hAnsiTheme="minorEastAsia" w:eastAsiaTheme="minorEastAsia" w:cstheme="minorEastAsia"/>
          <w:b w:val="0"/>
          <w:bCs w:val="0"/>
          <w:kern w:val="2"/>
          <w:sz w:val="21"/>
          <w:szCs w:val="21"/>
          <w:lang w:val="en-US" w:eastAsia="zh-CN" w:bidi="ar-SA"/>
        </w:rPr>
        <w:t>1.1项目背景</w:t>
      </w:r>
      <w:bookmarkEnd w:id="25"/>
    </w:p>
    <w:p w14:paraId="3D3951D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outlineLvl w:val="9"/>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当前企业安全管理覆盖瓶装气、车辆配送、管道气、加油站、加气站、物业租赁、光伏施工、储能施工及维护等多业务板块，呈现点多、面广、线长、风险高的特点。传统安全管理以纸质台账、人工巡检、线下流转为主，存在数据不互通、监管不及时、流程不闭环、统计不直观、隐患处置滞后等问题，已无法满足现代化安全生产管控的合规要求和效率需求。</w:t>
      </w:r>
    </w:p>
    <w:p w14:paraId="3740401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为落实企业安全生产主体责任，全面提升安全管理数字化、标准化、规范化水平，破解传统管理痛点，企业决定建设安全生产管理数字化平台，统一整合安全管理全流程业务，打通视频监控、站控工艺参数、物业消防系统三大核心硬件系统，实现业务线上化、数据可视化、监管实时化，推动安全管理模式从 “被动处置” 向 “主动防控” 转型。</w:t>
      </w:r>
    </w:p>
    <w:p w14:paraId="0CBC01D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平台严格遵循 “先基础框架、后智能赋能” 的建设思路，分两期实施：一期完成平台底座搭建、三大系统硬对接、基础安全业务线上化，满足日常合规管理需求；二期全面叠加 AI 智能能力、视频存储、智能分析、热力地图、自动研判等高阶功能，最终建成 “可看、可控、可管、可预警” 的一体化智慧安全管理平台，全面提升企业安全管理效能。</w:t>
      </w:r>
    </w:p>
    <w:p w14:paraId="6ABCE73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3"/>
        <w:rPr>
          <w:rFonts w:hint="eastAsia" w:asciiTheme="minorEastAsia" w:hAnsiTheme="minorEastAsia" w:eastAsiaTheme="minorEastAsia" w:cstheme="minorEastAsia"/>
          <w:b w:val="0"/>
          <w:bCs w:val="0"/>
          <w:kern w:val="2"/>
          <w:sz w:val="21"/>
          <w:szCs w:val="21"/>
          <w:lang w:val="en-US" w:eastAsia="zh-CN" w:bidi="ar-SA"/>
        </w:rPr>
      </w:pPr>
      <w:bookmarkStart w:id="26" w:name="_Toc8868"/>
      <w:r>
        <w:rPr>
          <w:rFonts w:hint="eastAsia" w:asciiTheme="minorEastAsia" w:hAnsiTheme="minorEastAsia" w:eastAsiaTheme="minorEastAsia" w:cstheme="minorEastAsia"/>
          <w:b w:val="0"/>
          <w:bCs w:val="0"/>
          <w:kern w:val="2"/>
          <w:sz w:val="21"/>
          <w:szCs w:val="21"/>
          <w:lang w:val="en-US" w:eastAsia="zh-CN" w:bidi="ar-SA"/>
        </w:rPr>
        <w:t>1.2 一期建设目标</w:t>
      </w:r>
      <w:bookmarkEnd w:id="26"/>
    </w:p>
    <w:p w14:paraId="224A3AFC">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搭建统一、稳定、可扩展的平台底座，完成组织架构、用户账号、角色权限、流程引擎、消息推送、操作日志等基础支撑能力建设，保障系统正常运行。实现四大核心板块（视频监控整合、站控工艺参数集中展示、物业消防系统整合、综合安全管理）的基础建设，确保各板块功能适配一期需求，数据互通。</w:t>
      </w:r>
    </w:p>
    <w:p w14:paraId="6903306E">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视频监控支持不限路数接入，平台具备同时调看 / 上墙 10 路视频画面的能力，一期暂不建设视频存储、录像回放功能，聚焦基础监控需求。</w:t>
      </w:r>
    </w:p>
    <w:p w14:paraId="7071C9D3">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完成综合安全管理板块全部基础子模块建设，实现安全组织与责任制、目标管理、会议管理、培训教育、检查隐患等基础业务从纸质办公向线上流程化、电子化转型。</w:t>
      </w:r>
    </w:p>
    <w:p w14:paraId="336C28E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建立统一的数据入口与台账中心，实现四大板块数据的集中管理、查询统计，通过基础可视化看板和东莞地图点位展示，满足日常安全管理、合规检查、基础汇报需求。</w:t>
      </w:r>
    </w:p>
    <w:p w14:paraId="4AC3704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预留二期 AI 智能、智能分析、热力图、存储扩容等全部扩展接口，确保二期建设无需重构底层架构，保障建设的连续性。</w:t>
      </w:r>
    </w:p>
    <w:p w14:paraId="4995984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3"/>
        <w:rPr>
          <w:rFonts w:hint="eastAsia" w:asciiTheme="minorEastAsia" w:hAnsiTheme="minorEastAsia" w:eastAsiaTheme="minorEastAsia" w:cstheme="minorEastAsia"/>
          <w:b w:val="0"/>
          <w:bCs w:val="0"/>
          <w:kern w:val="2"/>
          <w:sz w:val="21"/>
          <w:szCs w:val="21"/>
          <w:lang w:val="en-US" w:eastAsia="zh-CN" w:bidi="ar-SA"/>
        </w:rPr>
      </w:pPr>
      <w:bookmarkStart w:id="27" w:name="_Toc4112"/>
      <w:r>
        <w:rPr>
          <w:rFonts w:hint="eastAsia" w:asciiTheme="minorEastAsia" w:hAnsiTheme="minorEastAsia" w:eastAsiaTheme="minorEastAsia" w:cstheme="minorEastAsia"/>
          <w:b w:val="0"/>
          <w:bCs w:val="0"/>
          <w:kern w:val="2"/>
          <w:sz w:val="21"/>
          <w:szCs w:val="21"/>
          <w:lang w:val="en-US" w:eastAsia="zh-CN" w:bidi="ar-SA"/>
        </w:rPr>
        <w:t>1.3 一期建设范围</w:t>
      </w:r>
      <w:bookmarkEnd w:id="27"/>
    </w:p>
    <w:p w14:paraId="44A44C6D">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4"/>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1.3.1 板块覆盖范围</w:t>
      </w:r>
    </w:p>
    <w:p w14:paraId="21E98FD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平台一期覆盖四大核心板块，具体如下：</w:t>
      </w:r>
    </w:p>
    <w:p w14:paraId="71437A9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平台基础支撑模块（全板块通用）：组织架构管理、用户权限管理、流程管理、消息管理、日志管理、系统配置管理、文件管理，为四大板块提供统一支撑。</w:t>
      </w:r>
    </w:p>
    <w:p w14:paraId="250B0A7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视频监控整合板块：实现视频设备统一接入、实时预览、云台控制、视频联动等基础功能，不包含视频存储和 AI 分析。</w:t>
      </w:r>
    </w:p>
    <w:p w14:paraId="0B1C821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站控工艺参数集中展示板块：实现加油站、加气站等场站工艺参数实时采集、集中展示、报警管理，单向读取数据不控制设备。</w:t>
      </w:r>
    </w:p>
    <w:p w14:paraId="345BB85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物业消防系统整合板块：实现消防设备状态监控、报警管理、视频联动、消防档案基础管理，满足消防合规管控需求。</w:t>
      </w:r>
    </w:p>
    <w:p w14:paraId="01AAAFD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综合安全管理板块：包含安全组织与责任制、安全目标、安全会议、安全培训、安全检查与隐患排查、入户安检、风险分级管控等 14 个子模块，覆盖企业日常安全管理全业务。</w:t>
      </w:r>
    </w:p>
    <w:p w14:paraId="2B8490F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数据可视化与点位展示：基础数据可视化看板、东莞地图基础点位展示，实现四大板块核心数据汇总展示和点位关联。</w:t>
      </w:r>
    </w:p>
    <w:p w14:paraId="721D4E1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4"/>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1.3.2 终端覆盖范围</w:t>
      </w:r>
    </w:p>
    <w:p w14:paraId="6A6C1B3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PC 管理端：支持浏览器访问，主要用于管理人员进行系统配置、业务审批、数据统计、报表导出等操作，提供完整的管理功能。</w:t>
      </w:r>
    </w:p>
    <w:p w14:paraId="7A28BEE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移动端 APP：支持手机端安装使用，主要用于一线巡检人员、作业人员、安检人员进行现场操作，包括隐患上报、检查记录、报警接收、作业审批等，适配移动办公场景。</w:t>
      </w:r>
    </w:p>
    <w:p w14:paraId="34F1FE5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智慧大屏端：用于指挥中心集中展示，实时呈现四大板块核心数据、视频监控画面、工艺参数、消防状态、报警信息等，支持多画面分割、重点区域突出展示。</w:t>
      </w:r>
    </w:p>
    <w:p w14:paraId="53F7B2A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4"/>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1.3.3 用户覆盖范围</w:t>
      </w:r>
    </w:p>
    <w:p w14:paraId="3A87ACC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企业高层管理者：查看安全管理总体情况、关键指标、风险预警，进行决策部署。</w:t>
      </w:r>
    </w:p>
    <w:p w14:paraId="234869B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安全管理部门全员：负责系统配置、业务统筹、隐患督办、培训组织、合规检查等工作，统筹管理四大板块业务。</w:t>
      </w:r>
    </w:p>
    <w:p w14:paraId="5D84026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各业务部门负责人：管理本部门相关安全业务，查看本部门隐患、培训、作业等相关数据，落实安全责任。</w:t>
      </w:r>
    </w:p>
    <w:p w14:paraId="0233707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一线巡检、作业、安检人员：开展现场巡检、隐患上报、作业操作、入户安检等现场工作，主要操作综合安全管理板块相关子模块。</w:t>
      </w:r>
    </w:p>
    <w:p w14:paraId="7DAE75F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维保、应急、值班人员：负责设备维保、应急处置、值班值守，接收报警信息并及时处置，对接视频监控、消防、工艺参数三大板块。</w:t>
      </w:r>
    </w:p>
    <w:p w14:paraId="62FC056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相关方（供应商、承包商）管理人员：管理相关方资质、作业许可、安全培训等相关业务，操作综合安全管理板块相关子模块。</w:t>
      </w:r>
    </w:p>
    <w:p w14:paraId="58BF684E">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3"/>
        <w:rPr>
          <w:rFonts w:hint="eastAsia" w:asciiTheme="minorEastAsia" w:hAnsiTheme="minorEastAsia" w:eastAsiaTheme="minorEastAsia" w:cstheme="minorEastAsia"/>
          <w:b w:val="0"/>
          <w:bCs w:val="0"/>
          <w:kern w:val="2"/>
          <w:sz w:val="21"/>
          <w:szCs w:val="21"/>
          <w:lang w:val="en-US" w:eastAsia="zh-CN" w:bidi="ar-SA"/>
        </w:rPr>
      </w:pPr>
      <w:bookmarkStart w:id="28" w:name="_Toc31655"/>
      <w:r>
        <w:rPr>
          <w:rFonts w:hint="eastAsia" w:asciiTheme="minorEastAsia" w:hAnsiTheme="minorEastAsia" w:eastAsiaTheme="minorEastAsia" w:cstheme="minorEastAsia"/>
          <w:b w:val="0"/>
          <w:bCs w:val="0"/>
          <w:kern w:val="2"/>
          <w:sz w:val="21"/>
          <w:szCs w:val="21"/>
          <w:lang w:val="en-US" w:eastAsia="zh-CN" w:bidi="ar-SA"/>
        </w:rPr>
        <w:t>1.4 建设原则</w:t>
      </w:r>
      <w:bookmarkEnd w:id="28"/>
    </w:p>
    <w:p w14:paraId="6A0864C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刚需优先，聚焦核心：一期聚焦必须用、必须通、必须合规的核心功能，不建设非必要的高阶功能，确保资源集中投入四大板块核心需求。</w:t>
      </w:r>
    </w:p>
    <w:p w14:paraId="02840B9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板块清晰，数据互通：明确四大核心板块划分，确保各板块边界清晰、功能独立，同时实现板块间数据互通，避免数据孤岛。</w:t>
      </w:r>
    </w:p>
    <w:p w14:paraId="2E4F5AE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架构统一，一次建成：平台底座、技术架构、数据标准、权限体系一期全部定型，二期仅在现有架构上进行功能叠加和升级，不推翻重做，降低后续建设成本和技术风险。</w:t>
      </w:r>
    </w:p>
    <w:p w14:paraId="0E7C739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先能用，再智能：一期以 “能用、好用、合规” 为核心，重点实现流程化、线上化、台账化，满足日常安全管理需求；二期再实现 “智能、自动、预判”，提升管理效率和防控能力。</w:t>
      </w:r>
    </w:p>
    <w:p w14:paraId="64A8DD7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极简稳定，易维护：系统界面简洁、操作简单，适配一线人员的操作水平，降低培训成本；系统架构稳定可靠，故障发生率低，便于运维人员进行日常维护和问题排查。</w:t>
      </w:r>
    </w:p>
    <w:p w14:paraId="4549F5E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安全合规，可追溯：系统全程实现操作留痕、数据加密、权限隔离，确保安全管理数据的真实性、完整性和安全性，满足安全生产合规检查、审计的相关要求。</w:t>
      </w:r>
    </w:p>
    <w:p w14:paraId="6068DE1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3"/>
        <w:rPr>
          <w:rFonts w:hint="eastAsia" w:asciiTheme="minorEastAsia" w:hAnsiTheme="minorEastAsia" w:eastAsiaTheme="minorEastAsia" w:cstheme="minorEastAsia"/>
          <w:b w:val="0"/>
          <w:bCs w:val="0"/>
          <w:kern w:val="2"/>
          <w:sz w:val="21"/>
          <w:szCs w:val="21"/>
          <w:lang w:val="en-US" w:eastAsia="zh-CN" w:bidi="ar-SA"/>
        </w:rPr>
      </w:pPr>
      <w:bookmarkStart w:id="29" w:name="_Toc13438"/>
      <w:r>
        <w:rPr>
          <w:rFonts w:hint="eastAsia" w:asciiTheme="minorEastAsia" w:hAnsiTheme="minorEastAsia" w:eastAsiaTheme="minorEastAsia" w:cstheme="minorEastAsia"/>
          <w:b w:val="0"/>
          <w:bCs w:val="0"/>
          <w:kern w:val="2"/>
          <w:sz w:val="21"/>
          <w:szCs w:val="21"/>
          <w:lang w:val="en-US" w:eastAsia="zh-CN" w:bidi="ar-SA"/>
        </w:rPr>
        <w:t>1.5 一期建设策略</w:t>
      </w:r>
      <w:bookmarkEnd w:id="29"/>
    </w:p>
    <w:p w14:paraId="457D73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核心定位：搭建系统基础框架，明确四大核心板块架构，打通三大硬件系统，实现综合安全管理业务线上化，满足日常合规管理需求，为二期智能升级奠定坚实基础。</w:t>
      </w:r>
    </w:p>
    <w:p w14:paraId="4D32BAD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核心内容：</w:t>
      </w:r>
    </w:p>
    <w:p w14:paraId="11B85C1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平台底座建设：完成组织、用户、权限、流程、消息、日志、配置等基础支撑模块的开发部署，为四大板块提供统一支撑，确保系统正常运行。</w:t>
      </w:r>
    </w:p>
    <w:p w14:paraId="7ED9FD8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三大硬件板块建设：完成视频监控、站控工艺参数、物业消防系统的基础对接，实现实时监控和基础联动，确保硬件数据互通。</w:t>
      </w:r>
    </w:p>
    <w:p w14:paraId="7E7234B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综合安全管理板块建设：完成 14 个子模块的开发，实现基础安全业务线上化，覆盖日常安全管理全流程，确保流程闭环、台账可追溯。</w:t>
      </w:r>
    </w:p>
    <w:p w14:paraId="7CFB3A3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数据可视化建设：搭建基础数据看板、东莞地图基础点位展示，实现四大板块核心数据汇总展示和点位关联，便于管理人员快速掌握全局安全状态。</w:t>
      </w:r>
    </w:p>
    <w:p w14:paraId="40F9AAC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二期规划：AI 智能相关功能、视频存储和录像回放功能、热力图、大数据分析功能等高阶智能功能，将在二期建设中逐步落地，一期预留相关扩展接口。</w:t>
      </w:r>
    </w:p>
    <w:p w14:paraId="200FD51F">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2"/>
        <w:rPr>
          <w:rFonts w:hint="eastAsia" w:asciiTheme="minorEastAsia" w:hAnsiTheme="minorEastAsia" w:eastAsiaTheme="minorEastAsia" w:cstheme="minorEastAsia"/>
          <w:b w:val="0"/>
          <w:bCs w:val="0"/>
          <w:kern w:val="2"/>
          <w:sz w:val="21"/>
          <w:szCs w:val="21"/>
          <w:lang w:val="en-US" w:eastAsia="zh-CN" w:bidi="ar-SA"/>
        </w:rPr>
      </w:pPr>
      <w:bookmarkStart w:id="30" w:name="_Toc4937"/>
      <w:bookmarkStart w:id="31" w:name="_Toc4502"/>
      <w:r>
        <w:rPr>
          <w:rFonts w:hint="eastAsia" w:asciiTheme="minorEastAsia" w:hAnsiTheme="minorEastAsia" w:eastAsiaTheme="minorEastAsia" w:cstheme="minorEastAsia"/>
          <w:b w:val="0"/>
          <w:bCs w:val="0"/>
          <w:kern w:val="2"/>
          <w:sz w:val="21"/>
          <w:szCs w:val="21"/>
          <w:lang w:val="en-US" w:eastAsia="zh-CN" w:bidi="ar-SA"/>
        </w:rPr>
        <w:t>2 一期总体架构设计</w:t>
      </w:r>
      <w:bookmarkEnd w:id="30"/>
      <w:bookmarkEnd w:id="31"/>
    </w:p>
    <w:p w14:paraId="2E217BA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3"/>
        <w:rPr>
          <w:rFonts w:hint="eastAsia" w:asciiTheme="minorEastAsia" w:hAnsiTheme="minorEastAsia" w:eastAsiaTheme="minorEastAsia" w:cstheme="minorEastAsia"/>
          <w:b w:val="0"/>
          <w:bCs w:val="0"/>
          <w:kern w:val="2"/>
          <w:sz w:val="21"/>
          <w:szCs w:val="21"/>
          <w:lang w:val="en-US" w:eastAsia="zh-CN" w:bidi="ar-SA"/>
        </w:rPr>
      </w:pPr>
      <w:bookmarkStart w:id="32" w:name="_Toc13351"/>
      <w:r>
        <w:rPr>
          <w:rFonts w:hint="eastAsia" w:asciiTheme="minorEastAsia" w:hAnsiTheme="minorEastAsia" w:eastAsiaTheme="minorEastAsia" w:cstheme="minorEastAsia"/>
          <w:b w:val="0"/>
          <w:bCs w:val="0"/>
          <w:kern w:val="2"/>
          <w:sz w:val="21"/>
          <w:szCs w:val="21"/>
          <w:lang w:val="en-US" w:eastAsia="zh-CN" w:bidi="ar-SA"/>
        </w:rPr>
        <w:t>2.1 设计思路</w:t>
      </w:r>
      <w:bookmarkEnd w:id="32"/>
    </w:p>
    <w:p w14:paraId="67CD406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平台采用微服务架构设计，遵循 “高内聚、低耦合、易扩展、易维护” 的核心原则，整体分为五层架构（基础设施层、数据资源层、平台底座层、业务应用层、展示交互层），其中业务应用层严格对应四大核心板块，确保系统的灵活性、可扩展性和稳定性。</w:t>
      </w:r>
    </w:p>
    <w:p w14:paraId="1076B42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一期建设完成全架构的部署，仅暂不开发 AI 算法、视频存储、智能分析、热力渲染等高阶模块，不改变架构整体结构；二期建设直接在现有架构上进行功能扩展和升级，无需重构底层架构，保障系统的连续性和建设的延续性。</w:t>
      </w:r>
    </w:p>
    <w:p w14:paraId="1C988AA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架构设计充分考虑企业多业务板块的差异化需求，实现四大板块的灵活配置和数据的互联互通，同时严格遵循安全生产相关法规要求，确保系统的安全合规性和数据的安全性。</w:t>
      </w:r>
    </w:p>
    <w:p w14:paraId="69C937E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3"/>
        <w:rPr>
          <w:rFonts w:hint="eastAsia" w:asciiTheme="minorEastAsia" w:hAnsiTheme="minorEastAsia" w:eastAsiaTheme="minorEastAsia" w:cstheme="minorEastAsia"/>
          <w:b w:val="0"/>
          <w:bCs w:val="0"/>
          <w:kern w:val="2"/>
          <w:sz w:val="21"/>
          <w:szCs w:val="21"/>
          <w:lang w:val="en-US" w:eastAsia="zh-CN" w:bidi="ar-SA"/>
        </w:rPr>
      </w:pPr>
      <w:bookmarkStart w:id="33" w:name="_Toc27862"/>
      <w:r>
        <w:rPr>
          <w:rFonts w:hint="eastAsia" w:asciiTheme="minorEastAsia" w:hAnsiTheme="minorEastAsia" w:eastAsiaTheme="minorEastAsia" w:cstheme="minorEastAsia"/>
          <w:b w:val="0"/>
          <w:bCs w:val="0"/>
          <w:kern w:val="2"/>
          <w:sz w:val="21"/>
          <w:szCs w:val="21"/>
          <w:lang w:val="en-US" w:eastAsia="zh-CN" w:bidi="ar-SA"/>
        </w:rPr>
        <w:t>2.2 技术架构</w:t>
      </w:r>
      <w:bookmarkEnd w:id="33"/>
    </w:p>
    <w:p w14:paraId="263DE4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highlight w:val="none"/>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技术架</w:t>
      </w:r>
      <w:r>
        <w:rPr>
          <w:rFonts w:hint="eastAsia" w:asciiTheme="minorEastAsia" w:hAnsiTheme="minorEastAsia" w:eastAsiaTheme="minorEastAsia" w:cstheme="minorEastAsia"/>
          <w:b w:val="0"/>
          <w:bCs w:val="0"/>
          <w:kern w:val="2"/>
          <w:sz w:val="21"/>
          <w:szCs w:val="21"/>
          <w:highlight w:val="none"/>
          <w:lang w:val="en-US" w:eastAsia="zh-CN" w:bidi="ar-SA"/>
        </w:rPr>
        <w:t>构分为五层，从下至上以此为基础设施层、数据资源层、平台底座层、业务应用层、展示交互层，各层相互支撑、协同工作，构成完整的系统技术体系。</w:t>
      </w:r>
    </w:p>
    <w:p w14:paraId="596A461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4"/>
        <w:rPr>
          <w:rFonts w:hint="eastAsia" w:asciiTheme="minorEastAsia" w:hAnsiTheme="minorEastAsia" w:eastAsiaTheme="minorEastAsia" w:cstheme="minorEastAsia"/>
          <w:b w:val="0"/>
          <w:bCs w:val="0"/>
          <w:kern w:val="2"/>
          <w:sz w:val="21"/>
          <w:szCs w:val="21"/>
          <w:highlight w:val="none"/>
          <w:lang w:val="en-US" w:eastAsia="zh-CN" w:bidi="ar-SA"/>
        </w:rPr>
      </w:pPr>
      <w:r>
        <w:rPr>
          <w:rFonts w:hint="eastAsia" w:asciiTheme="minorEastAsia" w:hAnsiTheme="minorEastAsia" w:eastAsiaTheme="minorEastAsia" w:cstheme="minorEastAsia"/>
          <w:b w:val="0"/>
          <w:bCs w:val="0"/>
          <w:kern w:val="2"/>
          <w:sz w:val="21"/>
          <w:szCs w:val="21"/>
          <w:highlight w:val="none"/>
          <w:lang w:val="en-US" w:eastAsia="zh-CN" w:bidi="ar-SA"/>
        </w:rPr>
        <w:t>2.2.1 基础设施层</w:t>
      </w:r>
    </w:p>
    <w:p w14:paraId="3D39139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基础设施层是系统运行的基础支撑，主要包括云服务器、操作系统、数据库、中间件、网络设备、安全组件等，一期按最小够用原则配置，支持二期平滑扩容。</w:t>
      </w:r>
    </w:p>
    <w:p w14:paraId="0343426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服务器：云服务器。</w:t>
      </w:r>
    </w:p>
    <w:p w14:paraId="54A2B44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操作系统：采用稳定、安全的服务器操作系统，支持多终端接入和多任务处理，确保系统 24 小时稳定运行。</w:t>
      </w:r>
    </w:p>
    <w:p w14:paraId="5CD28C2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数据库：采用关系型数据库，用于存储业务数据、设备数据、用户数据等，支持数据的快速查询、统计和备份，确保数据的完整性和可靠性。</w:t>
      </w:r>
    </w:p>
    <w:p w14:paraId="00F7A8E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中间件：包括消息中间件、缓存中间件等，用于实现系统各模块之间的通信、数据缓存，提升系统响应速度和并发处理能力。</w:t>
      </w:r>
    </w:p>
    <w:p w14:paraId="5F5193F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网络设备：包括交换机、路由器、防火墙等，构建安全、稳定的网络环境，实现设备接入、数据传输和终端访问，确保网络的安全性和流畅性。</w:t>
      </w:r>
    </w:p>
    <w:p w14:paraId="7162AE6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安全组件：包括数据加密、防火墙、入侵检测等，用于保障系统数据和网络的安全，防止数据泄露、篡改和网络攻击。</w:t>
      </w:r>
    </w:p>
    <w:p w14:paraId="4BF2671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0" w:leftChars="0" w:right="0" w:rightChars="0" w:firstLine="420" w:firstLineChars="200"/>
        <w:jc w:val="left"/>
        <w:textAlignment w:val="auto"/>
        <w:outlineLvl w:val="4"/>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2.2.2 数据资源层</w:t>
      </w:r>
    </w:p>
    <w:p w14:paraId="2B8BEAB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数据资源层是系统的数据中心，负责各类数据的集中存储、管理和处理，统一数据标准，为上层四大板块提供数据支撑，同时预留二期扩展数据接口。</w:t>
      </w:r>
    </w:p>
    <w:p w14:paraId="675B0B0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基础数据：包括组织架构、人员信息、岗位信息、职责信息、权限信息、系统配置、数据字典等，是系统运行的基础数据，支撑全板块运行。</w:t>
      </w:r>
    </w:p>
    <w:p w14:paraId="7B955F9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业务数据：主要来自综合安全管理板块，包括安全培训、安全检查、隐患排查、危险作业、设备设施、应急管理、事故处理、安全投入等安全管理相关业务数据。</w:t>
      </w:r>
    </w:p>
    <w:p w14:paraId="4DE651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设备采集数据：主要来自三大硬件板块，包括视频实时流数据、工艺参数数据（压力、液位、流量等）、消防设备状态数据、报警信息数据等，来自三大硬件系统的实时采集。</w:t>
      </w:r>
    </w:p>
    <w:p w14:paraId="3C0108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数据处理：对采集的各类数据进行清洗、标准化、脱敏处理，构建统一的数据仓库，确保数据的准确性和一致性，支持数据的查询、统计和分析，实现四大板块数据互通。</w:t>
      </w:r>
    </w:p>
    <w:p w14:paraId="0AC7F2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2.2.3 平台底座层</w:t>
      </w:r>
    </w:p>
    <w:p w14:paraId="73180A5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平台底座层是系统的核心支撑层，一期 100% 完成建设，为上层四大板块提供统一的基础能力，确保各板块的协同工作和数据互通。</w:t>
      </w:r>
    </w:p>
    <w:p w14:paraId="545F7B5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统一认证：实现用户的统一登录、身份验证，支持多终端统一认证，确保用户身份的安全性和合法性。</w:t>
      </w:r>
    </w:p>
    <w:p w14:paraId="63006E6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组织用户管理：实现组织架构、用户账号、岗位信息的统一管理，支持用户的新增、修改、删除、禁用等操作。</w:t>
      </w:r>
    </w:p>
    <w:p w14:paraId="160619E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角色权限管理：实现角色的自定义和权限的分级分配，支持菜单权限、数据权限、操作权限的精细化管控，确保数据的安全访问，适配四大板块权限需求。</w:t>
      </w:r>
    </w:p>
    <w:p w14:paraId="407D558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流程引擎：提供自定义审批流程的能力，支持流程节点、审批人、条件跳转的配置，实现各类业务流程的线上化审批，主要支撑综合安全管理板块业务。</w:t>
      </w:r>
    </w:p>
    <w:p w14:paraId="40719A7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消息中心：实现系统消息、APP 消息、短信消息的推送和管理，支持报警消息、审批消息、整改消息等各类消息的实时推送和记录，覆盖四大板块消息需求。</w:t>
      </w:r>
    </w:p>
    <w:p w14:paraId="03746AC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操作日志：记录用户的所有操作行为，包括登录、操作内容、操作时间、IP 地址等，确保操作行为可追溯、可审计，覆盖四大板块操作记录。</w:t>
      </w:r>
    </w:p>
    <w:p w14:paraId="33D2E64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数据备份：实现系统数据的定期备份和恢复，支持手动备份和自动备份，确保数据的安全性和可恢复性。</w:t>
      </w:r>
    </w:p>
    <w:p w14:paraId="45F46D7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接口网关：提供统一的接口管理和调用能力，实现系统内部各模块之间、系统与外部设备之间的接口对接，确保数据的互联互通，支撑三大硬件板块设备对接。</w:t>
      </w:r>
    </w:p>
    <w:p w14:paraId="6A07764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配置中心：实现系统基础参数、业务规则、报警阈值、打印模板等的统一配置和管理，提升系统的灵活性和可维护性，适配四大板块参数配置需求。</w:t>
      </w:r>
    </w:p>
    <w:p w14:paraId="245A87A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4"/>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2.2.4 业务应用层</w:t>
      </w:r>
    </w:p>
    <w:p w14:paraId="7412873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业务应用层是系统的核心业务承载层，严格对应四大核心板块，一期完成各板块基础功能建设，为用户提供完整的基础安全管理功能。</w:t>
      </w:r>
    </w:p>
    <w:p w14:paraId="69B9A24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平台基础支撑模块（全板块通用）：包括组织架构管理、用户与账号管理、角色与权限管理、流程引擎管理、消息推送管理、操作日志与审计、系统配置管理、文件管理，为四大板块提供统一支撑。</w:t>
      </w:r>
    </w:p>
    <w:p w14:paraId="0131425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第一板块：视频监控整合板块：支持不限路数视频接入，同时调看 10 路视频，实现实时预览等基础功能，不包含存储和 AI 分析。</w:t>
      </w:r>
    </w:p>
    <w:p w14:paraId="2A8B0E2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第二板块：站控工艺参数集中展示板块：实现加油站、加气站等场站工艺参数的实时采集、展示、报警管理，支持历史数据查询和多终端展示，单向读取数据不控制设备。</w:t>
      </w:r>
    </w:p>
    <w:p w14:paraId="74F8F87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第三板块：物业消防系统整合板块：实现消防设备状态实时监控、报警管理、联动视频查看，支持消防档案基础管理，满足消防合规管控需求。</w:t>
      </w:r>
    </w:p>
    <w:p w14:paraId="2B4A0B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第四板块：综合安全管理板块：包含 14 个子模块，分别为安全组织与责任制管理、安全目标管理、安全会议管理、安全培训教育管理、安全检查与隐患排查治理、入户安检管理、风险分级管控、危险作业许可管理、相关方安全管理、安全设备设施管理、职业健康管理、应急管理与救援、事故管理、安全投入管理，覆盖企业日常安全管理全业务。</w:t>
      </w:r>
    </w:p>
    <w:p w14:paraId="4ED21C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数据可视化与点位展示：基础数据可视化看板（汇总四大板块核心数据）、东莞地图基础点位展示（关联四大板块相关点位）。</w:t>
      </w:r>
    </w:p>
    <w:p w14:paraId="66452433">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4"/>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2.2.5 展示交互层</w:t>
      </w:r>
    </w:p>
    <w:p w14:paraId="3525D0D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展示交互层是系统与用户的交互界面，实现四大板块各类业务功能的展示和用户操作，支持 PC 端、移动端 APP、智慧大屏端多终端展示，确保用户操作的便捷性和体验感。</w:t>
      </w:r>
    </w:p>
    <w:p w14:paraId="6843B80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PC 管理端：提供完整的系统管理和业务操作功能，界面简洁、布局合理，支持数据统计、报表导出、系统配置等操作，适配管理人员的办公需求，可全面操作四大板块功能。</w:t>
      </w:r>
    </w:p>
    <w:p w14:paraId="13DB54A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移动端 APP：采用简洁的操作界面，支持隐患上报、检查记录、报警接收、作业审批等现场操作，适配一线人员的移动办公需求，主要聚焦综合安全管理板块和三大硬件板块的现场操作功能，支持离线操作和数据同步。</w:t>
      </w:r>
    </w:p>
    <w:p w14:paraId="314A810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智慧大屏端：采用可视化图表和多画面分割展示，实时呈现四大板块核心数据、视频监控画面、工艺参数、消防状态、报警信息、隐患分布等核心数据，便于管理人员实时监控全局安全状态。</w:t>
      </w:r>
    </w:p>
    <w:p w14:paraId="036F396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3"/>
        <w:rPr>
          <w:rFonts w:hint="eastAsia" w:asciiTheme="minorEastAsia" w:hAnsiTheme="minorEastAsia" w:eastAsiaTheme="minorEastAsia" w:cstheme="minorEastAsia"/>
          <w:b w:val="0"/>
          <w:bCs w:val="0"/>
          <w:kern w:val="2"/>
          <w:sz w:val="21"/>
          <w:szCs w:val="21"/>
          <w:lang w:val="en-US" w:eastAsia="zh-CN" w:bidi="ar-SA"/>
        </w:rPr>
      </w:pPr>
      <w:bookmarkStart w:id="34" w:name="_Toc14296"/>
      <w:r>
        <w:rPr>
          <w:rFonts w:hint="eastAsia" w:asciiTheme="minorEastAsia" w:hAnsiTheme="minorEastAsia" w:eastAsiaTheme="minorEastAsia" w:cstheme="minorEastAsia"/>
          <w:b w:val="0"/>
          <w:bCs w:val="0"/>
          <w:kern w:val="2"/>
          <w:sz w:val="21"/>
          <w:szCs w:val="21"/>
          <w:lang w:val="en-US" w:eastAsia="zh-CN" w:bidi="ar-SA"/>
        </w:rPr>
        <w:t>2.3 功能架构</w:t>
      </w:r>
      <w:bookmarkEnd w:id="34"/>
    </w:p>
    <w:p w14:paraId="2F8A8B2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一期功能架构聚焦基础框架和四大核心板块，确保系统 “能用、好用、合规”，板块边界清晰、数据互通，为二期智能升级预留扩展接口，具体功能架构如下：</w:t>
      </w:r>
    </w:p>
    <w:p w14:paraId="1B88394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平台支撑功能（全板块通用）：包括组织架构管理、用户与账号管理、角色与权限管理、流程引擎管理、消息推送管理、操作日志与审计、系统配置管理、文件管理，为四大板块提供统一支撑。</w:t>
      </w:r>
    </w:p>
    <w:p w14:paraId="7A3380E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第一板块：视频监控整合板块：支持不限路数视频接入，同时调看 10 路视频，实现实时预览、云台控制、视频联动、权限管理、设备状态监控等基础功能，不包含存储和 AI 分析，预留二期扩展接口。</w:t>
      </w:r>
    </w:p>
    <w:p w14:paraId="6C27C71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第二板块：站控工艺参数集中展示板块：实现工艺参数实时采集、集中展示、参数配置、历史数据查询、报警管理、数据联动、设备状态监控等基础功能，单向读取数据不控制设备，预留二期 AI 研判接口。</w:t>
      </w:r>
    </w:p>
    <w:p w14:paraId="6F340E0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第三板块：物业消防系统整合板块：实现消防设备接入、设备管理、状态监控、报警管理、报警联动、报警处置、消防档案管理、维保提醒等基础功能，不具备消防设备控制功能，预留二期 AI 预警接口。</w:t>
      </w:r>
    </w:p>
    <w:p w14:paraId="40D9E62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第四板块：综合安全管理板块：包含 14 个子模块，各子模块功能聚焦基础业务线上化，实现流程闭环、台账可追溯，满足日常合规管理需求，预留二期智能升级接口。</w:t>
      </w:r>
    </w:p>
    <w:p w14:paraId="473B6D5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数据可视化与点位展示：基础数据可视化看板（汇总四大板块核心指标、统计数据）、东莞地图基础点位展示（标注场站、设备、隐患等相关点位）。</w:t>
      </w:r>
    </w:p>
    <w:p w14:paraId="1C4D7AB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扩展接口预留：为二期 AI 智能、视频存储、热力图、大数据分析等功能预留接口，确保二期建设无需重构架构，直接进行功能叠加。</w:t>
      </w:r>
    </w:p>
    <w:p w14:paraId="7BFD199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3"/>
        <w:rPr>
          <w:rFonts w:hint="eastAsia" w:asciiTheme="minorEastAsia" w:hAnsiTheme="minorEastAsia" w:eastAsiaTheme="minorEastAsia" w:cstheme="minorEastAsia"/>
          <w:b w:val="0"/>
          <w:bCs w:val="0"/>
          <w:kern w:val="2"/>
          <w:sz w:val="21"/>
          <w:szCs w:val="21"/>
          <w:lang w:val="en-US" w:eastAsia="zh-CN" w:bidi="ar-SA"/>
        </w:rPr>
      </w:pPr>
      <w:bookmarkStart w:id="35" w:name="_Toc13584"/>
      <w:r>
        <w:rPr>
          <w:rFonts w:hint="eastAsia" w:asciiTheme="minorEastAsia" w:hAnsiTheme="minorEastAsia" w:eastAsiaTheme="minorEastAsia" w:cstheme="minorEastAsia"/>
          <w:b w:val="0"/>
          <w:bCs w:val="0"/>
          <w:kern w:val="2"/>
          <w:sz w:val="21"/>
          <w:szCs w:val="21"/>
          <w:lang w:val="en-US" w:eastAsia="zh-CN" w:bidi="ar-SA"/>
        </w:rPr>
        <w:t>2.4 数据架构</w:t>
      </w:r>
      <w:bookmarkEnd w:id="35"/>
    </w:p>
    <w:p w14:paraId="12D4D7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数据架构围绕 “统一标准、集中管理、按需扩展” 的原则，构建完整的数据体系，确保四大板块数据的准确性、一致性和安全性，同时支持二期数据扩展，为智能功能提供数据支撑。</w:t>
      </w:r>
    </w:p>
    <w:p w14:paraId="0FE8E83B">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4"/>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2.4.1 数据分类</w:t>
      </w:r>
    </w:p>
    <w:p w14:paraId="42C3AED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基础数据：主要包括组织数据（部门、岗位）、用户数据（账号、身份信息）、权限数据（角色、权限分配）、配置数据（系统参数、业务规则）、字典数据（基础编码、分类标准），是系统运行的基础，支撑全板块运行，一期全部完成采集和管理。</w:t>
      </w:r>
    </w:p>
    <w:p w14:paraId="1B8E21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业务数据：主要来自综合安全管理板块，包括培训记录、检查记录、隐患信息、作业许可、设备台账、应急演练记录、事故报告、安全投入明细等，一期实现线上化采集、存储和管理，二期实现智能分析和利用。</w:t>
      </w:r>
    </w:p>
    <w:p w14:paraId="4F50F32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设备采集数据：主要来自三大硬件板块，包括视频实时流数据、工艺参数数据（压力、液位、流量、温度等）、消防设备状态数据（火警、故障、运行状态等）、报警信息数据，一期实现实时采集和基础展示，二期实现智能分析和预警。</w:t>
      </w:r>
    </w:p>
    <w:p w14:paraId="21D2A7C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4"/>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2.4.2 数据处理流程</w:t>
      </w:r>
    </w:p>
    <w:p w14:paraId="1A9BA24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数据采集：通过接口对接（三大硬件板块）、手动录入（综合安全管理板块）、设备自动采集等方式，收集各类数据，确保数据的实时性和完整性。</w:t>
      </w:r>
    </w:p>
    <w:p w14:paraId="5B54A9E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数据清洗：对采集到的数据进行去重、纠错、补全处理，去除无效数据和异常数据，确保数据的准确性。</w:t>
      </w:r>
    </w:p>
    <w:p w14:paraId="420491F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数据标准化：按照统一的数据标准，对各类数据进行标准化处理，确保四大板块、不同模块、不同设备的数据格式一致，实现数据互通。</w:t>
      </w:r>
    </w:p>
    <w:p w14:paraId="3D98B95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数据存储：将处理后的各类数据存储到对应数据库中，实现数据的集中管理，一期按基础需求配置存储容量，二期扩展存储容量。</w:t>
      </w:r>
    </w:p>
    <w:p w14:paraId="2FA1A47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数据查询与统计：提供灵活的数据查询和统计功能，支持按时间、区域、部门、类型等多维度查询统计，为四大板块业务管理和决策提供数据支撑。</w:t>
      </w:r>
    </w:p>
    <w:p w14:paraId="05DC313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数据备份与恢复：定期对数据进行备份，支持手动备份和自动备份，确保数据的安全性，出现数据丢失时可快速恢复。</w:t>
      </w:r>
    </w:p>
    <w:p w14:paraId="048C6EA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4"/>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2.4.3 数据安全</w:t>
      </w:r>
    </w:p>
    <w:p w14:paraId="6562ACE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数据加密：对敏感数据进行加密存储和传输，防止数据泄露和篡改，确保数据的安全性。</w:t>
      </w:r>
    </w:p>
    <w:p w14:paraId="2185A0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数据脱敏：对涉及个人隐私、企业机密的数据进行脱敏处理，避免敏感信息泄露。</w:t>
      </w:r>
    </w:p>
    <w:p w14:paraId="34827E1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操作留痕：所有数据的新增、修改、删除操作均记录日志，确保数据操作可追溯、可审计，覆盖四大板块数据操作。</w:t>
      </w:r>
    </w:p>
    <w:p w14:paraId="373ED5A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权限控制：按角色分配数据访问权限，不同角色仅能访问权限范围内的数据，防止数据越权访问，适配四大板块数据权限需求。</w:t>
      </w:r>
    </w:p>
    <w:p w14:paraId="2A75F8A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3"/>
        <w:rPr>
          <w:rFonts w:hint="eastAsia" w:asciiTheme="minorEastAsia" w:hAnsiTheme="minorEastAsia" w:eastAsiaTheme="minorEastAsia" w:cstheme="minorEastAsia"/>
          <w:b w:val="0"/>
          <w:bCs w:val="0"/>
          <w:kern w:val="2"/>
          <w:sz w:val="21"/>
          <w:szCs w:val="21"/>
          <w:lang w:val="en-US" w:eastAsia="zh-CN" w:bidi="ar-SA"/>
        </w:rPr>
      </w:pPr>
      <w:bookmarkStart w:id="36" w:name="_Toc10847"/>
      <w:r>
        <w:rPr>
          <w:rFonts w:hint="eastAsia" w:asciiTheme="minorEastAsia" w:hAnsiTheme="minorEastAsia" w:eastAsiaTheme="minorEastAsia" w:cstheme="minorEastAsia"/>
          <w:b w:val="0"/>
          <w:bCs w:val="0"/>
          <w:kern w:val="2"/>
          <w:sz w:val="21"/>
          <w:szCs w:val="21"/>
          <w:lang w:val="en-US" w:eastAsia="zh-CN" w:bidi="ar-SA"/>
        </w:rPr>
        <w:t>2.5 接口架构</w:t>
      </w:r>
      <w:bookmarkEnd w:id="36"/>
    </w:p>
    <w:p w14:paraId="39132A1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接口架构遵循 “统一标准、灵活扩展、安全可靠” 的原则，构建完整的接口体系，实现系统内部各模块之间、系统与外部设备之间、系统与终端之间的互联互通，同时预留二期扩展接口，支撑四大板块协同运行。</w:t>
      </w:r>
    </w:p>
    <w:p w14:paraId="1D99AEF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4"/>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2.5.1 接口分类</w:t>
      </w:r>
    </w:p>
    <w:p w14:paraId="4E5F162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视频对接接口（支撑视频监控整合板块）：主要用于对接视频监控设备，支持 GB/T 28181、RTSP、ONVIF 等主流安防协议，实现视频实时流的采集、预览、云台控制等功能，一期完成基础接口对接，二期扩展 AI 分析接口。</w:t>
      </w:r>
    </w:p>
    <w:p w14:paraId="496CC12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工艺参数接口（支撑站控工艺参数集中展示板块）：主要用于对接站控系统、PLC、传感器等设备，支持 Modbus RTU/TCP、OPC UA、MQTT 等工业协议，实现工艺参数的实时采集、报警推送等功能，一期完成基础接口对接，二期扩展 AI 研判接口。</w:t>
      </w:r>
    </w:p>
    <w:p w14:paraId="2BCBDCD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消防系统接口（支撑物业消防系统整合板块）：主要用于对接消防主机、探测器、消防设备等，支持 Modbus RTU/TCP、BACnet IP/MSTP、OPC UA 等协议，实现消防设备状态的实时采集、报警推送等功能，一期完成基础接口对接，二期扩展 AI 预警接口</w:t>
      </w:r>
    </w:p>
    <w:p w14:paraId="5BCCD0B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内部系统接口（支撑四大板块协同）：主要用于系统内部各模块之间的通信，包括用户权限接口、流程接口、消息接口、数据查询接口等，实现四大板块之间的数据互通和协同工作。</w:t>
      </w:r>
    </w:p>
    <w:p w14:paraId="4148D62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终端对接接口（支撑全板块终端访问）：主要用于对接 PC 端、移动端 APP、智慧大屏端，实现终端与系统之间的数据交互和操作指令传递，支持多终端同步。</w:t>
      </w:r>
    </w:p>
    <w:p w14:paraId="3F558D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二期扩展接口：主要包括 AI 算法接口、视频存储接口、热力图接口、第三方系统接口等，为二期智能功能和扩展应用提供接口支撑，覆盖四大板块的升级需求。</w:t>
      </w:r>
    </w:p>
    <w:p w14:paraId="27847B6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4"/>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2.5.2 接口规范</w:t>
      </w:r>
    </w:p>
    <w:p w14:paraId="7054C9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接口协议：采用 HTTP/HTTPS、TCP/IP 等主流协议，确保接口的通用性和兼容性。</w:t>
      </w:r>
    </w:p>
    <w:p w14:paraId="6C1F2AD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数据格式：采用 JSON 格式进行数据传输，确保数据格式统一、易于解析。</w:t>
      </w:r>
    </w:p>
    <w:p w14:paraId="0091538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接口命名：采用统一的命名规范，清晰标识接口的功能和用途，便于接口管理和调用，按四大板块分类命名。</w:t>
      </w:r>
    </w:p>
    <w:p w14:paraId="2417619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接口权限：对所有接口进行权限控制，只有授权的用户和设备才能调用接口，确保接口的安全性。</w:t>
      </w:r>
    </w:p>
    <w:p w14:paraId="09BF1A4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接口监控：对接口的调用情况进行实时监控，记录接口调用日志、响应时间、错误信息等，便于接口维护和问题排查，覆盖四大板块相关接口。</w:t>
      </w:r>
    </w:p>
    <w:p w14:paraId="3184226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3"/>
        <w:rPr>
          <w:rFonts w:hint="eastAsia" w:asciiTheme="minorEastAsia" w:hAnsiTheme="minorEastAsia" w:eastAsiaTheme="minorEastAsia" w:cstheme="minorEastAsia"/>
          <w:b w:val="0"/>
          <w:bCs w:val="0"/>
          <w:kern w:val="2"/>
          <w:sz w:val="21"/>
          <w:szCs w:val="21"/>
          <w:lang w:val="en-US" w:eastAsia="zh-CN" w:bidi="ar-SA"/>
        </w:rPr>
      </w:pPr>
      <w:bookmarkStart w:id="37" w:name="_Toc11393"/>
      <w:r>
        <w:rPr>
          <w:rFonts w:hint="eastAsia" w:asciiTheme="minorEastAsia" w:hAnsiTheme="minorEastAsia" w:eastAsiaTheme="minorEastAsia" w:cstheme="minorEastAsia"/>
          <w:b w:val="0"/>
          <w:bCs w:val="0"/>
          <w:kern w:val="2"/>
          <w:sz w:val="21"/>
          <w:szCs w:val="21"/>
          <w:lang w:val="en-US" w:eastAsia="zh-CN" w:bidi="ar-SA"/>
        </w:rPr>
        <w:t>2.6 部署架构</w:t>
      </w:r>
      <w:bookmarkEnd w:id="37"/>
    </w:p>
    <w:p w14:paraId="0D475CB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部署架构遵循 “最小化部署、平滑扩容、安全隔离” 的原则，一期采用最小化部署方案，聚焦四大板块核心需求；二期支持平滑扩容，满足智能功能和业务扩展需求，同时实现网络隔离，保障系统和生产安全。</w:t>
      </w:r>
    </w:p>
    <w:p w14:paraId="42892DF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4"/>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2.6.1 一期部署架构</w:t>
      </w:r>
    </w:p>
    <w:p w14:paraId="4CA5A9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服务器部署：云服务器。</w:t>
      </w:r>
    </w:p>
    <w:p w14:paraId="6890237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存储部署：云服务器部署，配置基础存储容量，仅存储业务数据和少量设备采集数据，不存储视频录像，聚焦基础存储需求，支撑四大板块数据存储。</w:t>
      </w:r>
    </w:p>
    <w:p w14:paraId="784F9F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网络部署：采用防火墙进行网络隔离，防止外部网络攻击；三大硬件板块采集网络与综合安全管理板块业务网络实现逻辑隔离，保障生产安全。</w:t>
      </w:r>
    </w:p>
    <w:p w14:paraId="7FBD201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终端部署：PC 端通过浏览器访问系统，移动端 APP 通过局域网或互联网接入系统，智慧大屏端部署在指挥中心，通过局域网接入系统，实现四大板块功能的多终端访问。</w:t>
      </w:r>
    </w:p>
    <w:p w14:paraId="28C2F45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4"/>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2.6.2 部署约束</w:t>
      </w:r>
    </w:p>
    <w:p w14:paraId="04F8B5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系统支持本地部署，确保企业数据的安全性和可控性，不采用云端部署模式，适配四大板块数据安全需求。</w:t>
      </w:r>
    </w:p>
    <w:p w14:paraId="3802E3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视频采集、工艺参数采集、消防设备采集与业务管理网络实现逻辑隔离，防止设备采集网络影响业务管理网络，保障生产系统的安全。</w:t>
      </w:r>
    </w:p>
    <w:p w14:paraId="3A7229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9"/>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部署方案需考虑系统的可维护性，便于运维人员进行日常维护、故障排查和系统升级，支撑四大板块长期稳定运行。</w:t>
      </w:r>
    </w:p>
    <w:p w14:paraId="356407AE">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outlineLvl w:val="2"/>
        <w:rPr>
          <w:rFonts w:hint="eastAsia" w:asciiTheme="minorEastAsia" w:hAnsiTheme="minorEastAsia" w:eastAsiaTheme="minorEastAsia" w:cstheme="minorEastAsia"/>
          <w:b w:val="0"/>
          <w:bCs w:val="0"/>
          <w:kern w:val="2"/>
          <w:sz w:val="21"/>
          <w:szCs w:val="21"/>
          <w:lang w:val="en-US" w:eastAsia="zh-CN" w:bidi="ar-SA"/>
        </w:rPr>
      </w:pPr>
      <w:bookmarkStart w:id="38" w:name="_Toc17693"/>
      <w:bookmarkStart w:id="39" w:name="_Toc26247"/>
      <w:r>
        <w:rPr>
          <w:rFonts w:hint="eastAsia" w:asciiTheme="minorEastAsia" w:hAnsiTheme="minorEastAsia" w:eastAsiaTheme="minorEastAsia" w:cstheme="minorEastAsia"/>
          <w:b w:val="0"/>
          <w:bCs w:val="0"/>
          <w:kern w:val="2"/>
          <w:sz w:val="21"/>
          <w:szCs w:val="21"/>
          <w:lang w:val="en-US" w:eastAsia="zh-CN" w:bidi="ar-SA"/>
        </w:rPr>
        <w:t>3 一期详细需求</w:t>
      </w:r>
      <w:bookmarkEnd w:id="38"/>
      <w:bookmarkEnd w:id="39"/>
    </w:p>
    <w:p w14:paraId="1EDAD43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kern w:val="2"/>
          <w:sz w:val="21"/>
          <w:szCs w:val="21"/>
          <w:lang w:val="en-US" w:eastAsia="zh-CN" w:bidi="ar-SA"/>
        </w:rPr>
      </w:pPr>
      <w:bookmarkStart w:id="40" w:name="_Toc3764"/>
      <w:r>
        <w:rPr>
          <w:rFonts w:hint="eastAsia" w:asciiTheme="minorEastAsia" w:hAnsiTheme="minorEastAsia" w:eastAsiaTheme="minorEastAsia" w:cstheme="minorEastAsia"/>
          <w:b/>
          <w:bCs/>
          <w:kern w:val="2"/>
          <w:sz w:val="21"/>
          <w:szCs w:val="21"/>
          <w:lang w:val="en-US" w:eastAsia="zh-CN" w:bidi="ar-SA"/>
        </w:rPr>
        <w:t>3.1 平台基础支撑模块（全板块通用）</w:t>
      </w:r>
      <w:bookmarkEnd w:id="40"/>
    </w:p>
    <w:p w14:paraId="6608145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平台基础支撑模块是系统运行的核心基础，一期 100% 完成建设，为四大核心板块所有业务模块和硬件整合模块提供统一的支撑能力，确保系统的正常运行和各板块的协同工作，所有功能适配四大板块的通用需求。</w:t>
      </w:r>
    </w:p>
    <w:p w14:paraId="360C1A5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kern w:val="2"/>
          <w:sz w:val="21"/>
          <w:szCs w:val="21"/>
          <w:lang w:val="en-US" w:eastAsia="zh-CN" w:bidi="ar-SA"/>
        </w:rPr>
      </w:pPr>
      <w:r>
        <w:rPr>
          <w:rFonts w:hint="eastAsia" w:asciiTheme="minorEastAsia" w:hAnsiTheme="minorEastAsia" w:eastAsiaTheme="minorEastAsia" w:cstheme="minorEastAsia"/>
          <w:b/>
          <w:bCs/>
          <w:kern w:val="2"/>
          <w:sz w:val="21"/>
          <w:szCs w:val="21"/>
          <w:lang w:val="en-US" w:eastAsia="zh-CN" w:bidi="ar-SA"/>
        </w:rPr>
        <w:t>3.1.1 组织架构管理</w:t>
      </w:r>
    </w:p>
    <w:p w14:paraId="41FBE61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【目的】实现企业组织架构的线上化管理，明确各部门、各岗位的层级关系，为四大板块权限分配、业务管理提供基础支撑，确保各板块业务按组织层级有序推进。</w:t>
      </w:r>
    </w:p>
    <w:p w14:paraId="3B0D7EA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【功能点】</w:t>
      </w:r>
    </w:p>
    <w:p w14:paraId="50E6B1D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组织架构创建与维护：支持多级组织架构（最多 10 级）的创建、编辑、删除、查询操作，可根据企业实际业务板块（燃气、加油站、物业、施工等）进行分类管理，适配四大板块业务覆盖范围。</w:t>
      </w:r>
    </w:p>
    <w:p w14:paraId="170E734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部门管理：支持部门的新增、修改、删除、查询，可设置部门负责人、部门职责、部门类型等信息，支持部门状态管理（启用、停用），可关联四大板块相关业务权限。</w:t>
      </w:r>
    </w:p>
    <w:p w14:paraId="41244E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岗位管理：支持岗位的新增、修改、删除、查询，可设置岗位名称、岗位职责、所属部门、岗位级别等信息，支持岗位与人员的关联，适配四大板块不同岗位的权限需求。</w:t>
      </w:r>
    </w:p>
    <w:p w14:paraId="0ED4CD4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人员管理：支持人员信息的新增、修改、删除、查询，可录入人员姓名、性别、手机号、身份证号、所属部门、岗位、入职时间等信息，支持人员状态管理（在职、离职、停用），关联四大板块用户操作权限。</w:t>
      </w:r>
    </w:p>
    <w:p w14:paraId="01AC54F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组织架构展示：支持树状图、层级列表两种展示形式，可直观查看组织层级、部门、岗位、人员的隶属关系，支持人员快速定位（通过姓名、部门、岗位关键词检索），方便四大板块管理人员快速查找相关人员。</w:t>
      </w:r>
    </w:p>
    <w:p w14:paraId="2A654AB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批量操作：支持组织、部门、岗位、人员信息的批量导入 / 导出（Excel 格式），提升管理效率，减少人工录入成本，适配企业人员规模较大的管理需求。</w:t>
      </w:r>
    </w:p>
    <w:p w14:paraId="12B21C6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权限关联：支持组织架构与角色权限的关联，可按部门、岗位分配权限，确保权限分配的合理性和精准性，支撑四大板块的权限管控。</w:t>
      </w:r>
    </w:p>
    <w:p w14:paraId="122F512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【操作流程】</w:t>
      </w:r>
    </w:p>
    <w:p w14:paraId="5CBE9D7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超级管理员创建企业一级组织，再依次创建下级部门、岗位，关联四大板块相关业务权限。</w:t>
      </w:r>
    </w:p>
    <w:p w14:paraId="54E16E8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管理员录入人员信息，关联所属部门和岗位，设置人员状态，分配对应板块的操作权限。</w:t>
      </w:r>
    </w:p>
    <w:p w14:paraId="7717170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可根据企业业务调整，编辑、删除组织、部门、岗位、人员信息，同步调整相关权限分配。</w:t>
      </w:r>
    </w:p>
    <w:p w14:paraId="792274A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管理人员通过树状图或列表查看组织架构，通过关键词检索人员信息，协调四大板块相关业务。</w:t>
      </w:r>
    </w:p>
    <w:p w14:paraId="2C59759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【权限】超级管理员、分级管理员可进行组织架构的创建、编辑、删除操作；普通用户仅可查看权限范围内的组织架构和人员信息。</w:t>
      </w:r>
    </w:p>
    <w:p w14:paraId="704E7D3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【日志】记录组织架构、部门、岗位、人员的新增、修改、删除操作，包括操作人、操作时间、操作内容、操作结果，可追溯、可审计，支撑四大板块合规管理需求。</w:t>
      </w:r>
    </w:p>
    <w:p w14:paraId="6E03F63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kern w:val="2"/>
          <w:sz w:val="21"/>
          <w:szCs w:val="21"/>
          <w:lang w:val="en-US" w:eastAsia="zh-CN" w:bidi="ar-SA"/>
        </w:rPr>
      </w:pPr>
      <w:r>
        <w:rPr>
          <w:rFonts w:hint="eastAsia" w:asciiTheme="minorEastAsia" w:hAnsiTheme="minorEastAsia" w:eastAsiaTheme="minorEastAsia" w:cstheme="minorEastAsia"/>
          <w:b/>
          <w:bCs/>
          <w:kern w:val="2"/>
          <w:sz w:val="21"/>
          <w:szCs w:val="21"/>
          <w:lang w:val="en-US" w:eastAsia="zh-CN" w:bidi="ar-SA"/>
        </w:rPr>
        <w:t>3.1.2 用户与账号管理</w:t>
      </w:r>
    </w:p>
    <w:p w14:paraId="63E3F20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【目的】实现用户账号的统一管理，确保用户身份的合法性和安全性，规范用户登录和操作行为，为四大板块用户访问提供统一入口，保障系统和数据安全。</w:t>
      </w:r>
    </w:p>
    <w:p w14:paraId="2A4E2F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【功能点】</w:t>
      </w:r>
    </w:p>
    <w:p w14:paraId="70933F0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账号创建：支持用户账号的新增，一人一号，绑定手机号、身份证号、所属部门、岗位等信息，设置初始密码，支持批量创建账号，适配四大板块不同岗位用户的账号需求。</w:t>
      </w:r>
    </w:p>
    <w:p w14:paraId="00FB8FE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账号维护：支持用户账号信息的修改（姓名、手机号、所属部门等），密码重置（管理员重置和用户自行重置），账号启用 / 禁用操作，同步关联四大板块的账号访问权限。</w:t>
      </w:r>
    </w:p>
    <w:p w14:paraId="2CBEA93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登录管理：支持账号密码登录，可设置登录密码复杂度（长度、字符类型），支持登录失败次数限制（超过次数锁定账号），支持登录 IP 限制（可选），保障四大板块用户账号安全。</w:t>
      </w:r>
    </w:p>
    <w:p w14:paraId="6F568E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账号查询：支持按账号、姓名、部门、岗位、账号状态等关键词查询用户账号信息，可导出账号列表（Excel 格式），方便管理员统筹管理四大板块用户账号。</w:t>
      </w:r>
    </w:p>
    <w:p w14:paraId="620FC0C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离职处理：用户离职后，管理员可禁用其账号，保留账号信息和操作日志，防止账号被盗用，保障四大板块数据安全。</w:t>
      </w:r>
    </w:p>
    <w:p w14:paraId="64A711C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【操作流程】</w:t>
      </w:r>
    </w:p>
    <w:p w14:paraId="39C1B2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管理员根据组织架构和人员信息，创建用户账号，设置初始密码并通知用户，分配对应板块的访问权限。</w:t>
      </w:r>
    </w:p>
    <w:p w14:paraId="0B0BC07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用户首次登录后，强制修改初始密码，设置符合要求的登录密码，方可访问对应板块功能。</w:t>
      </w:r>
    </w:p>
    <w:p w14:paraId="39924D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管理员可根据用户岗位变动、离职等情况，修改账号信息或禁用账号，同步调整四大板块的访问权限。</w:t>
      </w:r>
    </w:p>
    <w:p w14:paraId="63B137A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用户忘记密码时，可通过手机号找回或联系管理员重置密码，确保正常访问对应板块功能。</w:t>
      </w:r>
    </w:p>
    <w:p w14:paraId="5C2CC35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【权限】超级管理员、分级管理员可进行账号的创建、修改、禁用、密码重置操作；普通用户仅可修改自身账号信息和密码。</w:t>
      </w:r>
    </w:p>
    <w:p w14:paraId="7DFF931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【日志】记录账号的创建、修改、禁用、密码重置、登录、登出等操作，包括操作人、操作时间、IP 地址、操作内容，确保操作可追溯，支撑四大板块安全审计需求。</w:t>
      </w:r>
    </w:p>
    <w:p w14:paraId="56EE12D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kern w:val="2"/>
          <w:sz w:val="21"/>
          <w:szCs w:val="21"/>
          <w:lang w:val="en-US" w:eastAsia="zh-CN" w:bidi="ar-SA"/>
        </w:rPr>
      </w:pPr>
      <w:r>
        <w:rPr>
          <w:rFonts w:hint="eastAsia" w:asciiTheme="minorEastAsia" w:hAnsiTheme="minorEastAsia" w:eastAsiaTheme="minorEastAsia" w:cstheme="minorEastAsia"/>
          <w:b/>
          <w:bCs/>
          <w:kern w:val="2"/>
          <w:sz w:val="21"/>
          <w:szCs w:val="21"/>
          <w:lang w:val="en-US" w:eastAsia="zh-CN" w:bidi="ar-SA"/>
        </w:rPr>
        <w:t>3.1.3 角色与权限管理</w:t>
      </w:r>
    </w:p>
    <w:p w14:paraId="639E4FD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【目的】实现权限的精细化管控，按角色分配权限，确保不同岗位的用户仅能访问和操作权限范围内的四大板块功能和数据，保障系统和数据安全，适配各板块业务需求。</w:t>
      </w:r>
    </w:p>
    <w:p w14:paraId="0E81275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【功能点】</w:t>
      </w:r>
    </w:p>
    <w:p w14:paraId="6B2ECCC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角色创建与维护：支持自定义角色，可设置角色名称、角色描述、所属部门等信息，支持角色的新增、修改、删除、查询操作，可按四大板块分类创建角色（如视频监控管理员、工艺参数管理员、安全培训管理员等）。</w:t>
      </w:r>
    </w:p>
    <w:p w14:paraId="6E6135B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权限分配：支持按角色分配权限，包括菜单权限（可访问的四大板块系统菜单）、数据权限（可访问的数据范围，如部门、区域、业务板块）、操作权限（可执行的操作，如新增、修改、删除、查询），实现权限的精细化管控。</w:t>
      </w:r>
    </w:p>
    <w:p w14:paraId="4B0E0EA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3.权限分级：采用超级管理员→分级管理员→普通用户的层级权限管理模式，超级管理员拥有四大板块全部权限，分级管理员拥有指定部门或对应板块的管理权限，普通用户拥有基础操作权限。</w:t>
      </w:r>
    </w:p>
    <w:p w14:paraId="34CF701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4.角色关联：支持角色与用户的关联，一个用户可关联多个角色，权限叠加；一个角色可关联多个用户，实现批量权限分配，适配四大板块不同岗位的权限需求。</w:t>
      </w:r>
    </w:p>
    <w:p w14:paraId="60D151D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5.权限查询与修改：支持查询各角色的权限分配情况，可根据岗位变动调整角色权限，权限修改后实时生效，确保四大板块权限分配与业务需求同步。</w:t>
      </w:r>
    </w:p>
    <w:p w14:paraId="2E63ACF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6.权限隔离：实现不同部门、不同业务板块的数据隔离，用户仅能查看和操作权限范围内的数据，防止数据越权访问，保障四大板块数据安全。</w:t>
      </w:r>
    </w:p>
    <w:p w14:paraId="2592B20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【操作流程】</w:t>
      </w:r>
    </w:p>
    <w:p w14:paraId="6495AED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1.超级管理员创建四大板块相关角色，根据岗位职责设置角色权限（菜单、数据、操作权限），明确各角色对应的板块操作范围。</w:t>
      </w:r>
    </w:p>
    <w:p w14:paraId="2B1AF48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2.管理员将用户与对应角色关联，实现权限的批量分配，确保用户仅能访问对应板块的权限范围内功能。</w:t>
      </w:r>
    </w:p>
    <w:p w14:paraId="21751A2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3.当岗位职责变动时，管理员修改对应角色的权限，或调整用户关联的角色，同步更新四大板块的权限分配。</w:t>
      </w:r>
    </w:p>
    <w:p w14:paraId="2FC6746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4.管理员可查询各角色的权限分配情况和用户的权限关联情况，进行权限审计，确保四大板块权限分配合规。</w:t>
      </w:r>
    </w:p>
    <w:p w14:paraId="41DEDFB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【权限】超级管理员可创建、修改、删除所有角色，分配所有权限；分级管理员可创建、修改、删除本部门相关角色，分配本部门范围内的权限；普通用户无角色和权限管理权限。</w:t>
      </w:r>
    </w:p>
    <w:p w14:paraId="0D21B9C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【日志】记录角色的创建、修改、删除，权限的分配、调整，角色与用户的关联、解除关联等操作，包括操作人、操作时间、操作内容，可追溯、可审计，支撑四大板块合规管理。</w:t>
      </w:r>
    </w:p>
    <w:p w14:paraId="10E3C35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kern w:val="2"/>
          <w:sz w:val="21"/>
          <w:szCs w:val="21"/>
          <w:lang w:val="en-US" w:eastAsia="zh-CN" w:bidi="ar-SA"/>
        </w:rPr>
      </w:pPr>
      <w:r>
        <w:rPr>
          <w:rFonts w:hint="eastAsia" w:asciiTheme="minorEastAsia" w:hAnsiTheme="minorEastAsia" w:eastAsiaTheme="minorEastAsia" w:cstheme="minorEastAsia"/>
          <w:b/>
          <w:bCs/>
          <w:kern w:val="2"/>
          <w:sz w:val="21"/>
          <w:szCs w:val="21"/>
          <w:lang w:val="en-US" w:eastAsia="zh-CN" w:bidi="ar-SA"/>
        </w:rPr>
        <w:t>3.1.4 流程引擎管理</w:t>
      </w:r>
    </w:p>
    <w:p w14:paraId="7608C85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【目的】实现四大板块各类安全管理业务流程的线上化审批，规范流程节点，提升审批效率，确保流程可追溯、可管控，重点支撑综合安全管理板块业务流程，同时适配其他板块相关审批需求。</w:t>
      </w:r>
    </w:p>
    <w:p w14:paraId="6E07710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【功能点】</w:t>
      </w:r>
    </w:p>
    <w:p w14:paraId="7314672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流程自定义：支持自定义各类审批流程，包括综合安全管理板块的安全检查、隐患整改、危险作业许可、培训申请、安全投入申请等，同时支持其他板块相关审批流程（如设备接入审批、权限申请等），可根据业务需求配置流程名称、流程描述、流程类型。</w:t>
      </w:r>
    </w:p>
    <w:p w14:paraId="0119AF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节点配置：支持流程节点的新增、修改、删除、排序，可设置每个节点的名称、审批人、审批时限、操作权限（审批、退回、转办），适配四大板块不同业务流程的节点需求。</w:t>
      </w:r>
    </w:p>
    <w:p w14:paraId="2AAE5AB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条件跳转配置：支持根据审批内容、审批结果设置条件跳转，如隐患等级为重大时，增加高级管理人员审批节点；审批通过则进入下一节点，审批退回则返回上一节点，适配综合安全管理板块复杂流程需求。</w:t>
      </w:r>
    </w:p>
    <w:p w14:paraId="3FF4F7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审批操作：支持审批人进行审批通过、退回、转办、催办操作，可填写审批意见，上传审批附件，覆盖四大板块所有审批场景。</w:t>
      </w:r>
    </w:p>
    <w:p w14:paraId="005BBB7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超时提醒：支持设置审批超时时间，超时后自动推送提醒消息给审批人，确保审批流程高效推进，避免流程延误。</w:t>
      </w:r>
    </w:p>
    <w:p w14:paraId="18B3B5B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流程监控：支持管理人员实时查看各流程的进度、当前节点、审批人、审批时间，可干预异常流程（如强制流转、指定审批人），统筹管理四大板块审批流程。</w:t>
      </w:r>
    </w:p>
    <w:p w14:paraId="2DA8617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历史记录：留存所有审批流程的历史记录，包括审批人、审批时间、审批意见、流程状态，可查询、可追溯，支撑四大板块合规审计需求。</w:t>
      </w:r>
    </w:p>
    <w:p w14:paraId="6ABE1B8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【操作流程】</w:t>
      </w:r>
    </w:p>
    <w:p w14:paraId="2C8FB77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管理员创建审批流程，配置流程节点和审批人。</w:t>
      </w:r>
    </w:p>
    <w:p w14:paraId="624CB51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用户发起流程申请，流程自动流转至第一节点审批人。</w:t>
      </w:r>
    </w:p>
    <w:p w14:paraId="50F68F2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审批人进行审批操作（通过 / 退回 / 转办），流程流转至下一节点。</w:t>
      </w:r>
    </w:p>
    <w:p w14:paraId="4F6E93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流程结束后，系统自动归档历史记录，生成审批台账。</w:t>
      </w:r>
    </w:p>
    <w:p w14:paraId="42F743F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管理员可查询、监控、干预流程，确保流程按时完成。</w:t>
      </w:r>
    </w:p>
    <w:p w14:paraId="5645C99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【权限】超级管理员、流程管理员可配置、管理所有流程；业务部门负责人可管理本部门相关流程；普通用户可发起、查看流程。</w:t>
      </w:r>
    </w:p>
    <w:p w14:paraId="66FD15E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【日志】记录流程创建、修改、审批操作、流转记录，包括操作人、时间、意见，可追溯、可审计。</w:t>
      </w:r>
    </w:p>
    <w:p w14:paraId="7C42CDF4">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kern w:val="2"/>
          <w:sz w:val="21"/>
          <w:szCs w:val="21"/>
          <w:lang w:val="en-US" w:eastAsia="zh-CN" w:bidi="ar-SA"/>
        </w:rPr>
      </w:pPr>
      <w:r>
        <w:rPr>
          <w:rFonts w:hint="eastAsia" w:asciiTheme="minorEastAsia" w:hAnsiTheme="minorEastAsia" w:eastAsiaTheme="minorEastAsia" w:cstheme="minorEastAsia"/>
          <w:b/>
          <w:bCs/>
          <w:kern w:val="2"/>
          <w:sz w:val="21"/>
          <w:szCs w:val="21"/>
          <w:lang w:val="en-US" w:eastAsia="zh-CN" w:bidi="ar-SA"/>
        </w:rPr>
        <w:t>3.1.5 消息推送管理</w:t>
      </w:r>
    </w:p>
    <w:p w14:paraId="2655546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【目的】建立统一消息中心，实现四大板块各类消息实时推送，确保用户及时接收审批提醒、报警信息、整改通知等关键信息。</w:t>
      </w:r>
    </w:p>
    <w:p w14:paraId="79E3292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【功能点】</w:t>
      </w:r>
    </w:p>
    <w:p w14:paraId="440C68D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消息类型：系统消息、审批消息、报警消息、整改消息、培训通知、会议通知等。</w:t>
      </w:r>
    </w:p>
    <w:p w14:paraId="5E779E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推送渠道：PC 端消息中心、移动端 APP 推送、短信推送（可选）、邮件推送（可选）。</w:t>
      </w:r>
    </w:p>
    <w:p w14:paraId="546AAE9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消息模板：支持自定义消息模板，可配置变量（如姓名、时间、事项），适配四大板块业务场景。</w:t>
      </w:r>
    </w:p>
    <w:p w14:paraId="356FE7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消息管理：支持消息查看、已读 / 未读标记、消息删除、历史记录查询。</w:t>
      </w:r>
    </w:p>
    <w:p w14:paraId="2B4AA3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定时推送：支持定时消息发送（如会议提醒、到期提醒）</w:t>
      </w:r>
    </w:p>
    <w:p w14:paraId="599FAE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消息统计：统计消息发送数量、接收数量、阅读率，评估消息触达效果。</w:t>
      </w:r>
    </w:p>
    <w:p w14:paraId="43CFE61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【操作流程】</w:t>
      </w:r>
    </w:p>
    <w:p w14:paraId="1107A26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管理员配置消息模板和推送规则。</w:t>
      </w:r>
    </w:p>
    <w:p w14:paraId="1AB7533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系统自动触发消息推送（如审批完成、报警发生、隐患整改到期）。</w:t>
      </w:r>
    </w:p>
    <w:p w14:paraId="252DF75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用户接收消息并查看，进行相应操作。</w:t>
      </w:r>
    </w:p>
    <w:p w14:paraId="638973C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管理员可查询消息发送记录和阅读情况。</w:t>
      </w:r>
    </w:p>
    <w:p w14:paraId="77EDEEC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【权限】超级管理员可配置消息模板和推送规则；各角色仅能接收权限范围内的消息。</w:t>
      </w:r>
    </w:p>
    <w:p w14:paraId="79B2192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【日志】记录消息发送、接收、阅读操作，包括发送时间、接收人、消息类型，可追溯。</w:t>
      </w:r>
    </w:p>
    <w:p w14:paraId="448F5B9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kern w:val="2"/>
          <w:sz w:val="21"/>
          <w:szCs w:val="21"/>
          <w:lang w:val="en-US" w:eastAsia="zh-CN" w:bidi="ar-SA"/>
        </w:rPr>
      </w:pPr>
      <w:r>
        <w:rPr>
          <w:rFonts w:hint="eastAsia" w:asciiTheme="minorEastAsia" w:hAnsiTheme="minorEastAsia" w:eastAsiaTheme="minorEastAsia" w:cstheme="minorEastAsia"/>
          <w:b/>
          <w:bCs/>
          <w:kern w:val="2"/>
          <w:sz w:val="21"/>
          <w:szCs w:val="21"/>
          <w:lang w:val="en-US" w:eastAsia="zh-CN" w:bidi="ar-SA"/>
        </w:rPr>
        <w:t>3.1.6 操作日志与审计</w:t>
      </w:r>
    </w:p>
    <w:p w14:paraId="010C95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【目的】记录系统所有关键操作，确保四大板块业务操作可追溯、可审计，满足安全生产合规检查要求。</w:t>
      </w:r>
    </w:p>
    <w:p w14:paraId="4C3C0FA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【功能点】</w:t>
      </w:r>
    </w:p>
    <w:p w14:paraId="32D2DB7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日志记录：记录用户登录、模块访问、数据新增 / 修改 / 删除、审批操作等关键行为。</w:t>
      </w:r>
    </w:p>
    <w:p w14:paraId="694A31E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日志分类：按用户、模块、操作类型、时间范围等分类查询。日志详情：记录操作人、操作时间、IP 地址、操作内容、操作结果。</w:t>
      </w:r>
    </w:p>
    <w:p w14:paraId="6B4FC11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日志导出：支持导出 Excel 格式，便于归档和审计。</w:t>
      </w:r>
    </w:p>
    <w:p w14:paraId="0A0A9F5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异常日志：记录异常登录、异常操作、权限拒绝等异常行为。</w:t>
      </w:r>
    </w:p>
    <w:p w14:paraId="05EED85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日志归档：定期归档历史日志，保留不少于 3 年，满足合规要求。</w:t>
      </w:r>
    </w:p>
    <w:p w14:paraId="66D36F7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【操作流程】</w:t>
      </w:r>
    </w:p>
    <w:p w14:paraId="4B25FD9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系统自动记录用户操作行为。</w:t>
      </w:r>
    </w:p>
    <w:p w14:paraId="30998EC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管理员可按条件查询、筛选、导出日志。</w:t>
      </w:r>
    </w:p>
    <w:p w14:paraId="1D163A4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管理员定期检查异常日志，排查安全隐患。</w:t>
      </w:r>
    </w:p>
    <w:p w14:paraId="602654F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定期归档历史日志，确保存储合规。</w:t>
      </w:r>
    </w:p>
    <w:p w14:paraId="28E3425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【权限】超级管理员、审计员可查询、导出所有日志；其他用户仅可查询自身操作日志。</w:t>
      </w:r>
    </w:p>
    <w:p w14:paraId="615AB2A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【日志】系统记录操作日志本身的操作记录，防止日志被篡改。</w:t>
      </w:r>
    </w:p>
    <w:p w14:paraId="08BC365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kern w:val="2"/>
          <w:sz w:val="21"/>
          <w:szCs w:val="21"/>
          <w:lang w:val="en-US" w:eastAsia="zh-CN" w:bidi="ar-SA"/>
        </w:rPr>
      </w:pPr>
      <w:r>
        <w:rPr>
          <w:rFonts w:hint="eastAsia" w:asciiTheme="minorEastAsia" w:hAnsiTheme="minorEastAsia" w:eastAsiaTheme="minorEastAsia" w:cstheme="minorEastAsia"/>
          <w:b/>
          <w:bCs/>
          <w:kern w:val="2"/>
          <w:sz w:val="21"/>
          <w:szCs w:val="21"/>
          <w:lang w:val="en-US" w:eastAsia="zh-CN" w:bidi="ar-SA"/>
        </w:rPr>
        <w:t>3.1.7 系统配置管理</w:t>
      </w:r>
    </w:p>
    <w:p w14:paraId="1A3FF23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【目的】实现系统基础参数、业务规则、报警阈值的统一配置和管理，确保四大板块运行符合企业实际需求。</w:t>
      </w:r>
    </w:p>
    <w:p w14:paraId="1B53781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【功能点】</w:t>
      </w:r>
    </w:p>
    <w:p w14:paraId="7A58BFB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系统参数配置：系统名称、Logo、语言设置、时区设置、日期格式等。</w:t>
      </w:r>
    </w:p>
    <w:p w14:paraId="4F1A32F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报警阈值配置：工艺参数报警阈值、消防设备报警阈值、安全指标预警阈值等。</w:t>
      </w:r>
    </w:p>
    <w:p w14:paraId="2544BB1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打印模板配置：各类报表、通知、台账的打印模板配置。</w:t>
      </w:r>
    </w:p>
    <w:p w14:paraId="142C73B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数据字典配置：基础编码、分类标准的维护和更新。</w:t>
      </w:r>
    </w:p>
    <w:p w14:paraId="36B7DE9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接口配置：第三方系统接口参数配置、认证信息配置。</w:t>
      </w:r>
    </w:p>
    <w:p w14:paraId="410B313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备份策略配置：数据备份频率、保留时间、存储位置等。</w:t>
      </w:r>
    </w:p>
    <w:p w14:paraId="1AB07E3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【操作流程】</w:t>
      </w:r>
    </w:p>
    <w:p w14:paraId="652AD8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管理员登录系统配置管理界面。</w:t>
      </w:r>
    </w:p>
    <w:p w14:paraId="619FADF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选择配置项类型，进行参数设置或修改。</w:t>
      </w:r>
    </w:p>
    <w:p w14:paraId="41C0FD4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配置保存后实时生效（部分配置需重启生效）。</w:t>
      </w:r>
    </w:p>
    <w:p w14:paraId="4EC732B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管理员可查询配置历史记录，必要时回滚。</w:t>
      </w:r>
    </w:p>
    <w:p w14:paraId="186DACC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420" w:leftChars="200" w:right="0" w:firstLine="0" w:firstLineChars="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【权限】超级管理员可配置所有系统参数；分级管理员仅可配置本部门相关参数。【日志】记录所有配置修改操作，包括修改前值、修改后值、操作人、操作时间。</w:t>
      </w:r>
    </w:p>
    <w:p w14:paraId="10D74724">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kern w:val="2"/>
          <w:sz w:val="21"/>
          <w:szCs w:val="21"/>
          <w:lang w:val="en-US" w:eastAsia="zh-CN" w:bidi="ar-SA"/>
        </w:rPr>
      </w:pPr>
      <w:r>
        <w:rPr>
          <w:rFonts w:hint="eastAsia" w:asciiTheme="minorEastAsia" w:hAnsiTheme="minorEastAsia" w:eastAsiaTheme="minorEastAsia" w:cstheme="minorEastAsia"/>
          <w:b/>
          <w:bCs/>
          <w:kern w:val="2"/>
          <w:sz w:val="21"/>
          <w:szCs w:val="21"/>
          <w:lang w:val="en-US" w:eastAsia="zh-CN" w:bidi="ar-SA"/>
        </w:rPr>
        <w:t>3.1.8 文件管理</w:t>
      </w:r>
    </w:p>
    <w:p w14:paraId="1CFB8DD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【目的】实现四大板块各类文档的统一存储和管理，支持文件上传、下载、版本管理，确保文档可追溯、可复用。</w:t>
      </w:r>
    </w:p>
    <w:p w14:paraId="6F77244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【功能点】 文件上传：支持图片、文档（Word、Excel、PDF）、视频等格式文件上传，单文件最大不超过 500MB。</w:t>
      </w:r>
    </w:p>
    <w:p w14:paraId="71539D4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文件分类：按部门、项目、类型等维度建立文件夹分类，支持多级目录。</w:t>
      </w:r>
    </w:p>
    <w:p w14:paraId="7F51913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文件检索：支持按文件名、类型、上传人、上传时间等条件快速检索。</w:t>
      </w:r>
    </w:p>
    <w:p w14:paraId="11B8EAA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版本管理：支持文件版本记录和版本切换，保留历史版本不少于 5 个。</w:t>
      </w:r>
    </w:p>
    <w:p w14:paraId="47F137F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文件预览：支持在线预览常用格式文件，无需下载。</w:t>
      </w:r>
    </w:p>
    <w:p w14:paraId="7937D1C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文件权限：按角色设置文件访问权限（查看、下载、编辑、删除）。</w:t>
      </w:r>
    </w:p>
    <w:p w14:paraId="6BFD71C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批量操作：支持批量上传、批量下载、批量删除文件。</w:t>
      </w:r>
    </w:p>
    <w:p w14:paraId="3095DD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【操作流程】</w:t>
      </w:r>
    </w:p>
    <w:p w14:paraId="50748E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用户进入文件管理模块，选择或创建文件目录。</w:t>
      </w:r>
    </w:p>
    <w:p w14:paraId="26F686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上传文件至指定目录，可设置访问权限。</w:t>
      </w:r>
    </w:p>
    <w:p w14:paraId="603F43A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需要时使用文件检索功能快速查找。</w:t>
      </w:r>
    </w:p>
    <w:p w14:paraId="6B098D4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下载、预览、编辑文件，按权限执行操作。</w:t>
      </w:r>
    </w:p>
    <w:p w14:paraId="458645C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【权限】超级管理员拥有全部文件权限；分级管理员管理本部门文件；普通用户仅可上传、查看权限内文件。</w:t>
      </w:r>
    </w:p>
    <w:p w14:paraId="37F01E2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【日志】记录文件上传、下载、删除、版本切换等操作，包括操作人、时间、文件信息。</w:t>
      </w:r>
    </w:p>
    <w:p w14:paraId="4D7B496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kern w:val="2"/>
          <w:sz w:val="21"/>
          <w:szCs w:val="21"/>
          <w:lang w:val="en-US" w:eastAsia="zh-CN" w:bidi="ar-SA"/>
        </w:rPr>
      </w:pPr>
      <w:bookmarkStart w:id="41" w:name="_Toc26202"/>
      <w:r>
        <w:rPr>
          <w:rFonts w:hint="eastAsia" w:asciiTheme="minorEastAsia" w:hAnsiTheme="minorEastAsia" w:eastAsiaTheme="minorEastAsia" w:cstheme="minorEastAsia"/>
          <w:b/>
          <w:bCs/>
          <w:kern w:val="2"/>
          <w:sz w:val="21"/>
          <w:szCs w:val="21"/>
          <w:lang w:val="en-US" w:eastAsia="zh-CN" w:bidi="ar-SA"/>
        </w:rPr>
        <w:t>3.2 第一板块：视频监控整合板块</w:t>
      </w:r>
      <w:bookmarkEnd w:id="41"/>
    </w:p>
    <w:p w14:paraId="2E51A3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【目的】实现企业所有视频监控设备的统一接入和集成管理，支持不限路数视频接入，同时调看 10 路视频，满足实时监控需求，视频存储、AI 分析等功能将在二期建设中落地。</w:t>
      </w:r>
    </w:p>
    <w:p w14:paraId="3DA401A4">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kern w:val="2"/>
          <w:sz w:val="21"/>
          <w:szCs w:val="21"/>
          <w:lang w:val="en-US" w:eastAsia="zh-CN" w:bidi="ar-SA"/>
        </w:rPr>
      </w:pPr>
      <w:r>
        <w:rPr>
          <w:rFonts w:hint="eastAsia" w:asciiTheme="minorEastAsia" w:hAnsiTheme="minorEastAsia" w:eastAsiaTheme="minorEastAsia" w:cstheme="minorEastAsia"/>
          <w:b/>
          <w:bCs/>
          <w:kern w:val="2"/>
          <w:sz w:val="21"/>
          <w:szCs w:val="21"/>
          <w:lang w:val="en-US" w:eastAsia="zh-CN" w:bidi="ar-SA"/>
        </w:rPr>
        <w:t>3.2.1 视频设备管理</w:t>
      </w:r>
    </w:p>
    <w:p w14:paraId="499150C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【功能点】</w:t>
      </w:r>
    </w:p>
    <w:p w14:paraId="64EE6AF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设备接入：支持 GB/T 28181、RTSP、ONVIF 等主流安防协议，实现视频设备自动发现和手动添加。</w:t>
      </w:r>
    </w:p>
    <w:p w14:paraId="6B5C537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设备信息：记录设备名称、IP 地址、端口、通道号、所属区域、安装位置等信息。</w:t>
      </w:r>
    </w:p>
    <w:p w14:paraId="03A19A3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设备状态：实时监控设备在线 / 离线状态，异常设备自动告警。</w:t>
      </w:r>
    </w:p>
    <w:p w14:paraId="4B2425F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批量操作：支持批量导入设备、批量修改设备信息、批量启用 / 停用设备。</w:t>
      </w:r>
    </w:p>
    <w:p w14:paraId="3A8842B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设备分组：按区域、业务板块对设备进行分组管理，支持多级分组。【操作流程】</w:t>
      </w:r>
    </w:p>
    <w:p w14:paraId="5DAB83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管理员添加视频设备，配置接入参数。</w:t>
      </w:r>
    </w:p>
    <w:p w14:paraId="3C2A2F3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系统自动检测设备在线状态。</w:t>
      </w:r>
    </w:p>
    <w:p w14:paraId="342693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对设备进行分组管理，便于查看。</w:t>
      </w:r>
    </w:p>
    <w:p w14:paraId="1850B2E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定期巡检设备状态，处理离线设备。</w:t>
      </w:r>
    </w:p>
    <w:p w14:paraId="2C2C72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【权限】视频监控管理员可管理全部视频设备；其他人员仅可查看权限内设备。</w:t>
      </w:r>
    </w:p>
    <w:p w14:paraId="69BBDA6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kern w:val="2"/>
          <w:sz w:val="21"/>
          <w:szCs w:val="21"/>
          <w:lang w:val="en-US" w:eastAsia="zh-CN" w:bidi="ar-SA"/>
        </w:rPr>
      </w:pPr>
      <w:r>
        <w:rPr>
          <w:rFonts w:hint="eastAsia" w:asciiTheme="minorEastAsia" w:hAnsiTheme="minorEastAsia" w:eastAsiaTheme="minorEastAsia" w:cstheme="minorEastAsia"/>
          <w:b/>
          <w:bCs/>
          <w:kern w:val="2"/>
          <w:sz w:val="21"/>
          <w:szCs w:val="21"/>
          <w:lang w:val="en-US" w:eastAsia="zh-CN" w:bidi="ar-SA"/>
        </w:rPr>
        <w:t>3.2.2 实时预览</w:t>
      </w:r>
    </w:p>
    <w:p w14:paraId="2F19E25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【功能点】</w:t>
      </w:r>
    </w:p>
    <w:p w14:paraId="7F74AEA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单画面预览：支持单路视频实时预览，画面清晰可调。</w:t>
      </w:r>
    </w:p>
    <w:p w14:paraId="54757F8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多画面预览：支持最多同时调看 10 路视频，支持 4/9/16 画面分割。</w:t>
      </w:r>
    </w:p>
    <w:p w14:paraId="345EF9D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画面控制：支持画面放大、缩放、截图、录制（仅本地无存储）等功能</w:t>
      </w:r>
    </w:p>
    <w:p w14:paraId="79B5C1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轮巡预览：支持预设轮巡方案，按时间顺序自动轮巡视频画面。</w:t>
      </w:r>
    </w:p>
    <w:p w14:paraId="6A5A67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画面叠加：支持在视频画面上叠加时间、地点、设备名称等信息。</w:t>
      </w:r>
    </w:p>
    <w:p w14:paraId="0A4B1D9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【操作流程】</w:t>
      </w:r>
    </w:p>
    <w:p w14:paraId="662AB44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用户选择预览模式（单画面 / 多画面）。</w:t>
      </w:r>
    </w:p>
    <w:p w14:paraId="2DE6E19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选择要查看的视频设备。</w:t>
      </w:r>
    </w:p>
    <w:p w14:paraId="4C662F1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查看实时画面，进行截图、放大等操作。</w:t>
      </w:r>
    </w:p>
    <w:p w14:paraId="186F09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保存预览记录，便于追溯。</w:t>
      </w:r>
    </w:p>
    <w:p w14:paraId="0B75D7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【权限】所有用户可访问权限内视频设备预览；敏感区域视频需特殊权限。</w:t>
      </w:r>
    </w:p>
    <w:p w14:paraId="246B90F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kern w:val="2"/>
          <w:sz w:val="21"/>
          <w:szCs w:val="21"/>
          <w:lang w:val="en-US" w:eastAsia="zh-CN" w:bidi="ar-SA"/>
        </w:rPr>
      </w:pPr>
      <w:r>
        <w:rPr>
          <w:rFonts w:hint="eastAsia" w:asciiTheme="minorEastAsia" w:hAnsiTheme="minorEastAsia" w:eastAsiaTheme="minorEastAsia" w:cstheme="minorEastAsia"/>
          <w:b/>
          <w:bCs/>
          <w:kern w:val="2"/>
          <w:sz w:val="21"/>
          <w:szCs w:val="21"/>
          <w:lang w:val="en-US" w:eastAsia="zh-CN" w:bidi="ar-SA"/>
        </w:rPr>
        <w:t>3.2.3 云台控制</w:t>
      </w:r>
    </w:p>
    <w:p w14:paraId="1360E11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【功能点】</w:t>
      </w:r>
    </w:p>
    <w:p w14:paraId="1773B74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1.方向控制：支持云台上下、左右、变焦、聚焦等方向控制。</w:t>
      </w:r>
    </w:p>
    <w:p w14:paraId="54EAE39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2.预设位控制：支持预设位调用、复位、清空操作。</w:t>
      </w:r>
    </w:p>
    <w:p w14:paraId="69AB28E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3.快捷控制：支持快捷按钮控制常用云台动作。</w:t>
      </w:r>
    </w:p>
    <w:p w14:paraId="09F5A62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4.控制记录：记录云台操作时间、操作人、操作内容。</w:t>
      </w:r>
    </w:p>
    <w:p w14:paraId="34237C2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【操作流程】</w:t>
      </w:r>
    </w:p>
    <w:p w14:paraId="5DCC985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1.用户选择云台控制功能。</w:t>
      </w:r>
    </w:p>
    <w:p w14:paraId="5D595DA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2.点击控制按钮或拖动云台画面。</w:t>
      </w:r>
    </w:p>
    <w:p w14:paraId="1B63711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3.系统记录云台操作日志。</w:t>
      </w:r>
    </w:p>
    <w:p w14:paraId="6778BB5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4.定期审查云台操作记录。</w:t>
      </w:r>
    </w:p>
    <w:p w14:paraId="6616CAA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【权限】仅授权人员可操作云台，普通用户仅可查看。</w:t>
      </w:r>
    </w:p>
    <w:p w14:paraId="71A40F2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kern w:val="2"/>
          <w:sz w:val="21"/>
          <w:szCs w:val="21"/>
          <w:lang w:val="en-US" w:eastAsia="zh-CN" w:bidi="ar-SA"/>
        </w:rPr>
      </w:pPr>
      <w:r>
        <w:rPr>
          <w:rFonts w:hint="eastAsia" w:asciiTheme="minorEastAsia" w:hAnsiTheme="minorEastAsia" w:eastAsiaTheme="minorEastAsia" w:cstheme="minorEastAsia"/>
          <w:b/>
          <w:bCs/>
          <w:kern w:val="2"/>
          <w:sz w:val="21"/>
          <w:szCs w:val="21"/>
          <w:lang w:val="en-US" w:eastAsia="zh-CN" w:bidi="ar-SA"/>
        </w:rPr>
        <w:t>3.2.4 视频联动</w:t>
      </w:r>
    </w:p>
    <w:p w14:paraId="7CC75DD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【功能点】</w:t>
      </w:r>
    </w:p>
    <w:p w14:paraId="4E4024F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1.报警联动：视频报警发生时，自动弹窗显示对应视频画面。</w:t>
      </w:r>
    </w:p>
    <w:p w14:paraId="5AF74D5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2.报警源关联：支持工艺参数报警、消防报警等触发视频联动。</w:t>
      </w:r>
    </w:p>
    <w:p w14:paraId="10CD23F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3.联动记录：记录报警类型、联动视频、联动时间，可追溯。</w:t>
      </w:r>
    </w:p>
    <w:p w14:paraId="56A47EF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4.联动规则配置：支持自定义报警和视频联动规则。</w:t>
      </w:r>
    </w:p>
    <w:p w14:paraId="0AB194D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【操作流程】</w:t>
      </w:r>
    </w:p>
    <w:p w14:paraId="082721E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1.系统检测到报警信息。</w:t>
      </w:r>
    </w:p>
    <w:p w14:paraId="27EC77A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2.自动弹出关联视频画面。</w:t>
      </w:r>
    </w:p>
    <w:p w14:paraId="2A10852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7.管理员查看视频并处理报警。</w:t>
      </w:r>
    </w:p>
    <w:p w14:paraId="5A54B93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4.系统记录联动情况。</w:t>
      </w:r>
    </w:p>
    <w:p w14:paraId="4BBD78D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【权限】报警处理人员可查看联动视频。</w:t>
      </w:r>
    </w:p>
    <w:p w14:paraId="24E618A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kern w:val="2"/>
          <w:sz w:val="21"/>
          <w:szCs w:val="21"/>
          <w:lang w:val="en-US" w:eastAsia="zh-CN" w:bidi="ar-SA"/>
        </w:rPr>
      </w:pPr>
      <w:r>
        <w:rPr>
          <w:rFonts w:hint="eastAsia" w:asciiTheme="minorEastAsia" w:hAnsiTheme="minorEastAsia" w:eastAsiaTheme="minorEastAsia" w:cstheme="minorEastAsia"/>
          <w:b/>
          <w:bCs/>
          <w:kern w:val="2"/>
          <w:sz w:val="21"/>
          <w:szCs w:val="21"/>
          <w:lang w:val="en-US" w:eastAsia="zh-CN" w:bidi="ar-SA"/>
        </w:rPr>
        <w:t>3.2.5 视频权限管理</w:t>
      </w:r>
    </w:p>
    <w:p w14:paraId="3B56201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【功能点】</w:t>
      </w:r>
    </w:p>
    <w:p w14:paraId="05B9280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1.权限分级：按部门、区域、视频类型设置访问权限。</w:t>
      </w:r>
    </w:p>
    <w:p w14:paraId="48EDCE6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2.权限申请：用户可申请视频查看权限，需审批后生效。</w:t>
      </w:r>
    </w:p>
    <w:p w14:paraId="52A0D4C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3.权限审核：管理员审核视频权限申请，批准或拒绝。</w:t>
      </w:r>
    </w:p>
    <w:p w14:paraId="799108C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4.权限审计：定期审查视频权限分配，清理冗余权限。</w:t>
      </w:r>
    </w:p>
    <w:p w14:paraId="7E88B8B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【操作流程】</w:t>
      </w:r>
    </w:p>
    <w:p w14:paraId="10D0F03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1.用户提交视频权限申请。</w:t>
      </w:r>
    </w:p>
    <w:p w14:paraId="3C6B993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2.管理员审批权限申请。</w:t>
      </w:r>
    </w:p>
    <w:p w14:paraId="430115A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3.权限生效后用户可访问对应视频。</w:t>
      </w:r>
    </w:p>
    <w:p w14:paraId="28B581C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4.定期审查权限分配情况。</w:t>
      </w:r>
    </w:p>
    <w:p w14:paraId="0B98AFF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【日志】记录视频权限申请、审批、授予、撤销操作，可追溯。</w:t>
      </w:r>
    </w:p>
    <w:p w14:paraId="18FACD3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kern w:val="2"/>
          <w:sz w:val="21"/>
          <w:szCs w:val="21"/>
          <w:lang w:val="en-US" w:eastAsia="zh-CN" w:bidi="ar-SA"/>
        </w:rPr>
      </w:pPr>
      <w:bookmarkStart w:id="42" w:name="_Toc13843"/>
      <w:r>
        <w:rPr>
          <w:rFonts w:hint="eastAsia" w:asciiTheme="minorEastAsia" w:hAnsiTheme="minorEastAsia" w:eastAsiaTheme="minorEastAsia" w:cstheme="minorEastAsia"/>
          <w:b/>
          <w:bCs/>
          <w:kern w:val="2"/>
          <w:sz w:val="21"/>
          <w:szCs w:val="21"/>
          <w:lang w:val="en-US" w:eastAsia="zh-CN" w:bidi="ar-SA"/>
        </w:rPr>
        <w:t>3.3 第二板块：站控工艺参数集中展示板块</w:t>
      </w:r>
      <w:bookmarkEnd w:id="42"/>
    </w:p>
    <w:p w14:paraId="2CEAA9D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【目的】实现加油站、加气站等场站工艺参数的实时采集、集中展示、报警管理，单向读取数据不控制设备，满足工艺安全监控需求，AI 研判、远程控制等功能将在二期建设。</w:t>
      </w:r>
    </w:p>
    <w:p w14:paraId="773C2034">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kern w:val="2"/>
          <w:sz w:val="21"/>
          <w:szCs w:val="21"/>
          <w:lang w:val="en-US" w:eastAsia="zh-CN" w:bidi="ar-SA"/>
        </w:rPr>
      </w:pPr>
      <w:r>
        <w:rPr>
          <w:rFonts w:hint="eastAsia" w:asciiTheme="minorEastAsia" w:hAnsiTheme="minorEastAsia" w:eastAsiaTheme="minorEastAsia" w:cstheme="minorEastAsia"/>
          <w:b/>
          <w:bCs/>
          <w:kern w:val="2"/>
          <w:sz w:val="21"/>
          <w:szCs w:val="21"/>
          <w:lang w:val="en-US" w:eastAsia="zh-CN" w:bidi="ar-SA"/>
        </w:rPr>
        <w:t>3.3.1 工艺数据采集</w:t>
      </w:r>
    </w:p>
    <w:p w14:paraId="677B10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【功能点】</w:t>
      </w:r>
    </w:p>
    <w:p w14:paraId="2E1DCF2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1.协议支持：支持 Modbus RTU/TCP、OPC UA、MQTT 等工业协议。</w:t>
      </w:r>
    </w:p>
    <w:p w14:paraId="465E52D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2.参数类型：压力、液位、流量、温度、电压、电流等工艺参数。</w:t>
      </w:r>
    </w:p>
    <w:p w14:paraId="4C7388A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3.采集频率：支持 1 秒至 5 分钟可调采集频率。</w:t>
      </w:r>
    </w:p>
    <w:p w14:paraId="07D529E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4.数据采集：定时采集或事件触发采集，支持手动采集。</w:t>
      </w:r>
    </w:p>
    <w:p w14:paraId="09CFF48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5.数据校验：对采集数据进行校验，过滤异常数据。【操作流程】</w:t>
      </w:r>
    </w:p>
    <w:p w14:paraId="3E0C303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6.配置工艺设备采集参数。</w:t>
      </w:r>
    </w:p>
    <w:p w14:paraId="47E1635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7.系统定时采集工艺数据。</w:t>
      </w:r>
    </w:p>
    <w:p w14:paraId="30BD75C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8.校验数据有效性。</w:t>
      </w:r>
    </w:p>
    <w:p w14:paraId="4284F92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9.存储并展示采集数据。</w:t>
      </w:r>
    </w:p>
    <w:p w14:paraId="705A025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【权限】工艺参数管理员可配置采集参数；普通用户可查看权限内数据。</w:t>
      </w:r>
    </w:p>
    <w:p w14:paraId="1ECF61F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kern w:val="2"/>
          <w:sz w:val="21"/>
          <w:szCs w:val="21"/>
          <w:lang w:val="en-US" w:eastAsia="zh-CN" w:bidi="ar-SA"/>
        </w:rPr>
      </w:pPr>
      <w:r>
        <w:rPr>
          <w:rFonts w:hint="eastAsia" w:asciiTheme="minorEastAsia" w:hAnsiTheme="minorEastAsia" w:eastAsiaTheme="minorEastAsia" w:cstheme="minorEastAsia"/>
          <w:b/>
          <w:bCs/>
          <w:kern w:val="2"/>
          <w:sz w:val="21"/>
          <w:szCs w:val="21"/>
          <w:lang w:val="en-US" w:eastAsia="zh-CN" w:bidi="ar-SA"/>
        </w:rPr>
        <w:t>3.3.2 工艺参数展示</w:t>
      </w:r>
    </w:p>
    <w:p w14:paraId="0419A6C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【功能点】</w:t>
      </w:r>
    </w:p>
    <w:p w14:paraId="643A0E5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1.实时展示：实时显示各场站工艺参数数值。</w:t>
      </w:r>
    </w:p>
    <w:p w14:paraId="4344465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2.趋势展示：以折线图形式展示参数历史趋势。</w:t>
      </w:r>
    </w:p>
    <w:p w14:paraId="27A99DC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3.阈值展示：参数超过设定阈值时高亮显示。</w:t>
      </w:r>
    </w:p>
    <w:p w14:paraId="37906DE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4.地图展示：在东莞地图上展示各场站工艺参数概览。</w:t>
      </w:r>
    </w:p>
    <w:p w14:paraId="5884A63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5.大屏展示：支持智慧大屏多参数集中展示。</w:t>
      </w:r>
    </w:p>
    <w:p w14:paraId="4ABAF10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【操作流程】</w:t>
      </w:r>
    </w:p>
    <w:p w14:paraId="0365DC3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1.用户选择场站或设备查看参数。</w:t>
      </w:r>
    </w:p>
    <w:p w14:paraId="4A7646C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2.系统显示实时参数及历史趋势。</w:t>
      </w:r>
    </w:p>
    <w:p w14:paraId="4859817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3.异常参数自动预警。</w:t>
      </w:r>
    </w:p>
    <w:p w14:paraId="33FFD55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4.支持参数导出和报表生成。</w:t>
      </w:r>
    </w:p>
    <w:p w14:paraId="38A6262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【权限】按场站、设备设置访问权限。</w:t>
      </w:r>
    </w:p>
    <w:p w14:paraId="0C14841B">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kern w:val="2"/>
          <w:sz w:val="21"/>
          <w:szCs w:val="21"/>
          <w:lang w:val="en-US" w:eastAsia="zh-CN" w:bidi="ar-SA"/>
        </w:rPr>
      </w:pPr>
      <w:r>
        <w:rPr>
          <w:rFonts w:hint="eastAsia" w:asciiTheme="minorEastAsia" w:hAnsiTheme="minorEastAsia" w:eastAsiaTheme="minorEastAsia" w:cstheme="minorEastAsia"/>
          <w:b/>
          <w:bCs/>
          <w:kern w:val="2"/>
          <w:sz w:val="21"/>
          <w:szCs w:val="21"/>
          <w:lang w:val="en-US" w:eastAsia="zh-CN" w:bidi="ar-SA"/>
        </w:rPr>
        <w:t>3.3.3 报警管理</w:t>
      </w:r>
    </w:p>
    <w:p w14:paraId="72ADB77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【功能点】</w:t>
      </w:r>
    </w:p>
    <w:p w14:paraId="0B2E16E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1.报警阈值：支持单参数阈值、参数组合阈值报警。</w:t>
      </w:r>
    </w:p>
    <w:p w14:paraId="7522BEB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2.报警等级：一般报警、重要报警、紧急报警三级分类。</w:t>
      </w:r>
    </w:p>
    <w:p w14:paraId="0222B05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3.报警推送：报警消息通过消息中心推送至相关人员。</w:t>
      </w:r>
    </w:p>
    <w:p w14:paraId="55DE524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4.报警确认：报警发生后需人工确认处理。</w:t>
      </w:r>
    </w:p>
    <w:p w14:paraId="178C3C2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5.报警历史：记录报警时间、类型、等级、处理情况。</w:t>
      </w:r>
    </w:p>
    <w:p w14:paraId="1F394D2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【操作流程】</w:t>
      </w:r>
    </w:p>
    <w:p w14:paraId="720553F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1.系统监测到参数异常，触发报警。</w:t>
      </w:r>
    </w:p>
    <w:p w14:paraId="08F9A54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2.自动推送报警消息至相关人员。</w:t>
      </w:r>
    </w:p>
    <w:p w14:paraId="212DC06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3.人员查看报警详情并处理。</w:t>
      </w:r>
    </w:p>
    <w:p w14:paraId="4EDBA78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4.确认报警并记录处理结果。</w:t>
      </w:r>
    </w:p>
    <w:p w14:paraId="03B0A2D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【权限】报警处理人员可查看和处理报警。</w:t>
      </w:r>
    </w:p>
    <w:p w14:paraId="00B8EFC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kern w:val="2"/>
          <w:sz w:val="21"/>
          <w:szCs w:val="21"/>
          <w:lang w:val="en-US" w:eastAsia="zh-CN" w:bidi="ar-SA"/>
        </w:rPr>
      </w:pPr>
      <w:bookmarkStart w:id="43" w:name="_Toc10007"/>
      <w:r>
        <w:rPr>
          <w:rFonts w:hint="eastAsia" w:asciiTheme="minorEastAsia" w:hAnsiTheme="minorEastAsia" w:eastAsiaTheme="minorEastAsia" w:cstheme="minorEastAsia"/>
          <w:b/>
          <w:bCs/>
          <w:kern w:val="2"/>
          <w:sz w:val="21"/>
          <w:szCs w:val="21"/>
          <w:lang w:val="en-US" w:eastAsia="zh-CN" w:bidi="ar-SA"/>
        </w:rPr>
        <w:t>3.4 第三板块：物业消防系统整合板块</w:t>
      </w:r>
      <w:bookmarkEnd w:id="43"/>
    </w:p>
    <w:p w14:paraId="459AA8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【目的】实现消防设备状态监控、报警管理、视频联动、消防档案基础管理，满足消防合规管控需求，不具备消防设备控制功能，AI 预警、自动联动等功能将在二期建设。</w:t>
      </w:r>
    </w:p>
    <w:p w14:paraId="60230FB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kern w:val="2"/>
          <w:sz w:val="21"/>
          <w:szCs w:val="21"/>
          <w:lang w:val="en-US" w:eastAsia="zh-CN" w:bidi="ar-SA"/>
        </w:rPr>
      </w:pPr>
      <w:r>
        <w:rPr>
          <w:rFonts w:hint="eastAsia" w:asciiTheme="minorEastAsia" w:hAnsiTheme="minorEastAsia" w:eastAsiaTheme="minorEastAsia" w:cstheme="minorEastAsia"/>
          <w:b/>
          <w:bCs/>
          <w:kern w:val="2"/>
          <w:sz w:val="21"/>
          <w:szCs w:val="21"/>
          <w:lang w:val="en-US" w:eastAsia="zh-CN" w:bidi="ar-SA"/>
        </w:rPr>
        <w:t>3.4.1 消防设备管理</w:t>
      </w:r>
    </w:p>
    <w:p w14:paraId="0760D38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【功能点】</w:t>
      </w:r>
    </w:p>
    <w:p w14:paraId="1A66864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1.设备接入：支持 Modbus RTU/TCP、BACnet IP/MSTP、OPC UA 等协议接入。</w:t>
      </w:r>
    </w:p>
    <w:p w14:paraId="4FB4DF7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2.设备类型：火灾探测器、手动报警按钮、消防主机、消防水箱等。</w:t>
      </w:r>
    </w:p>
    <w:p w14:paraId="0DA8BB4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3.设备档案：记录设备名称、位置、型号、安装时间、维保记录等。</w:t>
      </w:r>
    </w:p>
    <w:p w14:paraId="5F3C17E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4.设备状态：实时监控设备在线、正常、故障、报警状态。</w:t>
      </w:r>
    </w:p>
    <w:p w14:paraId="3C7A9C7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5.维保提醒：设备到期维保自动提醒。</w:t>
      </w:r>
    </w:p>
    <w:p w14:paraId="37B251A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【操作流程】</w:t>
      </w:r>
    </w:p>
    <w:p w14:paraId="1EF6FCD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1.管理员添加消防设备信息。</w:t>
      </w:r>
    </w:p>
    <w:p w14:paraId="374A193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2.系统接入设备并监控状态。</w:t>
      </w:r>
    </w:p>
    <w:p w14:paraId="4E3CD6F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3.定期更新设备维保信息。</w:t>
      </w:r>
    </w:p>
    <w:p w14:paraId="160A434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4.系统自动提醒维保到期。</w:t>
      </w:r>
    </w:p>
    <w:p w14:paraId="460A281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【权限】消防管理员可管理全部设备；其他人员仅可查看权限内设备。</w:t>
      </w:r>
    </w:p>
    <w:p w14:paraId="7733F32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kern w:val="2"/>
          <w:sz w:val="21"/>
          <w:szCs w:val="21"/>
          <w:lang w:val="en-US" w:eastAsia="zh-CN" w:bidi="ar-SA"/>
        </w:rPr>
      </w:pPr>
      <w:r>
        <w:rPr>
          <w:rFonts w:hint="eastAsia" w:asciiTheme="minorEastAsia" w:hAnsiTheme="minorEastAsia" w:eastAsiaTheme="minorEastAsia" w:cstheme="minorEastAsia"/>
          <w:b/>
          <w:bCs/>
          <w:kern w:val="2"/>
          <w:sz w:val="21"/>
          <w:szCs w:val="21"/>
          <w:lang w:val="en-US" w:eastAsia="zh-CN" w:bidi="ar-SA"/>
        </w:rPr>
        <w:t>3.4.2 消防状态监控</w:t>
      </w:r>
    </w:p>
    <w:p w14:paraId="0F827A3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【功能点】</w:t>
      </w:r>
    </w:p>
    <w:p w14:paraId="69E07B9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1.状态展示：实时显示各消防设备状态。</w:t>
      </w:r>
    </w:p>
    <w:p w14:paraId="076C5A9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2.区域监控：按区域展示消防状态概览。</w:t>
      </w:r>
    </w:p>
    <w:p w14:paraId="5EF29DA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3.异常标识：设备异常状态高亮显示。</w:t>
      </w:r>
    </w:p>
    <w:p w14:paraId="4113A82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4.状态汇总：统计设备正常率、故障率等指标。</w:t>
      </w:r>
    </w:p>
    <w:p w14:paraId="567564F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【操作流程】</w:t>
      </w:r>
    </w:p>
    <w:p w14:paraId="22DCDC6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1.用户查看消防状态面板。</w:t>
      </w:r>
    </w:p>
    <w:p w14:paraId="62D346F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2.查看各区域设备状态。</w:t>
      </w:r>
    </w:p>
    <w:p w14:paraId="4537B08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3.处理异常设备。</w:t>
      </w:r>
    </w:p>
    <w:p w14:paraId="0335F51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4.定期生成状态报告。</w:t>
      </w:r>
    </w:p>
    <w:p w14:paraId="6DDDA64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【权限】按区域设置查看权限。</w:t>
      </w:r>
    </w:p>
    <w:p w14:paraId="1A200A53">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kern w:val="2"/>
          <w:sz w:val="21"/>
          <w:szCs w:val="21"/>
          <w:lang w:val="en-US" w:eastAsia="zh-CN" w:bidi="ar-SA"/>
        </w:rPr>
      </w:pPr>
      <w:r>
        <w:rPr>
          <w:rFonts w:hint="eastAsia" w:asciiTheme="minorEastAsia" w:hAnsiTheme="minorEastAsia" w:eastAsiaTheme="minorEastAsia" w:cstheme="minorEastAsia"/>
          <w:b/>
          <w:bCs/>
          <w:kern w:val="2"/>
          <w:sz w:val="21"/>
          <w:szCs w:val="21"/>
          <w:lang w:val="en-US" w:eastAsia="zh-CN" w:bidi="ar-SA"/>
        </w:rPr>
        <w:t>3.4.3 消防报警管理</w:t>
      </w:r>
    </w:p>
    <w:p w14:paraId="62B1DE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【功能点】</w:t>
      </w:r>
    </w:p>
    <w:p w14:paraId="4522BD4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1.报警类型：火警、故障、屏蔽、联动等报警类型。</w:t>
      </w:r>
    </w:p>
    <w:p w14:paraId="6C2D78C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2.报警联动：火警报警时联动视频画面。</w:t>
      </w:r>
    </w:p>
    <w:p w14:paraId="47C9E7B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3.报警推送：报警消息实时推送至相关人员。</w:t>
      </w:r>
    </w:p>
    <w:p w14:paraId="16A5E2C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4.报警处置：记录报警处理过程和结果。</w:t>
      </w:r>
    </w:p>
    <w:p w14:paraId="2399B2F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5.报警历史：查询历史报警记录，支持统计报表。</w:t>
      </w:r>
    </w:p>
    <w:p w14:paraId="5E49373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【操作流程】</w:t>
      </w:r>
    </w:p>
    <w:p w14:paraId="043C6C0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1.系统检测到消防报警。</w:t>
      </w:r>
    </w:p>
    <w:p w14:paraId="129ACFE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2.自动推送报警消息。</w:t>
      </w:r>
    </w:p>
    <w:p w14:paraId="2344B7A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3.相关人员查看并处置报警。</w:t>
      </w:r>
    </w:p>
    <w:p w14:paraId="798A899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4.记录处置结果。</w:t>
      </w:r>
    </w:p>
    <w:p w14:paraId="3792A7A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【权限】报警处置人员可处理报警。</w:t>
      </w:r>
    </w:p>
    <w:p w14:paraId="088B52A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outlineLvl w:val="4"/>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3.4.4 消防档案管理</w:t>
      </w:r>
    </w:p>
    <w:p w14:paraId="5B2CA12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【功能点】</w:t>
      </w:r>
    </w:p>
    <w:p w14:paraId="7E65852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1.档案创建：创建消防设备档案、建筑消防档案、消防设施台账、维保合同档案等分类资料。</w:t>
      </w:r>
    </w:p>
    <w:p w14:paraId="38EDADA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2.档案维护：动态更新设备巡检记录、年度检测报告、消防演练资料、隐患整改资料，支持附件上传归档。</w:t>
      </w:r>
    </w:p>
    <w:p w14:paraId="120FD2C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3.档案查询：按建筑区域、设备类型、时间维度、资料类别快速检索，满足日常消防自查与监管抽查。</w:t>
      </w:r>
    </w:p>
    <w:p w14:paraId="7DC4877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4.档案导出：支持台账、记录表、检查资料一键导出，适配消防合规报备需求。</w:t>
      </w:r>
    </w:p>
    <w:p w14:paraId="3D9BB1F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5.资料留存：电子档案长期存档，支持版本记录，确保消防资料闭环可追溯。</w:t>
      </w:r>
    </w:p>
    <w:p w14:paraId="3D55BD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【操作流程】</w:t>
      </w:r>
    </w:p>
    <w:p w14:paraId="292D7E9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1.安全管理员统一录入基础消防档案信息，完善设备基础台账。</w:t>
      </w:r>
    </w:p>
    <w:p w14:paraId="32092CE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2.日常巡检、维保、检测完成后，及时上传纸质资料扫描件、现场照片、验收记录。</w:t>
      </w:r>
    </w:p>
    <w:p w14:paraId="37CE696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3.监管检查或内部自查时，快速检索、调阅、打印对应消防档案资料。</w:t>
      </w:r>
    </w:p>
    <w:p w14:paraId="2053D09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4.定期梳理过期资料、到期维保项目，完成档案更新与闭环管理。</w:t>
      </w:r>
    </w:p>
    <w:p w14:paraId="761FA78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【权限】消防管理人员具备档案编辑、上传、修改权限；部门管理人员可查阅下载；普通员工仅支持只读查看。</w:t>
      </w:r>
    </w:p>
    <w:p w14:paraId="1200648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【日志】记录档案新增、修改、删除、下载、打印全流程操作，满足消防合规审计要求。</w:t>
      </w:r>
    </w:p>
    <w:p w14:paraId="435EEB3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kern w:val="2"/>
          <w:sz w:val="21"/>
          <w:szCs w:val="21"/>
          <w:lang w:val="en-US" w:eastAsia="zh-CN" w:bidi="ar-SA"/>
        </w:rPr>
      </w:pPr>
      <w:bookmarkStart w:id="44" w:name="_Toc18160"/>
      <w:r>
        <w:rPr>
          <w:rFonts w:hint="eastAsia" w:asciiTheme="minorEastAsia" w:hAnsiTheme="minorEastAsia" w:eastAsiaTheme="minorEastAsia" w:cstheme="minorEastAsia"/>
          <w:b/>
          <w:bCs/>
          <w:kern w:val="2"/>
          <w:sz w:val="21"/>
          <w:szCs w:val="21"/>
          <w:lang w:val="en-US" w:eastAsia="zh-CN" w:bidi="ar-SA"/>
        </w:rPr>
        <w:t>3.5 第四板块：综合安全管理板块</w:t>
      </w:r>
      <w:bookmarkEnd w:id="44"/>
    </w:p>
    <w:p w14:paraId="375B20B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综合安全管理为平台核心业务模块，覆盖企业全业态安全管控全流程，包含 14 个标准化子模块，实现安全管理工作电子化、流程化、台账化落地，适配燃气、加油加气、物业、工程施工多场景使用。</w:t>
      </w:r>
    </w:p>
    <w:p w14:paraId="250C4723">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kern w:val="2"/>
          <w:sz w:val="21"/>
          <w:szCs w:val="21"/>
          <w:lang w:val="en-US" w:eastAsia="zh-CN" w:bidi="ar-SA"/>
        </w:rPr>
      </w:pPr>
      <w:r>
        <w:rPr>
          <w:rFonts w:hint="eastAsia" w:asciiTheme="minorEastAsia" w:hAnsiTheme="minorEastAsia" w:eastAsiaTheme="minorEastAsia" w:cstheme="minorEastAsia"/>
          <w:b/>
          <w:bCs/>
          <w:kern w:val="2"/>
          <w:sz w:val="21"/>
          <w:szCs w:val="21"/>
          <w:lang w:val="en-US" w:eastAsia="zh-CN" w:bidi="ar-SA"/>
        </w:rPr>
        <w:t>3.5.1 安全组织与责任制管理</w:t>
      </w:r>
    </w:p>
    <w:p w14:paraId="60A41C9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建立全员安全生产责任体系，落实分级管控、一岗双责管理要求。</w:t>
      </w:r>
    </w:p>
    <w:p w14:paraId="0A5EADF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1.安全组织架构：独立维护安全管理组织体系，明确安全委员会、安全管理部门、班组安全员架构。</w:t>
      </w:r>
    </w:p>
    <w:p w14:paraId="6593BE3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2.岗位职责清单：录入各级管理人员、一线岗位、第三方作业人员安全职责，形成岗位安全责任书电子台账。</w:t>
      </w:r>
    </w:p>
    <w:p w14:paraId="2120F9B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3.责任签订管理：线上完成安全责任书签订、到期提醒、续签管理，留存签订记录与电子签章资料。</w:t>
      </w:r>
    </w:p>
    <w:p w14:paraId="53D299B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4.责任考核关联：关联日常检查、隐患整改、违章记录，作为安全履职考核基础数据。</w:t>
      </w:r>
    </w:p>
    <w:p w14:paraId="2AF4F34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5.台账报表：自动生成安全责任体系清单、责任书到期统计表，便于管理归档。</w:t>
      </w:r>
    </w:p>
    <w:p w14:paraId="449CD01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kern w:val="2"/>
          <w:sz w:val="21"/>
          <w:szCs w:val="21"/>
          <w:lang w:val="en-US" w:eastAsia="zh-CN" w:bidi="ar-SA"/>
        </w:rPr>
      </w:pPr>
      <w:r>
        <w:rPr>
          <w:rFonts w:hint="eastAsia" w:asciiTheme="minorEastAsia" w:hAnsiTheme="minorEastAsia" w:eastAsiaTheme="minorEastAsia" w:cstheme="minorEastAsia"/>
          <w:b/>
          <w:bCs/>
          <w:kern w:val="2"/>
          <w:sz w:val="21"/>
          <w:szCs w:val="21"/>
          <w:lang w:val="en-US" w:eastAsia="zh-CN" w:bidi="ar-SA"/>
        </w:rPr>
        <w:t>3.5.2 安全目标管理</w:t>
      </w:r>
    </w:p>
    <w:p w14:paraId="526329C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围绕年度安全生产指标，实现目标分解、过程管控、考核复盘全周期管理。</w:t>
      </w:r>
    </w:p>
    <w:p w14:paraId="451C2DE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1.年度目标制定：结合行业规范与企业要求，制定事故控制、隐患治理、培训教育、应急管理等年度安全目标。</w:t>
      </w:r>
    </w:p>
    <w:p w14:paraId="094864E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2.目标层层分解：按部门、场站、班组分解月度、季度管控指标，明确责任人与完成时限。</w:t>
      </w:r>
    </w:p>
    <w:p w14:paraId="2E3AD1D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3.过程跟踪管控：定期录入目标完成进度，对滞后项进行预警提醒、督促整改。</w:t>
      </w:r>
    </w:p>
    <w:p w14:paraId="27D258A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4.周期考核评价：季度、年度开展目标达成评价，形成考核记录与分析报告。</w:t>
      </w:r>
    </w:p>
    <w:p w14:paraId="161E06D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5.资料归档：目标文件、分解方案、考核评价资料统一存档管理。</w:t>
      </w:r>
    </w:p>
    <w:p w14:paraId="6402840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kern w:val="2"/>
          <w:sz w:val="21"/>
          <w:szCs w:val="21"/>
          <w:lang w:val="en-US" w:eastAsia="zh-CN" w:bidi="ar-SA"/>
        </w:rPr>
      </w:pPr>
      <w:r>
        <w:rPr>
          <w:rFonts w:hint="eastAsia" w:asciiTheme="minorEastAsia" w:hAnsiTheme="minorEastAsia" w:eastAsiaTheme="minorEastAsia" w:cstheme="minorEastAsia"/>
          <w:b/>
          <w:bCs/>
          <w:kern w:val="2"/>
          <w:sz w:val="21"/>
          <w:szCs w:val="21"/>
          <w:lang w:val="en-US" w:eastAsia="zh-CN" w:bidi="ar-SA"/>
        </w:rPr>
        <w:t>3.5.3 安全会议管理</w:t>
      </w:r>
    </w:p>
    <w:p w14:paraId="36EEBD9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规范各类安全会议组织、记录留存、事项督办闭环管理。</w:t>
      </w:r>
    </w:p>
    <w:p w14:paraId="54CCB8B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1.会议分类管理：涵盖安委会会议、安全例会、班组班前会、专项整治会议、应急专题会议等类型。</w:t>
      </w:r>
    </w:p>
    <w:p w14:paraId="2E3A04B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2.会议计划安排：提前制定会议计划、参会人员、会议地点、会议主题，实现会前通知推送。</w:t>
      </w:r>
    </w:p>
    <w:p w14:paraId="42E44EF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3.会议记录录入：会后上传会议纪要、签到表、现场照片、会议文件，完整留存会议资料。</w:t>
      </w:r>
    </w:p>
    <w:p w14:paraId="782D347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4.待办事项督办：会议明确整改事项、工作要求，自动生成待办任务，跟踪落实闭环。</w:t>
      </w:r>
    </w:p>
    <w:p w14:paraId="67649FD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5.历史查询统计：按时间、部门、会议类型查询历史会议记录，支持汇总导出。</w:t>
      </w:r>
    </w:p>
    <w:p w14:paraId="521D4483">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kern w:val="2"/>
          <w:sz w:val="21"/>
          <w:szCs w:val="21"/>
          <w:lang w:val="en-US" w:eastAsia="zh-CN" w:bidi="ar-SA"/>
        </w:rPr>
      </w:pPr>
      <w:r>
        <w:rPr>
          <w:rFonts w:hint="eastAsia" w:asciiTheme="minorEastAsia" w:hAnsiTheme="minorEastAsia" w:eastAsiaTheme="minorEastAsia" w:cstheme="minorEastAsia"/>
          <w:b/>
          <w:bCs/>
          <w:kern w:val="2"/>
          <w:sz w:val="21"/>
          <w:szCs w:val="21"/>
          <w:lang w:val="en-US" w:eastAsia="zh-CN" w:bidi="ar-SA"/>
        </w:rPr>
        <w:t>3.5.4 安全培训教育管理</w:t>
      </w:r>
    </w:p>
    <w:p w14:paraId="37BE19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搭建全员安全培训体系，覆盖新员工三级教育、日常培训、专项培训、特种作业培训。</w:t>
      </w:r>
    </w:p>
    <w:p w14:paraId="0570299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1.培训计划管理：制定年度、季度安全培训计划，明确培训内容、培训对象、授课人员。</w:t>
      </w:r>
    </w:p>
    <w:p w14:paraId="0D022A9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2.线上线下结合：支持线下培训记录录入、线上课件学习、考试考核、成绩存档。</w:t>
      </w:r>
    </w:p>
    <w:p w14:paraId="25FE659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3.人员分类培训：区分管理人员、一线操作工、押运人员、第三方施工人员差异化培训内容。</w:t>
      </w:r>
    </w:p>
    <w:p w14:paraId="5636B10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4.培训档案留存：签到表、课件、考试试卷、现场影像资料统一归档，形成一人一档培训档案。</w:t>
      </w:r>
    </w:p>
    <w:p w14:paraId="68AE55C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5.到期预警：特种作业证件、安全继续教育到期自动提醒，确保持证上岗合规。</w:t>
      </w:r>
    </w:p>
    <w:p w14:paraId="3E4EC0B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kern w:val="2"/>
          <w:sz w:val="21"/>
          <w:szCs w:val="21"/>
          <w:lang w:val="en-US" w:eastAsia="zh-CN" w:bidi="ar-SA"/>
        </w:rPr>
      </w:pPr>
      <w:r>
        <w:rPr>
          <w:rFonts w:hint="eastAsia" w:asciiTheme="minorEastAsia" w:hAnsiTheme="minorEastAsia" w:eastAsiaTheme="minorEastAsia" w:cstheme="minorEastAsia"/>
          <w:b/>
          <w:bCs/>
          <w:kern w:val="2"/>
          <w:sz w:val="21"/>
          <w:szCs w:val="21"/>
          <w:lang w:val="en-US" w:eastAsia="zh-CN" w:bidi="ar-SA"/>
        </w:rPr>
        <w:t>3.5.5 安全检查与隐患排查治理</w:t>
      </w:r>
    </w:p>
    <w:p w14:paraId="71BB8DD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实现检查计划、现场检查、隐患上报、整改复查、闭环销号全流程管控。</w:t>
      </w:r>
    </w:p>
    <w:p w14:paraId="0427E51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1.检查类型全覆盖：日常巡检、专项检查、节假日检查、季节性检查、第三方督查、上级检查。</w:t>
      </w:r>
    </w:p>
    <w:p w14:paraId="2ACBF1A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2.检查清单标准化：内置燃气、加油加气、消防、设备设施、作业现场标准化检查项，支持自定义清单。</w:t>
      </w:r>
    </w:p>
    <w:p w14:paraId="016A47C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3.隐患分级分类：按一般、较大、重大隐患分级管控，区分物的不安全状态、人的不安全行为、管理缺陷。</w:t>
      </w:r>
    </w:p>
    <w:p w14:paraId="1BD2F50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4.整改闭环流程：隐患下发整改任务、明确整改责任人、整改时限、整改措施，上传整改佐证资料，复查合格后方可销号。</w:t>
      </w:r>
    </w:p>
    <w:p w14:paraId="788BE4C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5.数据分析统计：自动统计隐患分布区域、隐患类型、整改完成率、逾期隐患清单，为风险管控提供数据支撑。</w:t>
      </w:r>
    </w:p>
    <w:p w14:paraId="6671144B">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4"/>
        <w:rPr>
          <w:rFonts w:hint="eastAsia" w:asciiTheme="minorEastAsia" w:hAnsiTheme="minorEastAsia" w:eastAsiaTheme="minorEastAsia" w:cstheme="minorEastAsia"/>
          <w:b/>
          <w:bCs/>
          <w:kern w:val="2"/>
          <w:sz w:val="21"/>
          <w:szCs w:val="21"/>
          <w:lang w:val="en-US" w:eastAsia="zh-CN" w:bidi="ar-SA"/>
        </w:rPr>
      </w:pPr>
      <w:r>
        <w:rPr>
          <w:rFonts w:hint="eastAsia" w:asciiTheme="minorEastAsia" w:hAnsiTheme="minorEastAsia" w:eastAsiaTheme="minorEastAsia" w:cstheme="minorEastAsia"/>
          <w:b/>
          <w:bCs/>
          <w:kern w:val="2"/>
          <w:sz w:val="21"/>
          <w:szCs w:val="21"/>
          <w:lang w:val="en-US" w:eastAsia="zh-CN" w:bidi="ar-SA"/>
        </w:rPr>
        <w:t>3.5.6 风险分级管控</w:t>
      </w:r>
    </w:p>
    <w:p w14:paraId="51697D2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落实 “双重预防机制” 要求，完成风险辨识、分级、管控、动态更新管理。</w:t>
      </w:r>
    </w:p>
    <w:p w14:paraId="7EAE163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1.风险辨识建档：针对场站、储存区域、作业环节、危化使用点位开展常态化风险辨识。</w:t>
      </w:r>
    </w:p>
    <w:p w14:paraId="3F5FCEA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2.风险等级划分：按照红、橙、黄、蓝四级风险分级，明确管控层级、管控措施、责任人。</w:t>
      </w:r>
    </w:p>
    <w:p w14:paraId="081C045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3.管控措施落地：制定工程措施、管理措施、个体防护、应急措施，常态化落实管控要求。</w:t>
      </w:r>
    </w:p>
    <w:p w14:paraId="216D958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4.动态更新管理：结合技改、作业变更、事故隐患，实时更新风险清单与管控方案。</w:t>
      </w:r>
    </w:p>
    <w:p w14:paraId="3417E40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5.风险地图展示：结合区域点位地图，标注高风险点位分布，直观掌握全域风险态势。</w:t>
      </w:r>
    </w:p>
    <w:p w14:paraId="3ACA0FDD">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rPr>
          <w:rFonts w:hint="eastAsia" w:asciiTheme="minorEastAsia" w:hAnsiTheme="minorEastAsia" w:eastAsiaTheme="minorEastAsia" w:cstheme="minorEastAsia"/>
          <w:b/>
          <w:bCs/>
          <w:kern w:val="2"/>
          <w:sz w:val="21"/>
          <w:szCs w:val="21"/>
          <w:lang w:val="en-US" w:eastAsia="zh-CN" w:bidi="ar-SA"/>
        </w:rPr>
      </w:pPr>
      <w:r>
        <w:rPr>
          <w:rFonts w:hint="eastAsia" w:asciiTheme="minorEastAsia" w:hAnsiTheme="minorEastAsia" w:eastAsiaTheme="minorEastAsia" w:cstheme="minorEastAsia"/>
          <w:b/>
          <w:bCs/>
          <w:kern w:val="2"/>
          <w:sz w:val="21"/>
          <w:szCs w:val="21"/>
          <w:lang w:val="en-US" w:eastAsia="zh-CN" w:bidi="ar-SA"/>
        </w:rPr>
        <w:t>3.5.7 危险作业许可管理</w:t>
      </w:r>
    </w:p>
    <w:p w14:paraId="5A6635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针对动火、受限空间、高处、临时用电、吊装、破土等高风险作业，实现作业审批闭环。</w:t>
      </w:r>
    </w:p>
    <w:p w14:paraId="12FE873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1.作业票证管理：线上申请、审批、签发危险作业票，替代纸质票证，规范作业流程。</w:t>
      </w:r>
    </w:p>
    <w:p w14:paraId="1455C63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2.前置条件审查：作业前安全条件确认、风险分析、隔离措施、气体检测、监护人员配置审查。</w:t>
      </w:r>
    </w:p>
    <w:p w14:paraId="3627076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3.分级审批流程：高风险作业升级审批，多层级把关，严控非常规作业风险。</w:t>
      </w:r>
    </w:p>
    <w:p w14:paraId="3022DC2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4.现场作业监管：移动端上传作业现场布置、安全措施落实、监护在岗记录。</w:t>
      </w:r>
    </w:p>
    <w:p w14:paraId="54D19B9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5.作业终结归档：作业结束验收、现场恢复确认，票证资料自动归档留存。</w:t>
      </w:r>
    </w:p>
    <w:p w14:paraId="5C9DE92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rPr>
          <w:rFonts w:hint="eastAsia" w:asciiTheme="minorEastAsia" w:hAnsiTheme="minorEastAsia" w:eastAsiaTheme="minorEastAsia" w:cstheme="minorEastAsia"/>
          <w:b/>
          <w:bCs/>
          <w:kern w:val="2"/>
          <w:sz w:val="21"/>
          <w:szCs w:val="21"/>
          <w:lang w:val="en-US" w:eastAsia="zh-CN" w:bidi="ar-SA"/>
        </w:rPr>
      </w:pPr>
      <w:r>
        <w:rPr>
          <w:rFonts w:hint="eastAsia" w:asciiTheme="minorEastAsia" w:hAnsiTheme="minorEastAsia" w:eastAsiaTheme="minorEastAsia" w:cstheme="minorEastAsia"/>
          <w:b/>
          <w:bCs/>
          <w:kern w:val="2"/>
          <w:sz w:val="21"/>
          <w:szCs w:val="21"/>
          <w:lang w:val="en-US" w:eastAsia="zh-CN" w:bidi="ar-SA"/>
        </w:rPr>
        <w:t>3.5.8 相关方安全管理</w:t>
      </w:r>
    </w:p>
    <w:p w14:paraId="0A58B1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统一管控施工单位、外包队伍、承运单位、维保单位等第三方安全管理。</w:t>
      </w:r>
    </w:p>
    <w:p w14:paraId="4B84F0D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1.相关方资质台账：收集营业执照、安全生产许可证、特种作业资质、保险资料统一存档。</w:t>
      </w:r>
    </w:p>
    <w:p w14:paraId="10D6D5D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2.入厂准入管理：第三方人员安全教育、安全交底、入厂审批，杜绝无培训、无交底作业。</w:t>
      </w:r>
    </w:p>
    <w:p w14:paraId="588AF5A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3.作业过程监管：第三方作业方案审查、现场安全监管、违章行为记录与考核。</w:t>
      </w:r>
    </w:p>
    <w:p w14:paraId="3B9BCAB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4.履约考核评价：建立相关方安全考核机制，定期评分、不合格单位限制准入。</w:t>
      </w:r>
    </w:p>
    <w:p w14:paraId="0C0B611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5.黑名单管理：对严重违章、隐患整改拒不落实的合作单位纳入预警管理。</w:t>
      </w:r>
    </w:p>
    <w:p w14:paraId="13FEFC0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rPr>
          <w:rFonts w:hint="eastAsia" w:asciiTheme="minorEastAsia" w:hAnsiTheme="minorEastAsia" w:eastAsiaTheme="minorEastAsia" w:cstheme="minorEastAsia"/>
          <w:b/>
          <w:bCs/>
          <w:kern w:val="2"/>
          <w:sz w:val="21"/>
          <w:szCs w:val="21"/>
          <w:lang w:val="en-US" w:eastAsia="zh-CN" w:bidi="ar-SA"/>
        </w:rPr>
      </w:pPr>
      <w:r>
        <w:rPr>
          <w:rFonts w:hint="eastAsia" w:asciiTheme="minorEastAsia" w:hAnsiTheme="minorEastAsia" w:eastAsiaTheme="minorEastAsia" w:cstheme="minorEastAsia"/>
          <w:b/>
          <w:bCs/>
          <w:kern w:val="2"/>
          <w:sz w:val="21"/>
          <w:szCs w:val="21"/>
          <w:lang w:val="en-US" w:eastAsia="zh-CN" w:bidi="ar-SA"/>
        </w:rPr>
        <w:t>3.5.9 安全设备设施管理</w:t>
      </w:r>
    </w:p>
    <w:p w14:paraId="4492412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6" w:firstLineChars="203"/>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覆盖生产设备、安全附件、消防设施、防护用品、监控设备全生命周期管理。</w:t>
      </w:r>
    </w:p>
    <w:p w14:paraId="0C1DC4C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1.设备基础台账：统一编码、安装位置、规格型号、出厂信息、维保周期、责任人建档。</w:t>
      </w:r>
    </w:p>
    <w:p w14:paraId="0E349FB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2.定期维保管理：制定维保计划、日常保养、定期检测、年度校验，到期自动提醒。</w:t>
      </w:r>
    </w:p>
    <w:p w14:paraId="6AC7E6F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3.备品备件管理：安全耗材、应急物资、防护用品出入库登记、库存预警。</w:t>
      </w:r>
    </w:p>
    <w:p w14:paraId="309BFA3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4.故障维修闭环：设备故障上报、维修派单、修复验收、停用隔离全流程记录。</w:t>
      </w:r>
    </w:p>
    <w:p w14:paraId="7E67660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5.强制检测管控：压力表、安全阀、可燃气体探测器等强检设备周期管理，确保合规有效。</w:t>
      </w:r>
    </w:p>
    <w:p w14:paraId="2506602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rPr>
          <w:rFonts w:hint="eastAsia" w:asciiTheme="minorEastAsia" w:hAnsiTheme="minorEastAsia" w:eastAsiaTheme="minorEastAsia" w:cstheme="minorEastAsia"/>
          <w:b/>
          <w:bCs/>
          <w:kern w:val="2"/>
          <w:sz w:val="21"/>
          <w:szCs w:val="21"/>
          <w:lang w:val="en-US" w:eastAsia="zh-CN" w:bidi="ar-SA"/>
        </w:rPr>
      </w:pPr>
      <w:r>
        <w:rPr>
          <w:rFonts w:hint="eastAsia" w:asciiTheme="minorEastAsia" w:hAnsiTheme="minorEastAsia" w:eastAsiaTheme="minorEastAsia" w:cstheme="minorEastAsia"/>
          <w:b/>
          <w:bCs/>
          <w:kern w:val="2"/>
          <w:sz w:val="21"/>
          <w:szCs w:val="21"/>
          <w:lang w:val="en-US" w:eastAsia="zh-CN" w:bidi="ar-SA"/>
        </w:rPr>
        <w:t>3.5.10 职业健康管理</w:t>
      </w:r>
    </w:p>
    <w:p w14:paraId="32C2701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6" w:firstLineChars="203"/>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落实职业健康防护要求，保障一线接触危化、粉尘、噪音岗位人员健康。</w:t>
      </w:r>
    </w:p>
    <w:p w14:paraId="4641503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1.职业危害辨识：梳理各岗位职业病危害因素，公示危害告知与防护要求。</w:t>
      </w:r>
    </w:p>
    <w:p w14:paraId="1232189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2.健康体检管理：岗前、岗中、离岗职业健康体检计划、体检报告存档、异常人员调岗管理。</w:t>
      </w:r>
    </w:p>
    <w:p w14:paraId="692A653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3.防护用品管理：劳动防护用品发放标准、领用登记、定期更换台账管理。</w:t>
      </w:r>
    </w:p>
    <w:p w14:paraId="6657BB8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4.作业环境监测：有毒有害、易燃易爆作业区域环境检测记录归档。</w:t>
      </w:r>
    </w:p>
    <w:p w14:paraId="4FE86D1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5.健康宣教培训：职业健康知识培训、危害防控宣传资料统一管理。</w:t>
      </w:r>
    </w:p>
    <w:p w14:paraId="3489C514">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rPr>
          <w:rFonts w:hint="eastAsia" w:asciiTheme="minorEastAsia" w:hAnsiTheme="minorEastAsia" w:eastAsiaTheme="minorEastAsia" w:cstheme="minorEastAsia"/>
          <w:b/>
          <w:bCs/>
          <w:kern w:val="2"/>
          <w:sz w:val="21"/>
          <w:szCs w:val="21"/>
          <w:lang w:val="en-US" w:eastAsia="zh-CN" w:bidi="ar-SA"/>
        </w:rPr>
      </w:pPr>
      <w:r>
        <w:rPr>
          <w:rFonts w:hint="eastAsia" w:asciiTheme="minorEastAsia" w:hAnsiTheme="minorEastAsia" w:eastAsiaTheme="minorEastAsia" w:cstheme="minorEastAsia"/>
          <w:b/>
          <w:bCs/>
          <w:kern w:val="2"/>
          <w:sz w:val="21"/>
          <w:szCs w:val="21"/>
          <w:lang w:val="en-US" w:eastAsia="zh-CN" w:bidi="ar-SA"/>
        </w:rPr>
        <w:t>3.5.11 应急管理与救援</w:t>
      </w:r>
    </w:p>
    <w:p w14:paraId="46A58D3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完善应急预案、应急队伍、物资储备、应急演练、突发事件处置全链条管理。</w:t>
      </w:r>
    </w:p>
    <w:p w14:paraId="3F18FEA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1.应急预案体系：综合预案、专项预案、现场处置方案电子化存档，定期修订更新。</w:t>
      </w:r>
    </w:p>
    <w:p w14:paraId="15870A1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2.应急队伍管理：应急救援小组、兼职队员联络方式、职责分工建档。</w:t>
      </w:r>
    </w:p>
    <w:p w14:paraId="7ABFDC6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3.应急物资台账：灭火器、防化装备、堵漏工具、急救物资台账，库存盘点、过期更换提醒。</w:t>
      </w:r>
    </w:p>
    <w:p w14:paraId="28E67F1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4.应急演练管理：演练计划、方案审批、现场实施、演练总结、问题整改闭环。</w:t>
      </w:r>
    </w:p>
    <w:p w14:paraId="5B17662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5.应急值守管理：节假日、特殊时期值班排班、值班记录、突发事件信息上报流程。</w:t>
      </w:r>
    </w:p>
    <w:p w14:paraId="5452539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rPr>
          <w:rFonts w:hint="eastAsia" w:asciiTheme="minorEastAsia" w:hAnsiTheme="minorEastAsia" w:eastAsiaTheme="minorEastAsia" w:cstheme="minorEastAsia"/>
          <w:b/>
          <w:bCs/>
          <w:kern w:val="2"/>
          <w:sz w:val="21"/>
          <w:szCs w:val="21"/>
          <w:lang w:val="en-US" w:eastAsia="zh-CN" w:bidi="ar-SA"/>
        </w:rPr>
      </w:pPr>
      <w:r>
        <w:rPr>
          <w:rFonts w:hint="eastAsia" w:asciiTheme="minorEastAsia" w:hAnsiTheme="minorEastAsia" w:eastAsiaTheme="minorEastAsia" w:cstheme="minorEastAsia"/>
          <w:b/>
          <w:bCs/>
          <w:kern w:val="2"/>
          <w:sz w:val="21"/>
          <w:szCs w:val="21"/>
          <w:lang w:val="en-US" w:eastAsia="zh-CN" w:bidi="ar-SA"/>
        </w:rPr>
        <w:t>3.5.12 事故管理</w:t>
      </w:r>
    </w:p>
    <w:p w14:paraId="046FC6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规范生产安全事件、未遂事件、轻微伤害、一般事故的上报、调查、分析、整改管理。</w:t>
      </w:r>
    </w:p>
    <w:p w14:paraId="5A9B477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1.事件快速上报：突发事件一键上报，记录事发时间、地点、经过、损失情况。</w:t>
      </w:r>
    </w:p>
    <w:p w14:paraId="5AE0C2C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2.事故调查分析：形成事故调查报告，分析直接原因、间接原因、管理漏洞。</w:t>
      </w:r>
    </w:p>
    <w:p w14:paraId="141AE70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3.举一反三整改：制定纠正预防措施，同类区域、同类岗位全面排查整改。</w:t>
      </w:r>
    </w:p>
    <w:p w14:paraId="2D51353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4.事故统计分析：按年度、季度统计事件类型、发生规律，优化安全管控重点。</w:t>
      </w:r>
    </w:p>
    <w:p w14:paraId="7A67BC4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5.案例警示教育：事故案例入库，用于日常安全培训与警示教育。</w:t>
      </w:r>
    </w:p>
    <w:p w14:paraId="5EE6763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rPr>
          <w:rFonts w:hint="eastAsia" w:asciiTheme="minorEastAsia" w:hAnsiTheme="minorEastAsia" w:eastAsiaTheme="minorEastAsia" w:cstheme="minorEastAsia"/>
          <w:b/>
          <w:bCs/>
          <w:kern w:val="2"/>
          <w:sz w:val="21"/>
          <w:szCs w:val="21"/>
          <w:lang w:val="en-US" w:eastAsia="zh-CN" w:bidi="ar-SA"/>
        </w:rPr>
      </w:pPr>
      <w:r>
        <w:rPr>
          <w:rFonts w:hint="eastAsia" w:asciiTheme="minorEastAsia" w:hAnsiTheme="minorEastAsia" w:eastAsiaTheme="minorEastAsia" w:cstheme="minorEastAsia"/>
          <w:b/>
          <w:bCs/>
          <w:kern w:val="2"/>
          <w:sz w:val="21"/>
          <w:szCs w:val="21"/>
          <w:lang w:val="en-US" w:eastAsia="zh-CN" w:bidi="ar-SA"/>
        </w:rPr>
        <w:t>3.5.13 安全投入管理</w:t>
      </w:r>
    </w:p>
    <w:p w14:paraId="23968BC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规范安全生产费用计提、使用、审批、台账统计，保障安全投入合规列支。</w:t>
      </w:r>
    </w:p>
    <w:p w14:paraId="6F00189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1.费用计提标准：按法规要求设定安全费用计提标准，年度预算编制管理。</w:t>
      </w:r>
    </w:p>
    <w:p w14:paraId="1835008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2.费用使用审批：防护用品、消防器材、检测检验、安全培训、技改防护项目线上申请审批。</w:t>
      </w:r>
    </w:p>
    <w:p w14:paraId="410ECB4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3.支出台账管理：每笔安全投入留存票据、合同、验收资料，形成完整支出台账。</w:t>
      </w:r>
    </w:p>
    <w:p w14:paraId="545C707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4.预算执行分析：定期统计预算执行率，合理调配安全投入资源。</w:t>
      </w:r>
    </w:p>
    <w:p w14:paraId="3A1C705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5.合规备查资料：自动汇总安全投入汇总表，满足上级监管审计核查。</w:t>
      </w:r>
    </w:p>
    <w:p w14:paraId="7722A11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kern w:val="2"/>
          <w:sz w:val="21"/>
          <w:szCs w:val="21"/>
          <w:lang w:val="en-US" w:eastAsia="zh-CN" w:bidi="ar-SA"/>
        </w:rPr>
      </w:pPr>
      <w:bookmarkStart w:id="45" w:name="_Toc5221"/>
      <w:r>
        <w:rPr>
          <w:rFonts w:hint="eastAsia" w:asciiTheme="minorEastAsia" w:hAnsiTheme="minorEastAsia" w:eastAsiaTheme="minorEastAsia" w:cstheme="minorEastAsia"/>
          <w:b/>
          <w:bCs/>
          <w:kern w:val="2"/>
          <w:sz w:val="21"/>
          <w:szCs w:val="21"/>
          <w:lang w:val="en-US" w:eastAsia="zh-CN" w:bidi="ar-SA"/>
        </w:rPr>
        <w:t>3.6 基础数据可视化看板</w:t>
      </w:r>
      <w:bookmarkEnd w:id="45"/>
    </w:p>
    <w:p w14:paraId="0F3F16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结合企业安全管理运营需求，搭建轻量化综合可视化看板，集中汇聚各大板块核心运行数据，实现安全态势集中展示。</w:t>
      </w:r>
    </w:p>
    <w:p w14:paraId="7AF2E2F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1.核心指标汇总：隐患总数、整改完成率、待办审批、培训完成情况、设备在线率、报警统计关键指标集中展示。</w:t>
      </w:r>
    </w:p>
    <w:p w14:paraId="32677C9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2.业务数据图表：以柱状图、饼图、折线图展示隐患类型分布、检查频次、培训人次、作业许可数量等统计数据。</w:t>
      </w:r>
    </w:p>
    <w:p w14:paraId="45CBCB7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3.物联数据总览：视频设备在线状态、工艺参数运行概况、消防设备运行状态、实时报警信息统一展示。</w:t>
      </w:r>
    </w:p>
    <w:p w14:paraId="2C39618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4.预警信息提醒：逾期隐患、到期维保、证件过期、待审批事项集中预警展示。</w:t>
      </w:r>
    </w:p>
    <w:p w14:paraId="1F4AB7B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5.大屏适配优化：适配指挥中心智慧大屏分辨率与展示布局，支持 7×24 小时常态轮播展示。</w:t>
      </w:r>
    </w:p>
    <w:p w14:paraId="2AA4F0C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kern w:val="2"/>
          <w:sz w:val="21"/>
          <w:szCs w:val="21"/>
          <w:lang w:val="en-US" w:eastAsia="zh-CN" w:bidi="ar-SA"/>
        </w:rPr>
      </w:pPr>
      <w:bookmarkStart w:id="46" w:name="_Toc21498"/>
      <w:r>
        <w:rPr>
          <w:rFonts w:hint="eastAsia" w:asciiTheme="minorEastAsia" w:hAnsiTheme="minorEastAsia" w:eastAsiaTheme="minorEastAsia" w:cstheme="minorEastAsia"/>
          <w:b/>
          <w:bCs/>
          <w:kern w:val="2"/>
          <w:sz w:val="21"/>
          <w:szCs w:val="21"/>
          <w:lang w:val="en-US" w:eastAsia="zh-CN" w:bidi="ar-SA"/>
        </w:rPr>
        <w:t>3.7 东莞地图基础点位展示</w:t>
      </w:r>
      <w:bookmarkEnd w:id="46"/>
    </w:p>
    <w:p w14:paraId="1EC18CE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依托区域电子地图，完成全业务板块物理点位可视化标注，实现全域资产与风险直观管控。</w:t>
      </w:r>
    </w:p>
    <w:p w14:paraId="77A0AAC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1.点位统一建档：加油站、加气站、燃气供应站、物业园区、施工点位、关键设备点位逐一标注。</w:t>
      </w:r>
    </w:p>
    <w:p w14:paraId="550E694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2.分类分层展示：可按业务类型、风险等级、设备类型分层筛选查看点位信息。</w:t>
      </w:r>
    </w:p>
    <w:p w14:paraId="7860778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3.点位信息关联：点击点位可查看基础信息、设备台账、近期隐患、报警记录、巡检记录。</w:t>
      </w:r>
    </w:p>
    <w:p w14:paraId="4B215D8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4.区域统计分析：按片区、网格自动统计点位数量、隐患数量、高风险点位分布。</w:t>
      </w:r>
    </w:p>
    <w:p w14:paraId="28DF7A0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5.日常管控赋能：为网格化安全管理、定点巡检、靶向整治提供地理数据支撑。</w:t>
      </w:r>
    </w:p>
    <w:p w14:paraId="26A9924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kern w:val="2"/>
          <w:sz w:val="21"/>
          <w:szCs w:val="21"/>
          <w:lang w:val="en-US" w:eastAsia="zh-CN" w:bidi="ar-SA"/>
        </w:rPr>
      </w:pPr>
      <w:bookmarkStart w:id="47" w:name="_Toc20624"/>
      <w:r>
        <w:rPr>
          <w:rFonts w:hint="eastAsia" w:asciiTheme="minorEastAsia" w:hAnsiTheme="minorEastAsia" w:eastAsiaTheme="minorEastAsia" w:cstheme="minorEastAsia"/>
          <w:b/>
          <w:bCs/>
          <w:kern w:val="2"/>
          <w:sz w:val="21"/>
          <w:szCs w:val="21"/>
          <w:lang w:val="en-US" w:eastAsia="zh-CN" w:bidi="ar-SA"/>
        </w:rPr>
        <w:t>3.8 分期功能划分说明</w:t>
      </w:r>
      <w:bookmarkEnd w:id="47"/>
    </w:p>
    <w:p w14:paraId="116DACF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为保障项目建设节奏合理、投入可控，平台采用分期落地模式，合理划分功能建设范围：</w:t>
      </w:r>
    </w:p>
    <w:p w14:paraId="34F724C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1.本期建设范围：平台基础底座、视频统一接入、工艺参数监测、消防设备监控、全模块综合安全管理、可视化看板与区域点位地图，满足日常运营与合规管理刚需。</w:t>
      </w:r>
    </w:p>
    <w:p w14:paraId="07977CA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2.后续升级范围：视频集中存储、AI 智能识别、区域热力分析、大数据深度研判、设备远程联动控制、智能语音交互等进阶功能，结合后期业务发展规划统一升级建设。</w:t>
      </w:r>
    </w:p>
    <w:p w14:paraId="5952962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3.扩展预留设计：系统整体架构、数据接口、数据库结构均预留扩展空间，确保后续功能升级无需整体改造，平滑迭代。</w:t>
      </w:r>
    </w:p>
    <w:p w14:paraId="0652648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2"/>
        <w:rPr>
          <w:rFonts w:hint="eastAsia" w:asciiTheme="minorEastAsia" w:hAnsiTheme="minorEastAsia" w:eastAsiaTheme="minorEastAsia" w:cstheme="minorEastAsia"/>
          <w:b/>
          <w:bCs/>
          <w:kern w:val="2"/>
          <w:sz w:val="21"/>
          <w:szCs w:val="21"/>
          <w:lang w:val="en-US" w:eastAsia="zh-CN" w:bidi="ar-SA"/>
        </w:rPr>
      </w:pPr>
      <w:bookmarkStart w:id="48" w:name="_Toc20283"/>
      <w:bookmarkStart w:id="49" w:name="_Toc1244"/>
      <w:r>
        <w:rPr>
          <w:rFonts w:hint="eastAsia" w:asciiTheme="minorEastAsia" w:hAnsiTheme="minorEastAsia" w:eastAsiaTheme="minorEastAsia" w:cstheme="minorEastAsia"/>
          <w:b/>
          <w:bCs/>
          <w:kern w:val="2"/>
          <w:sz w:val="21"/>
          <w:szCs w:val="21"/>
          <w:lang w:val="en-US" w:eastAsia="zh-CN" w:bidi="ar-SA"/>
        </w:rPr>
        <w:t>4 非功能性需求</w:t>
      </w:r>
      <w:bookmarkEnd w:id="48"/>
      <w:bookmarkEnd w:id="49"/>
    </w:p>
    <w:p w14:paraId="46EDDEF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kern w:val="2"/>
          <w:sz w:val="21"/>
          <w:szCs w:val="21"/>
          <w:lang w:val="en-US" w:eastAsia="zh-CN" w:bidi="ar-SA"/>
        </w:rPr>
      </w:pPr>
      <w:bookmarkStart w:id="50" w:name="_Toc17063"/>
      <w:r>
        <w:rPr>
          <w:rFonts w:hint="eastAsia" w:asciiTheme="minorEastAsia" w:hAnsiTheme="minorEastAsia" w:eastAsiaTheme="minorEastAsia" w:cstheme="minorEastAsia"/>
          <w:b/>
          <w:bCs/>
          <w:kern w:val="2"/>
          <w:sz w:val="21"/>
          <w:szCs w:val="21"/>
          <w:lang w:val="en-US" w:eastAsia="zh-CN" w:bidi="ar-SA"/>
        </w:rPr>
        <w:t>4.1 性能需求</w:t>
      </w:r>
      <w:bookmarkEnd w:id="50"/>
    </w:p>
    <w:p w14:paraId="68E44AF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1.系统响应：常规页面常规操作响应时间≤3 秒，复杂统计、多维度报表查询响应≤5 秒。</w:t>
      </w:r>
    </w:p>
    <w:p w14:paraId="48CAA6E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2.并发能力：支持不少于 100 名用户同时在线操作，多终端并行访问无卡顿、无崩溃。</w:t>
      </w:r>
    </w:p>
    <w:p w14:paraId="04FABB9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3.视频性能：稳定支持多路视频并发预览，画面延迟可控，满足日常监控查看需求。</w:t>
      </w:r>
    </w:p>
    <w:p w14:paraId="30231E5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4.数据采集：工艺、消防物联数据采集稳定，数据上传实时、无明显断连与丢失。</w:t>
      </w:r>
    </w:p>
    <w:p w14:paraId="7088890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5.数据承载：数据库可支撑多年业务数据持续存储，支持海量台账与记录快速检索。</w:t>
      </w:r>
    </w:p>
    <w:p w14:paraId="0D0EB37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kern w:val="2"/>
          <w:sz w:val="21"/>
          <w:szCs w:val="21"/>
          <w:lang w:val="en-US" w:eastAsia="zh-CN" w:bidi="ar-SA"/>
        </w:rPr>
      </w:pPr>
      <w:bookmarkStart w:id="51" w:name="_Toc29705"/>
      <w:r>
        <w:rPr>
          <w:rFonts w:hint="eastAsia" w:asciiTheme="minorEastAsia" w:hAnsiTheme="minorEastAsia" w:eastAsiaTheme="minorEastAsia" w:cstheme="minorEastAsia"/>
          <w:b/>
          <w:bCs/>
          <w:kern w:val="2"/>
          <w:sz w:val="21"/>
          <w:szCs w:val="21"/>
          <w:lang w:val="en-US" w:eastAsia="zh-CN" w:bidi="ar-SA"/>
        </w:rPr>
        <w:t>4.2 安全性需求</w:t>
      </w:r>
      <w:bookmarkEnd w:id="51"/>
    </w:p>
    <w:p w14:paraId="3B87510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1.账号安全：采用账号密码校验、登录锁定、密码复杂度策略，防范非法登录。</w:t>
      </w:r>
    </w:p>
    <w:p w14:paraId="234296C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2.权限安全：基于角色的分级权限体系，实现菜单权限、数据权限、操作权限精细化隔离。</w:t>
      </w:r>
    </w:p>
    <w:p w14:paraId="1C17155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3.网络安全：业务网络与物联采集网络逻辑隔离，配置防火墙、访问控制策略。</w:t>
      </w:r>
    </w:p>
    <w:p w14:paraId="481D17C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4.数据安全：关键业务数据、设备数据定期自动备份，支持故障快速恢复。</w:t>
      </w:r>
    </w:p>
    <w:p w14:paraId="04D6437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5.操作安全：全模块操作日志留存，关键修改、删除操作留痕，满足安全审计要求。</w:t>
      </w:r>
    </w:p>
    <w:p w14:paraId="15B03D5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kern w:val="2"/>
          <w:sz w:val="21"/>
          <w:szCs w:val="21"/>
          <w:lang w:val="en-US" w:eastAsia="zh-CN" w:bidi="ar-SA"/>
        </w:rPr>
      </w:pPr>
      <w:bookmarkStart w:id="52" w:name="_Toc28447"/>
      <w:r>
        <w:rPr>
          <w:rFonts w:hint="eastAsia" w:asciiTheme="minorEastAsia" w:hAnsiTheme="minorEastAsia" w:eastAsiaTheme="minorEastAsia" w:cstheme="minorEastAsia"/>
          <w:b/>
          <w:bCs/>
          <w:kern w:val="2"/>
          <w:sz w:val="21"/>
          <w:szCs w:val="21"/>
          <w:lang w:val="en-US" w:eastAsia="zh-CN" w:bidi="ar-SA"/>
        </w:rPr>
        <w:t>4.3 易用性需求</w:t>
      </w:r>
      <w:bookmarkEnd w:id="52"/>
    </w:p>
    <w:p w14:paraId="0A96080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1.界面设计：界面布局简洁统一，菜单层级清晰，符合国企办公系统操作习惯。</w:t>
      </w:r>
    </w:p>
    <w:p w14:paraId="11646C1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2.操作简化：高频业务流程简化操作步骤，移动端适配现场轻量化操作。</w:t>
      </w:r>
    </w:p>
    <w:p w14:paraId="143F9B0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3.统一交互：PC 端、APP、大屏操作逻辑统一，降低学习成本。</w:t>
      </w:r>
    </w:p>
    <w:p w14:paraId="6C32034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4.辅助提示：表单填写、流程审批、异常提示配置文字说明，便于一线人员上手。</w:t>
      </w:r>
    </w:p>
    <w:p w14:paraId="0C6B8BA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5.导出打印：各类台账、报表、记录支持一键导出、打印，适配资料归档需求。</w:t>
      </w:r>
    </w:p>
    <w:p w14:paraId="1AFA989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kern w:val="2"/>
          <w:sz w:val="21"/>
          <w:szCs w:val="21"/>
          <w:lang w:val="en-US" w:eastAsia="zh-CN" w:bidi="ar-SA"/>
        </w:rPr>
      </w:pPr>
      <w:bookmarkStart w:id="53" w:name="_Toc31131"/>
      <w:r>
        <w:rPr>
          <w:rFonts w:hint="eastAsia" w:asciiTheme="minorEastAsia" w:hAnsiTheme="minorEastAsia" w:eastAsiaTheme="minorEastAsia" w:cstheme="minorEastAsia"/>
          <w:b/>
          <w:bCs/>
          <w:kern w:val="2"/>
          <w:sz w:val="21"/>
          <w:szCs w:val="21"/>
          <w:lang w:val="en-US" w:eastAsia="zh-CN" w:bidi="ar-SA"/>
        </w:rPr>
        <w:t>4.4 可靠性需求</w:t>
      </w:r>
      <w:bookmarkEnd w:id="53"/>
    </w:p>
    <w:p w14:paraId="04040ED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1.运行稳定：系统支持 7×24 小时连续运行，全年综合可用率满足企业运营要求。</w:t>
      </w:r>
    </w:p>
    <w:p w14:paraId="1BE825E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2.容错能力：异常数据、网络波动场景下具备容错机制，避免系统崩溃。</w:t>
      </w:r>
    </w:p>
    <w:p w14:paraId="1740A8D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3.故障恢复：具备数据备份与快速恢复机制，突发故障可快速恢复业务运行。</w:t>
      </w:r>
    </w:p>
    <w:p w14:paraId="0FFA54E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4.设备对接稳定：物联设备对接具备断线重连、自动补传机制，保障数据连续性。</w:t>
      </w:r>
    </w:p>
    <w:p w14:paraId="5BCD76E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5.版本稳定：上线版本成熟稳定，无高频 BUG，保障日常办公连续性。</w:t>
      </w:r>
    </w:p>
    <w:p w14:paraId="6A83028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kern w:val="2"/>
          <w:sz w:val="21"/>
          <w:szCs w:val="21"/>
          <w:lang w:val="en-US" w:eastAsia="zh-CN" w:bidi="ar-SA"/>
        </w:rPr>
      </w:pPr>
      <w:bookmarkStart w:id="54" w:name="_Toc10910"/>
      <w:r>
        <w:rPr>
          <w:rFonts w:hint="eastAsia" w:asciiTheme="minorEastAsia" w:hAnsiTheme="minorEastAsia" w:eastAsiaTheme="minorEastAsia" w:cstheme="minorEastAsia"/>
          <w:b/>
          <w:bCs/>
          <w:kern w:val="2"/>
          <w:sz w:val="21"/>
          <w:szCs w:val="21"/>
          <w:lang w:val="en-US" w:eastAsia="zh-CN" w:bidi="ar-SA"/>
        </w:rPr>
        <w:t>4.5 可扩展性需求</w:t>
      </w:r>
      <w:bookmarkEnd w:id="54"/>
    </w:p>
    <w:p w14:paraId="1BC7E5C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1.架构扩展：微服务模块化设计，后续可按需新增模块、扩展业务功能。</w:t>
      </w:r>
    </w:p>
    <w:p w14:paraId="2C11A7C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2.接口扩展：预留标准化第三方对接接口，支持后续与 OA、财务、应急平台等系统联动。</w:t>
      </w:r>
    </w:p>
    <w:p w14:paraId="5381548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3.容量扩展：云服务器、存储资源可横向扩容，适配业务规模扩大、点位增加需求。</w:t>
      </w:r>
    </w:p>
    <w:p w14:paraId="3044C35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4.功能扩展：后台配置化程度高，业务流程、表单字段、检查清单可自定义调整。</w:t>
      </w:r>
    </w:p>
    <w:p w14:paraId="3725B96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kern w:val="2"/>
          <w:sz w:val="21"/>
          <w:szCs w:val="21"/>
          <w:lang w:val="en-US" w:eastAsia="zh-CN" w:bidi="ar-SA"/>
        </w:rPr>
      </w:pPr>
      <w:bookmarkStart w:id="55" w:name="_Toc6939"/>
      <w:r>
        <w:rPr>
          <w:rFonts w:hint="eastAsia" w:asciiTheme="minorEastAsia" w:hAnsiTheme="minorEastAsia" w:eastAsiaTheme="minorEastAsia" w:cstheme="minorEastAsia"/>
          <w:b/>
          <w:bCs/>
          <w:kern w:val="2"/>
          <w:sz w:val="21"/>
          <w:szCs w:val="21"/>
          <w:lang w:val="en-US" w:eastAsia="zh-CN" w:bidi="ar-SA"/>
        </w:rPr>
        <w:t>4.6 兼容性需求</w:t>
      </w:r>
      <w:bookmarkEnd w:id="55"/>
    </w:p>
    <w:p w14:paraId="07DAF66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1.浏览器兼容：兼容主流 Chrome、Edge 等国产及通用浏览器，无需绑定特定版本。</w:t>
      </w:r>
    </w:p>
    <w:p w14:paraId="48A0731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2.终端兼容：移动端 APP 适配安卓、IOS 主流系统，适配不同尺寸手机屏幕。</w:t>
      </w:r>
    </w:p>
    <w:p w14:paraId="5417EC2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3.协议兼容：视频、工艺、消防设备兼容行业主流通用协议，适配多品牌老旧设备对接。</w:t>
      </w:r>
    </w:p>
    <w:p w14:paraId="69CE982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4.文件兼容：支持 Word、Excel、PDF、图片、压缩包等常用格式上传预览。</w:t>
      </w:r>
    </w:p>
    <w:p w14:paraId="2DBAED0E">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outlineLvl w:val="3"/>
        <w:rPr>
          <w:rFonts w:hint="eastAsia" w:asciiTheme="minorEastAsia" w:hAnsiTheme="minorEastAsia" w:eastAsiaTheme="minorEastAsia" w:cstheme="minorEastAsia"/>
          <w:b w:val="0"/>
          <w:bCs w:val="0"/>
          <w:kern w:val="2"/>
          <w:sz w:val="21"/>
          <w:szCs w:val="21"/>
          <w:lang w:val="en-US" w:eastAsia="zh-CN" w:bidi="ar-SA"/>
        </w:rPr>
      </w:pPr>
      <w:bookmarkStart w:id="56" w:name="_Toc8257"/>
      <w:r>
        <w:rPr>
          <w:rFonts w:hint="eastAsia" w:asciiTheme="minorEastAsia" w:hAnsiTheme="minorEastAsia" w:eastAsiaTheme="minorEastAsia" w:cstheme="minorEastAsia"/>
          <w:b w:val="0"/>
          <w:bCs w:val="0"/>
          <w:kern w:val="2"/>
          <w:sz w:val="21"/>
          <w:szCs w:val="21"/>
          <w:lang w:val="en-US" w:eastAsia="zh-CN" w:bidi="ar-SA"/>
        </w:rPr>
        <w:t>4.7 可维护性需求</w:t>
      </w:r>
      <w:bookmarkEnd w:id="56"/>
    </w:p>
    <w:p w14:paraId="1C9AFE4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1.可视化运维：后台提供系统运行状态、接口连通性、设备在线状态可视化查看。</w:t>
      </w:r>
    </w:p>
    <w:p w14:paraId="7D7083E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2.配置化管理：业务规则、预警阈值、流程节点无需代码修改，后台可视化配置。</w:t>
      </w:r>
    </w:p>
    <w:p w14:paraId="5EBC38E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3.问题排查：日志分类清晰，接口日志、系统日志、操作日志独立区分，便于快速排障。</w:t>
      </w:r>
    </w:p>
    <w:p w14:paraId="09EE39B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4.文档完整：配套完整运维手册、操作手册，便于后期内部运维人员自主维护。</w:t>
      </w:r>
    </w:p>
    <w:p w14:paraId="141A64B2">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2"/>
        <w:rPr>
          <w:rFonts w:hint="eastAsia" w:asciiTheme="minorEastAsia" w:hAnsiTheme="minorEastAsia" w:eastAsiaTheme="minorEastAsia" w:cstheme="minorEastAsia"/>
          <w:b/>
          <w:bCs/>
          <w:kern w:val="2"/>
          <w:sz w:val="21"/>
          <w:szCs w:val="21"/>
          <w:lang w:val="en-US" w:eastAsia="zh-CN" w:bidi="ar-SA"/>
        </w:rPr>
      </w:pPr>
      <w:bookmarkStart w:id="57" w:name="_Toc10603"/>
      <w:bookmarkStart w:id="58" w:name="_Toc8606"/>
      <w:r>
        <w:rPr>
          <w:rFonts w:hint="eastAsia" w:asciiTheme="minorEastAsia" w:hAnsiTheme="minorEastAsia" w:eastAsiaTheme="minorEastAsia" w:cstheme="minorEastAsia"/>
          <w:b/>
          <w:bCs/>
          <w:kern w:val="2"/>
          <w:sz w:val="21"/>
          <w:szCs w:val="21"/>
          <w:lang w:val="en-US" w:eastAsia="zh-CN" w:bidi="ar-SA"/>
        </w:rPr>
        <w:t>5 接口需求</w:t>
      </w:r>
      <w:bookmarkEnd w:id="57"/>
      <w:bookmarkEnd w:id="58"/>
    </w:p>
    <w:p w14:paraId="16EC11F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kern w:val="2"/>
          <w:sz w:val="21"/>
          <w:szCs w:val="21"/>
          <w:lang w:val="en-US" w:eastAsia="zh-CN" w:bidi="ar-SA"/>
        </w:rPr>
      </w:pPr>
      <w:bookmarkStart w:id="59" w:name="_Toc11981"/>
      <w:r>
        <w:rPr>
          <w:rFonts w:hint="eastAsia" w:asciiTheme="minorEastAsia" w:hAnsiTheme="minorEastAsia" w:eastAsiaTheme="minorEastAsia" w:cstheme="minorEastAsia"/>
          <w:b/>
          <w:bCs/>
          <w:kern w:val="2"/>
          <w:sz w:val="21"/>
          <w:szCs w:val="21"/>
          <w:lang w:val="en-US" w:eastAsia="zh-CN" w:bidi="ar-SA"/>
        </w:rPr>
        <w:t>5.1 内部系统接口</w:t>
      </w:r>
      <w:bookmarkEnd w:id="59"/>
    </w:p>
    <w:p w14:paraId="26E8E17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实现平台内部各模块数据互通，包含用户权限接口、流程引擎接口、消息推送接口、数据共享接口，保障四大业务板块数据联动、业务协同。</w:t>
      </w:r>
    </w:p>
    <w:p w14:paraId="5E09F78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kern w:val="2"/>
          <w:sz w:val="21"/>
          <w:szCs w:val="21"/>
          <w:lang w:val="en-US" w:eastAsia="zh-CN" w:bidi="ar-SA"/>
        </w:rPr>
      </w:pPr>
      <w:bookmarkStart w:id="60" w:name="_Toc15354"/>
      <w:r>
        <w:rPr>
          <w:rFonts w:hint="eastAsia" w:asciiTheme="minorEastAsia" w:hAnsiTheme="minorEastAsia" w:eastAsiaTheme="minorEastAsia" w:cstheme="minorEastAsia"/>
          <w:b/>
          <w:bCs/>
          <w:kern w:val="2"/>
          <w:sz w:val="21"/>
          <w:szCs w:val="21"/>
          <w:lang w:val="en-US" w:eastAsia="zh-CN" w:bidi="ar-SA"/>
        </w:rPr>
        <w:t>5.2 外部系统接口</w:t>
      </w:r>
      <w:bookmarkEnd w:id="60"/>
    </w:p>
    <w:p w14:paraId="7356C40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预留标准化对接能力，支持后期与上级监管平台、企业 OA 系统、财务系统、应急管理平台数据交互，采用安全鉴权机制，保障跨系统数据传输安全。</w:t>
      </w:r>
    </w:p>
    <w:p w14:paraId="5F0C4C6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kern w:val="2"/>
          <w:sz w:val="21"/>
          <w:szCs w:val="21"/>
          <w:lang w:val="en-US" w:eastAsia="zh-CN" w:bidi="ar-SA"/>
        </w:rPr>
      </w:pPr>
      <w:bookmarkStart w:id="61" w:name="_Toc31915"/>
      <w:r>
        <w:rPr>
          <w:rFonts w:hint="eastAsia" w:asciiTheme="minorEastAsia" w:hAnsiTheme="minorEastAsia" w:eastAsiaTheme="minorEastAsia" w:cstheme="minorEastAsia"/>
          <w:b/>
          <w:bCs/>
          <w:kern w:val="2"/>
          <w:sz w:val="21"/>
          <w:szCs w:val="21"/>
          <w:lang w:val="en-US" w:eastAsia="zh-CN" w:bidi="ar-SA"/>
        </w:rPr>
        <w:t>5.3 硬件设备接口</w:t>
      </w:r>
      <w:bookmarkEnd w:id="61"/>
    </w:p>
    <w:p w14:paraId="1DD5C8D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1.视频设备接口：兼容 GB/T28181、ONVIF、RTSP 等通用安防协议。</w:t>
      </w:r>
    </w:p>
    <w:p w14:paraId="07B35BD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2.工艺设备接口：支持 Modbus、OPC UA、MQTT 等工业通用协议。</w:t>
      </w:r>
    </w:p>
    <w:p w14:paraId="55B3DD2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3.消防设备接口：适配 BACnet、Modbus 等消防主机通用对接协议。</w:t>
      </w:r>
    </w:p>
    <w:p w14:paraId="2FEACFF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kern w:val="2"/>
          <w:sz w:val="21"/>
          <w:szCs w:val="21"/>
          <w:lang w:val="en-US" w:eastAsia="zh-CN" w:bidi="ar-SA"/>
        </w:rPr>
      </w:pPr>
      <w:bookmarkStart w:id="62" w:name="_Toc347"/>
      <w:r>
        <w:rPr>
          <w:rFonts w:hint="eastAsia" w:asciiTheme="minorEastAsia" w:hAnsiTheme="minorEastAsia" w:eastAsiaTheme="minorEastAsia" w:cstheme="minorEastAsia"/>
          <w:b/>
          <w:bCs/>
          <w:kern w:val="2"/>
          <w:sz w:val="21"/>
          <w:szCs w:val="21"/>
          <w:lang w:val="en-US" w:eastAsia="zh-CN" w:bidi="ar-SA"/>
        </w:rPr>
        <w:t>5.4 接口安全规范</w:t>
      </w:r>
      <w:bookmarkEnd w:id="62"/>
    </w:p>
    <w:p w14:paraId="6802EB2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所有对外接口统一进行身份鉴权、加密传输、访问限流、调用日志记录，防止越权调用、恶意访问，保障物联数据与业务数据安全。</w:t>
      </w:r>
    </w:p>
    <w:p w14:paraId="6587C0D3">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2"/>
        <w:rPr>
          <w:rFonts w:hint="eastAsia" w:asciiTheme="minorEastAsia" w:hAnsiTheme="minorEastAsia" w:eastAsiaTheme="minorEastAsia" w:cstheme="minorEastAsia"/>
          <w:b/>
          <w:bCs/>
          <w:kern w:val="2"/>
          <w:sz w:val="21"/>
          <w:szCs w:val="21"/>
          <w:lang w:val="en-US" w:eastAsia="zh-CN" w:bidi="ar-SA"/>
        </w:rPr>
      </w:pPr>
      <w:bookmarkStart w:id="63" w:name="_Toc25666"/>
      <w:bookmarkStart w:id="64" w:name="_Toc24750"/>
      <w:r>
        <w:rPr>
          <w:rFonts w:hint="eastAsia" w:asciiTheme="minorEastAsia" w:hAnsiTheme="minorEastAsia" w:eastAsiaTheme="minorEastAsia" w:cstheme="minorEastAsia"/>
          <w:b/>
          <w:bCs/>
          <w:kern w:val="2"/>
          <w:sz w:val="21"/>
          <w:szCs w:val="21"/>
          <w:lang w:val="en-US" w:eastAsia="zh-CN" w:bidi="ar-SA"/>
        </w:rPr>
        <w:t>6 实施计划</w:t>
      </w:r>
      <w:bookmarkEnd w:id="63"/>
      <w:bookmarkEnd w:id="64"/>
    </w:p>
    <w:p w14:paraId="2088829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kern w:val="2"/>
          <w:sz w:val="21"/>
          <w:szCs w:val="21"/>
          <w:lang w:val="en-US" w:eastAsia="zh-CN" w:bidi="ar-SA"/>
        </w:rPr>
      </w:pPr>
      <w:bookmarkStart w:id="65" w:name="_Toc30079"/>
      <w:r>
        <w:rPr>
          <w:rFonts w:hint="eastAsia" w:asciiTheme="minorEastAsia" w:hAnsiTheme="minorEastAsia" w:eastAsiaTheme="minorEastAsia" w:cstheme="minorEastAsia"/>
          <w:b/>
          <w:bCs/>
          <w:kern w:val="2"/>
          <w:sz w:val="21"/>
          <w:szCs w:val="21"/>
          <w:lang w:val="en-US" w:eastAsia="zh-CN" w:bidi="ar-SA"/>
        </w:rPr>
        <w:t>6.1 实施阶段划分</w:t>
      </w:r>
      <w:bookmarkEnd w:id="65"/>
    </w:p>
    <w:p w14:paraId="699A5A1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1.需求调研与确认阶段：现场业务调研、设备摸排、需求梳理、方案定稿。</w:t>
      </w:r>
    </w:p>
    <w:p w14:paraId="1A235AA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2.系统设计开发阶段：架构搭建、模块开发、页面设计、接口开发。</w:t>
      </w:r>
    </w:p>
    <w:p w14:paraId="7C7BF94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3.设备对接联调阶段：视频、工艺、消防设备逐项适配、点位调试、数据联调。</w:t>
      </w:r>
    </w:p>
    <w:p w14:paraId="3A10C80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4.系统测试优化阶段：功能测试、压力测试、多终端适配测试、问题整改优化。</w:t>
      </w:r>
    </w:p>
    <w:p w14:paraId="61D19DE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5.部署上线与培训阶段：现场部署、数据初始化、分级用户培训、试运行上线。</w:t>
      </w:r>
    </w:p>
    <w:p w14:paraId="6B58D51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kern w:val="2"/>
          <w:sz w:val="21"/>
          <w:szCs w:val="21"/>
          <w:lang w:val="en-US" w:eastAsia="zh-CN" w:bidi="ar-SA"/>
        </w:rPr>
      </w:pPr>
      <w:bookmarkStart w:id="66" w:name="_Toc28127"/>
      <w:r>
        <w:rPr>
          <w:rFonts w:hint="eastAsia" w:asciiTheme="minorEastAsia" w:hAnsiTheme="minorEastAsia" w:eastAsiaTheme="minorEastAsia" w:cstheme="minorEastAsia"/>
          <w:b/>
          <w:bCs/>
          <w:kern w:val="2"/>
          <w:sz w:val="21"/>
          <w:szCs w:val="21"/>
          <w:lang w:val="en-US" w:eastAsia="zh-CN" w:bidi="ar-SA"/>
        </w:rPr>
        <w:t>6.2 项目实施里程碑</w:t>
      </w:r>
      <w:bookmarkEnd w:id="66"/>
    </w:p>
    <w:p w14:paraId="745C01A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合理制定项目关键节点，实行进度倒排、节点管控，定期同步项目推进情况，保障项目按期落地交付。</w:t>
      </w:r>
    </w:p>
    <w:p w14:paraId="37A5D88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kern w:val="2"/>
          <w:sz w:val="21"/>
          <w:szCs w:val="21"/>
          <w:lang w:val="en-US" w:eastAsia="zh-CN" w:bidi="ar-SA"/>
        </w:rPr>
      </w:pPr>
      <w:bookmarkStart w:id="67" w:name="_Toc12984"/>
      <w:r>
        <w:rPr>
          <w:rFonts w:hint="eastAsia" w:asciiTheme="minorEastAsia" w:hAnsiTheme="minorEastAsia" w:eastAsiaTheme="minorEastAsia" w:cstheme="minorEastAsia"/>
          <w:b/>
          <w:bCs/>
          <w:kern w:val="2"/>
          <w:sz w:val="21"/>
          <w:szCs w:val="21"/>
          <w:lang w:val="en-US" w:eastAsia="zh-CN" w:bidi="ar-SA"/>
        </w:rPr>
        <w:t>6.3 培训计划</w:t>
      </w:r>
      <w:bookmarkEnd w:id="67"/>
    </w:p>
    <w:p w14:paraId="3F357F9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采用分层分级培训模式，分为管理员运维培训、部门管理员业务培训、一线操作人员移动端实操培训，配套操作手册、图文指引、操作短视频，确保全员熟练使用系统。</w:t>
      </w:r>
    </w:p>
    <w:p w14:paraId="65DA007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kern w:val="2"/>
          <w:sz w:val="21"/>
          <w:szCs w:val="21"/>
          <w:lang w:val="en-US" w:eastAsia="zh-CN" w:bidi="ar-SA"/>
        </w:rPr>
      </w:pPr>
      <w:bookmarkStart w:id="68" w:name="_Toc8942"/>
      <w:r>
        <w:rPr>
          <w:rFonts w:hint="eastAsia" w:asciiTheme="minorEastAsia" w:hAnsiTheme="minorEastAsia" w:eastAsiaTheme="minorEastAsia" w:cstheme="minorEastAsia"/>
          <w:b/>
          <w:bCs/>
          <w:kern w:val="2"/>
          <w:sz w:val="21"/>
          <w:szCs w:val="21"/>
          <w:lang w:val="en-US" w:eastAsia="zh-CN" w:bidi="ar-SA"/>
        </w:rPr>
        <w:t>6.4 数据迁移与上线</w:t>
      </w:r>
      <w:bookmarkEnd w:id="68"/>
    </w:p>
    <w:p w14:paraId="48783B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统一梳理历史安全台账、设备档案、人员基础数据，通过模板批量导入完成初始化；采用分区域、分模块渐进式上线模式，降低切换风险，试运行周期内持续优化调整，保障平稳过渡。</w:t>
      </w:r>
    </w:p>
    <w:p w14:paraId="6C354DC9">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2"/>
        <w:rPr>
          <w:rFonts w:hint="eastAsia" w:asciiTheme="minorEastAsia" w:hAnsiTheme="minorEastAsia" w:eastAsiaTheme="minorEastAsia" w:cstheme="minorEastAsia"/>
          <w:b/>
          <w:bCs/>
          <w:kern w:val="2"/>
          <w:sz w:val="21"/>
          <w:szCs w:val="21"/>
          <w:lang w:val="en-US" w:eastAsia="zh-CN" w:bidi="ar-SA"/>
        </w:rPr>
      </w:pPr>
      <w:bookmarkStart w:id="69" w:name="_Toc4362"/>
      <w:bookmarkStart w:id="70" w:name="_Toc31738"/>
      <w:r>
        <w:rPr>
          <w:rFonts w:hint="eastAsia" w:asciiTheme="minorEastAsia" w:hAnsiTheme="minorEastAsia" w:eastAsiaTheme="minorEastAsia" w:cstheme="minorEastAsia"/>
          <w:b/>
          <w:bCs/>
          <w:kern w:val="2"/>
          <w:sz w:val="21"/>
          <w:szCs w:val="21"/>
          <w:lang w:val="en-US" w:eastAsia="zh-CN" w:bidi="ar-SA"/>
        </w:rPr>
        <w:t>7 验收标准</w:t>
      </w:r>
      <w:bookmarkEnd w:id="69"/>
      <w:bookmarkEnd w:id="70"/>
    </w:p>
    <w:p w14:paraId="55C8313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kern w:val="2"/>
          <w:sz w:val="21"/>
          <w:szCs w:val="21"/>
          <w:lang w:val="en-US" w:eastAsia="zh-CN" w:bidi="ar-SA"/>
        </w:rPr>
      </w:pPr>
      <w:bookmarkStart w:id="71" w:name="_Toc510"/>
      <w:r>
        <w:rPr>
          <w:rFonts w:hint="eastAsia" w:asciiTheme="minorEastAsia" w:hAnsiTheme="minorEastAsia" w:eastAsiaTheme="minorEastAsia" w:cstheme="minorEastAsia"/>
          <w:b/>
          <w:bCs/>
          <w:kern w:val="2"/>
          <w:sz w:val="21"/>
          <w:szCs w:val="21"/>
          <w:lang w:val="en-US" w:eastAsia="zh-CN" w:bidi="ar-SA"/>
        </w:rPr>
        <w:t>7.1 功能验收</w:t>
      </w:r>
      <w:bookmarkEnd w:id="71"/>
    </w:p>
    <w:p w14:paraId="49D43A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所有本期规划建设模块完整落地，业务流程完整闭环，物联设备数据采集展示正常，台账报表、导出打印、消息提醒、权限管控功能全部正常使用，满足企业日常安全管理业务需求。</w:t>
      </w:r>
    </w:p>
    <w:p w14:paraId="2426CDA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kern w:val="2"/>
          <w:sz w:val="21"/>
          <w:szCs w:val="21"/>
          <w:lang w:val="en-US" w:eastAsia="zh-CN" w:bidi="ar-SA"/>
        </w:rPr>
      </w:pPr>
      <w:bookmarkStart w:id="72" w:name="_Toc20974"/>
      <w:r>
        <w:rPr>
          <w:rFonts w:hint="eastAsia" w:asciiTheme="minorEastAsia" w:hAnsiTheme="minorEastAsia" w:eastAsiaTheme="minorEastAsia" w:cstheme="minorEastAsia"/>
          <w:b/>
          <w:bCs/>
          <w:kern w:val="2"/>
          <w:sz w:val="21"/>
          <w:szCs w:val="21"/>
          <w:lang w:val="en-US" w:eastAsia="zh-CN" w:bidi="ar-SA"/>
        </w:rPr>
        <w:t>7.2 性能验收</w:t>
      </w:r>
      <w:bookmarkEnd w:id="72"/>
    </w:p>
    <w:p w14:paraId="05F29B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系统响应速度、并发承载、视频预览、数据采集等性能指标达到设计要求，长时间连续运行稳定无异常。</w:t>
      </w:r>
    </w:p>
    <w:p w14:paraId="162E7D8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kern w:val="2"/>
          <w:sz w:val="21"/>
          <w:szCs w:val="21"/>
          <w:lang w:val="en-US" w:eastAsia="zh-CN" w:bidi="ar-SA"/>
        </w:rPr>
      </w:pPr>
      <w:bookmarkStart w:id="73" w:name="_Toc15321"/>
      <w:r>
        <w:rPr>
          <w:rFonts w:hint="eastAsia" w:asciiTheme="minorEastAsia" w:hAnsiTheme="minorEastAsia" w:eastAsiaTheme="minorEastAsia" w:cstheme="minorEastAsia"/>
          <w:b/>
          <w:bCs/>
          <w:kern w:val="2"/>
          <w:sz w:val="21"/>
          <w:szCs w:val="21"/>
          <w:lang w:val="en-US" w:eastAsia="zh-CN" w:bidi="ar-SA"/>
        </w:rPr>
        <w:t>7.3 接口验收</w:t>
      </w:r>
      <w:bookmarkEnd w:id="73"/>
    </w:p>
    <w:p w14:paraId="06D9DF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各类硬件对接接口、内部交互接口运行稳定，数据传输实时准确，接口文档完整规范。</w:t>
      </w:r>
    </w:p>
    <w:p w14:paraId="7BD5845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kern w:val="2"/>
          <w:sz w:val="21"/>
          <w:szCs w:val="21"/>
          <w:lang w:val="en-US" w:eastAsia="zh-CN" w:bidi="ar-SA"/>
        </w:rPr>
      </w:pPr>
      <w:bookmarkStart w:id="74" w:name="_Toc12755"/>
      <w:r>
        <w:rPr>
          <w:rFonts w:hint="eastAsia" w:asciiTheme="minorEastAsia" w:hAnsiTheme="minorEastAsia" w:eastAsiaTheme="minorEastAsia" w:cstheme="minorEastAsia"/>
          <w:b/>
          <w:bCs/>
          <w:kern w:val="2"/>
          <w:sz w:val="21"/>
          <w:szCs w:val="21"/>
          <w:lang w:val="en-US" w:eastAsia="zh-CN" w:bidi="ar-SA"/>
        </w:rPr>
        <w:t>7.4 安全验收</w:t>
      </w:r>
      <w:bookmarkEnd w:id="74"/>
    </w:p>
    <w:p w14:paraId="4E71426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权限隔离、数据备份、操作日志、网络防护等安全措施落实到位，无安全漏洞与数据风险。</w:t>
      </w:r>
    </w:p>
    <w:p w14:paraId="2974E92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kern w:val="2"/>
          <w:sz w:val="21"/>
          <w:szCs w:val="21"/>
          <w:lang w:val="en-US" w:eastAsia="zh-CN" w:bidi="ar-SA"/>
        </w:rPr>
      </w:pPr>
      <w:bookmarkStart w:id="75" w:name="_Toc12765"/>
      <w:r>
        <w:rPr>
          <w:rFonts w:hint="eastAsia" w:asciiTheme="minorEastAsia" w:hAnsiTheme="minorEastAsia" w:eastAsiaTheme="minorEastAsia" w:cstheme="minorEastAsia"/>
          <w:b/>
          <w:bCs/>
          <w:kern w:val="2"/>
          <w:sz w:val="21"/>
          <w:szCs w:val="21"/>
          <w:lang w:val="en-US" w:eastAsia="zh-CN" w:bidi="ar-SA"/>
        </w:rPr>
        <w:t>7.5 文档验收</w:t>
      </w:r>
      <w:bookmarkEnd w:id="75"/>
    </w:p>
    <w:p w14:paraId="6D38F47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完整交付需求报告、设计方案、接口文档、操作手册、运维手册、测试报告等全套资料，统一归档交付。</w:t>
      </w:r>
    </w:p>
    <w:p w14:paraId="2345654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2"/>
        <w:rPr>
          <w:rFonts w:hint="eastAsia" w:asciiTheme="minorEastAsia" w:hAnsiTheme="minorEastAsia" w:eastAsiaTheme="minorEastAsia" w:cstheme="minorEastAsia"/>
          <w:b/>
          <w:bCs/>
          <w:kern w:val="2"/>
          <w:sz w:val="21"/>
          <w:szCs w:val="21"/>
          <w:lang w:val="en-US" w:eastAsia="zh-CN" w:bidi="ar-SA"/>
        </w:rPr>
      </w:pPr>
      <w:bookmarkStart w:id="76" w:name="_Toc21579"/>
      <w:bookmarkStart w:id="77" w:name="_Toc11846"/>
      <w:r>
        <w:rPr>
          <w:rFonts w:hint="eastAsia" w:asciiTheme="minorEastAsia" w:hAnsiTheme="minorEastAsia" w:eastAsiaTheme="minorEastAsia" w:cstheme="minorEastAsia"/>
          <w:b/>
          <w:bCs/>
          <w:kern w:val="2"/>
          <w:sz w:val="21"/>
          <w:szCs w:val="21"/>
          <w:lang w:val="en-US" w:eastAsia="zh-CN" w:bidi="ar-SA"/>
        </w:rPr>
        <w:t>8 风险分析与应对措施</w:t>
      </w:r>
      <w:bookmarkEnd w:id="76"/>
      <w:bookmarkEnd w:id="77"/>
    </w:p>
    <w:p w14:paraId="26FB1F4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kern w:val="2"/>
          <w:sz w:val="21"/>
          <w:szCs w:val="21"/>
          <w:lang w:val="en-US" w:eastAsia="zh-CN" w:bidi="ar-SA"/>
        </w:rPr>
      </w:pPr>
      <w:bookmarkStart w:id="78" w:name="_Toc27668"/>
      <w:r>
        <w:rPr>
          <w:rFonts w:hint="eastAsia" w:asciiTheme="minorEastAsia" w:hAnsiTheme="minorEastAsia" w:eastAsiaTheme="minorEastAsia" w:cstheme="minorEastAsia"/>
          <w:b/>
          <w:bCs/>
          <w:kern w:val="2"/>
          <w:sz w:val="21"/>
          <w:szCs w:val="21"/>
          <w:lang w:val="en-US" w:eastAsia="zh-CN" w:bidi="ar-SA"/>
        </w:rPr>
        <w:t>8.1 技术风险</w:t>
      </w:r>
      <w:bookmarkEnd w:id="78"/>
    </w:p>
    <w:p w14:paraId="55235A8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多品牌、多型号老旧设备协议不统一，存在对接适配难度。应对：前期全面摸排设备型号，提前开展协议适配测试；采用通用中间件适配方案，分步联调，降低兼容风险。</w:t>
      </w:r>
    </w:p>
    <w:p w14:paraId="7D07C31E">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kern w:val="2"/>
          <w:sz w:val="21"/>
          <w:szCs w:val="21"/>
          <w:lang w:val="en-US" w:eastAsia="zh-CN" w:bidi="ar-SA"/>
        </w:rPr>
      </w:pPr>
      <w:bookmarkStart w:id="79" w:name="_Toc13170"/>
      <w:r>
        <w:rPr>
          <w:rFonts w:hint="eastAsia" w:asciiTheme="minorEastAsia" w:hAnsiTheme="minorEastAsia" w:eastAsiaTheme="minorEastAsia" w:cstheme="minorEastAsia"/>
          <w:b/>
          <w:bCs/>
          <w:kern w:val="2"/>
          <w:sz w:val="21"/>
          <w:szCs w:val="21"/>
          <w:lang w:val="en-US" w:eastAsia="zh-CN" w:bidi="ar-SA"/>
        </w:rPr>
        <w:t>8.2 进度风险</w:t>
      </w:r>
      <w:bookmarkEnd w:id="79"/>
    </w:p>
    <w:p w14:paraId="33E3439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业务需求调整、现场施工配合不到位，易造成工期延后。应对：前期锁定需求范围，建立变更管控机制；建立周例会协调机制，及时解决现场卡点问题。</w:t>
      </w:r>
    </w:p>
    <w:p w14:paraId="2E30456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kern w:val="2"/>
          <w:sz w:val="21"/>
          <w:szCs w:val="21"/>
          <w:lang w:val="en-US" w:eastAsia="zh-CN" w:bidi="ar-SA"/>
        </w:rPr>
      </w:pPr>
      <w:bookmarkStart w:id="80" w:name="_Toc19802"/>
      <w:r>
        <w:rPr>
          <w:rFonts w:hint="eastAsia" w:asciiTheme="minorEastAsia" w:hAnsiTheme="minorEastAsia" w:eastAsiaTheme="minorEastAsia" w:cstheme="minorEastAsia"/>
          <w:b/>
          <w:bCs/>
          <w:kern w:val="2"/>
          <w:sz w:val="21"/>
          <w:szCs w:val="21"/>
          <w:lang w:val="en-US" w:eastAsia="zh-CN" w:bidi="ar-SA"/>
        </w:rPr>
        <w:t>8.3 业务适配风险</w:t>
      </w:r>
      <w:bookmarkEnd w:id="80"/>
    </w:p>
    <w:p w14:paraId="45B98AF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员工长期依赖线下办公，线上化操作适应难度大。应对：系统贴合现有业务流程设计，操作轻量化；强化实操培训，试运行阶段专人驻场指导，逐步养成线上办公习惯。</w:t>
      </w:r>
    </w:p>
    <w:p w14:paraId="73A22D7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3"/>
        <w:rPr>
          <w:rFonts w:hint="eastAsia" w:asciiTheme="minorEastAsia" w:hAnsiTheme="minorEastAsia" w:eastAsiaTheme="minorEastAsia" w:cstheme="minorEastAsia"/>
          <w:b/>
          <w:bCs/>
          <w:kern w:val="2"/>
          <w:sz w:val="21"/>
          <w:szCs w:val="21"/>
          <w:lang w:val="en-US" w:eastAsia="zh-CN" w:bidi="ar-SA"/>
        </w:rPr>
      </w:pPr>
      <w:bookmarkStart w:id="81" w:name="_Toc6917"/>
      <w:r>
        <w:rPr>
          <w:rFonts w:hint="eastAsia" w:asciiTheme="minorEastAsia" w:hAnsiTheme="minorEastAsia" w:eastAsiaTheme="minorEastAsia" w:cstheme="minorEastAsia"/>
          <w:b/>
          <w:bCs/>
          <w:kern w:val="2"/>
          <w:sz w:val="21"/>
          <w:szCs w:val="21"/>
          <w:lang w:val="en-US" w:eastAsia="zh-CN" w:bidi="ar-SA"/>
        </w:rPr>
        <w:t>8.4 数据安全风险</w:t>
      </w:r>
      <w:bookmarkEnd w:id="81"/>
    </w:p>
    <w:p w14:paraId="31BD9511">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eastAsia" w:asciiTheme="minorEastAsia" w:hAnsiTheme="minorEastAsia" w:eastAsiaTheme="minorEastAsia" w:cstheme="minorEastAsia"/>
          <w:b w:val="0"/>
          <w:bCs w:val="0"/>
          <w:kern w:val="2"/>
          <w:sz w:val="21"/>
          <w:szCs w:val="21"/>
          <w:lang w:val="en-US" w:eastAsia="zh-CN" w:bidi="ar-SA"/>
        </w:rPr>
      </w:pPr>
      <w:r>
        <w:rPr>
          <w:rFonts w:hint="eastAsia" w:asciiTheme="minorEastAsia" w:hAnsiTheme="minorEastAsia" w:eastAsiaTheme="minorEastAsia" w:cstheme="minorEastAsia"/>
          <w:b w:val="0"/>
          <w:bCs w:val="0"/>
          <w:kern w:val="2"/>
          <w:sz w:val="21"/>
          <w:szCs w:val="21"/>
          <w:lang w:val="en-US" w:eastAsia="zh-CN" w:bidi="ar-SA"/>
        </w:rPr>
        <w:t>多类敏感运营数据、安全数据集中管理，存在泄露、篡改风险。应对：落实网络隔离、分级权限、数据加密、定期备份，全程操作留痕，全方位保障数据安全。</w:t>
      </w:r>
    </w:p>
    <w:p w14:paraId="0DEBAC7D">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left"/>
        <w:textAlignment w:val="auto"/>
        <w:outlineLvl w:val="2"/>
        <w:rPr>
          <w:rFonts w:hint="eastAsia" w:asciiTheme="minorEastAsia" w:hAnsiTheme="minorEastAsia" w:eastAsiaTheme="minorEastAsia" w:cstheme="minorEastAsia"/>
          <w:sz w:val="21"/>
          <w:szCs w:val="21"/>
          <w:lang w:val="en-US" w:eastAsia="zh-CN"/>
        </w:rPr>
      </w:pPr>
      <w:bookmarkStart w:id="82" w:name="_Toc9932"/>
      <w:bookmarkStart w:id="83" w:name="_Toc23946"/>
      <w:r>
        <w:rPr>
          <w:rFonts w:hint="eastAsia" w:asciiTheme="minorEastAsia" w:hAnsiTheme="minorEastAsia" w:eastAsiaTheme="minorEastAsia" w:cstheme="minorEastAsia"/>
          <w:b/>
          <w:bCs/>
          <w:kern w:val="2"/>
          <w:sz w:val="21"/>
          <w:szCs w:val="21"/>
          <w:lang w:val="en-US" w:eastAsia="zh-CN" w:bidi="ar-SA"/>
        </w:rPr>
        <w:t>9 硬件要求</w:t>
      </w:r>
      <w:bookmarkEnd w:id="82"/>
      <w:bookmarkEnd w:id="83"/>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7"/>
        <w:gridCol w:w="2395"/>
        <w:gridCol w:w="1872"/>
        <w:gridCol w:w="2128"/>
      </w:tblGrid>
      <w:tr w14:paraId="105A7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240" w:type="dxa"/>
            <w:shd w:val="clear" w:color="auto" w:fill="DCE6F2"/>
            <w:noWrap w:val="0"/>
            <w:vAlign w:val="center"/>
          </w:tcPr>
          <w:p w14:paraId="46E5ABE0">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设备名称</w:t>
            </w:r>
          </w:p>
        </w:tc>
        <w:tc>
          <w:tcPr>
            <w:tcW w:w="2512" w:type="dxa"/>
            <w:shd w:val="clear" w:color="auto" w:fill="DCE6F2"/>
            <w:noWrap w:val="0"/>
            <w:vAlign w:val="center"/>
          </w:tcPr>
          <w:p w14:paraId="79C52056">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规格要求</w:t>
            </w:r>
          </w:p>
        </w:tc>
        <w:tc>
          <w:tcPr>
            <w:tcW w:w="1968" w:type="dxa"/>
            <w:shd w:val="clear" w:color="auto" w:fill="DCE6F2"/>
            <w:noWrap w:val="0"/>
            <w:vAlign w:val="center"/>
          </w:tcPr>
          <w:p w14:paraId="21C2CFC9">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数量</w:t>
            </w:r>
          </w:p>
        </w:tc>
        <w:tc>
          <w:tcPr>
            <w:tcW w:w="2240" w:type="dxa"/>
            <w:shd w:val="clear" w:color="auto" w:fill="DCE6F2"/>
            <w:noWrap w:val="0"/>
            <w:vAlign w:val="center"/>
          </w:tcPr>
          <w:p w14:paraId="17578224">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备注</w:t>
            </w:r>
          </w:p>
        </w:tc>
      </w:tr>
      <w:tr w14:paraId="5BE07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trPr>
        <w:tc>
          <w:tcPr>
            <w:tcW w:w="2240" w:type="dxa"/>
            <w:noWrap w:val="0"/>
            <w:vAlign w:val="center"/>
          </w:tcPr>
          <w:p w14:paraId="3A87EAC4">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智慧大屏</w:t>
            </w:r>
          </w:p>
        </w:tc>
        <w:tc>
          <w:tcPr>
            <w:tcW w:w="2512" w:type="dxa"/>
            <w:noWrap w:val="0"/>
            <w:vAlign w:val="center"/>
          </w:tcPr>
          <w:p w14:paraId="40092887">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高清显示，支持视频拼接、多画面展示</w:t>
            </w:r>
          </w:p>
        </w:tc>
        <w:tc>
          <w:tcPr>
            <w:tcW w:w="1968" w:type="dxa"/>
            <w:noWrap w:val="0"/>
            <w:vAlign w:val="center"/>
          </w:tcPr>
          <w:p w14:paraId="09C7D38B">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块</w:t>
            </w:r>
          </w:p>
        </w:tc>
        <w:tc>
          <w:tcPr>
            <w:tcW w:w="2240" w:type="dxa"/>
            <w:noWrap w:val="0"/>
            <w:vAlign w:val="center"/>
          </w:tcPr>
          <w:p w14:paraId="4C8A6690">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使用</w:t>
            </w:r>
            <w:r>
              <w:rPr>
                <w:rFonts w:hint="eastAsia" w:asciiTheme="minorEastAsia" w:hAnsiTheme="minorEastAsia" w:eastAsiaTheme="minorEastAsia" w:cstheme="minorEastAsia"/>
                <w:sz w:val="21"/>
                <w:szCs w:val="21"/>
              </w:rPr>
              <w:t>能源研究院</w:t>
            </w:r>
            <w:r>
              <w:rPr>
                <w:rFonts w:hint="eastAsia" w:asciiTheme="minorEastAsia" w:hAnsiTheme="minorEastAsia" w:eastAsiaTheme="minorEastAsia" w:cstheme="minorEastAsia"/>
                <w:sz w:val="21"/>
                <w:szCs w:val="21"/>
                <w:lang w:val="en-US" w:eastAsia="zh-CN"/>
              </w:rPr>
              <w:t>现有大屏</w:t>
            </w:r>
          </w:p>
        </w:tc>
      </w:tr>
      <w:tr w14:paraId="081A7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2240" w:type="dxa"/>
            <w:noWrap w:val="0"/>
            <w:vAlign w:val="center"/>
          </w:tcPr>
          <w:p w14:paraId="6478E24B">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云服务器</w:t>
            </w:r>
          </w:p>
        </w:tc>
        <w:tc>
          <w:tcPr>
            <w:tcW w:w="2512" w:type="dxa"/>
            <w:noWrap w:val="0"/>
            <w:vAlign w:val="center"/>
          </w:tcPr>
          <w:p w14:paraId="4C5A3436">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企业级，满足系统运行与数据存储</w:t>
            </w:r>
          </w:p>
        </w:tc>
        <w:tc>
          <w:tcPr>
            <w:tcW w:w="1968" w:type="dxa"/>
            <w:noWrap w:val="0"/>
            <w:vAlign w:val="center"/>
          </w:tcPr>
          <w:p w14:paraId="79DC5D77">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1套</w:t>
            </w:r>
          </w:p>
        </w:tc>
        <w:tc>
          <w:tcPr>
            <w:tcW w:w="2240" w:type="dxa"/>
            <w:noWrap w:val="0"/>
            <w:vAlign w:val="center"/>
          </w:tcPr>
          <w:p w14:paraId="2E340B31">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按需配置</w:t>
            </w:r>
          </w:p>
        </w:tc>
      </w:tr>
      <w:tr w14:paraId="3C09B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240" w:type="dxa"/>
            <w:noWrap w:val="0"/>
            <w:vAlign w:val="center"/>
          </w:tcPr>
          <w:p w14:paraId="197ABC89">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网络设备</w:t>
            </w:r>
          </w:p>
        </w:tc>
        <w:tc>
          <w:tcPr>
            <w:tcW w:w="2512" w:type="dxa"/>
            <w:noWrap w:val="0"/>
            <w:vAlign w:val="center"/>
          </w:tcPr>
          <w:p w14:paraId="13E2A278">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满足数据传输与安全隔离</w:t>
            </w:r>
          </w:p>
        </w:tc>
        <w:tc>
          <w:tcPr>
            <w:tcW w:w="1968" w:type="dxa"/>
            <w:noWrap w:val="0"/>
            <w:vAlign w:val="center"/>
          </w:tcPr>
          <w:p w14:paraId="3BCC2A9D">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1批</w:t>
            </w:r>
          </w:p>
        </w:tc>
        <w:tc>
          <w:tcPr>
            <w:tcW w:w="2240" w:type="dxa"/>
            <w:noWrap w:val="0"/>
            <w:vAlign w:val="center"/>
          </w:tcPr>
          <w:p w14:paraId="7DBCB456">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利旧为主</w:t>
            </w:r>
          </w:p>
        </w:tc>
      </w:tr>
      <w:tr w14:paraId="4DC78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2240" w:type="dxa"/>
            <w:noWrap w:val="0"/>
            <w:vAlign w:val="center"/>
          </w:tcPr>
          <w:p w14:paraId="6D21204D">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移动终端</w:t>
            </w:r>
          </w:p>
        </w:tc>
        <w:tc>
          <w:tcPr>
            <w:tcW w:w="2512" w:type="dxa"/>
            <w:noWrap w:val="0"/>
            <w:vAlign w:val="center"/>
          </w:tcPr>
          <w:p w14:paraId="00420862">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支持手机APP安装使用</w:t>
            </w:r>
          </w:p>
        </w:tc>
        <w:tc>
          <w:tcPr>
            <w:tcW w:w="1968" w:type="dxa"/>
            <w:noWrap w:val="0"/>
            <w:vAlign w:val="center"/>
          </w:tcPr>
          <w:p w14:paraId="176B9E1A">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若干</w:t>
            </w:r>
          </w:p>
        </w:tc>
        <w:tc>
          <w:tcPr>
            <w:tcW w:w="2240" w:type="dxa"/>
            <w:noWrap w:val="0"/>
            <w:vAlign w:val="center"/>
          </w:tcPr>
          <w:p w14:paraId="1D219AB3">
            <w:pPr>
              <w:pageBreakBefore w:val="0"/>
              <w:kinsoku/>
              <w:wordWrap/>
              <w:overflowPunct/>
              <w:topLinePunct w:val="0"/>
              <w:autoSpaceDE/>
              <w:autoSpaceDN/>
              <w:bidi w:val="0"/>
              <w:adjustRightInd/>
              <w:snapToGrid/>
              <w:spacing w:after="0" w:line="36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现有手机</w:t>
            </w:r>
          </w:p>
        </w:tc>
      </w:tr>
    </w:tbl>
    <w:p w14:paraId="58F1E1CC">
      <w:pPr>
        <w:pStyle w:val="8"/>
        <w:pBdr>
          <w:top w:val="none" w:color="auto" w:sz="0" w:space="0"/>
          <w:left w:val="none" w:color="auto" w:sz="0" w:space="0"/>
          <w:bottom w:val="none" w:color="auto" w:sz="0" w:space="0"/>
          <w:right w:val="none" w:color="auto" w:sz="0" w:space="0"/>
        </w:pBdr>
        <w:adjustRightInd/>
        <w:snapToGrid/>
        <w:ind w:firstLine="422"/>
        <w:outlineLvl w:val="3"/>
        <w:rPr>
          <w:rFonts w:hint="eastAsia" w:asciiTheme="minorEastAsia" w:hAnsiTheme="minorEastAsia" w:eastAsiaTheme="minorEastAsia" w:cstheme="minorEastAsia"/>
          <w:kern w:val="2"/>
          <w:sz w:val="21"/>
          <w:szCs w:val="21"/>
          <w:lang w:val="en-US" w:eastAsia="zh-CN"/>
        </w:rPr>
      </w:pPr>
      <w:r>
        <w:rPr>
          <w:rFonts w:hint="eastAsia" w:asciiTheme="minorEastAsia" w:hAnsiTheme="minorEastAsia" w:eastAsiaTheme="minorEastAsia" w:cstheme="minorEastAsia"/>
          <w:kern w:val="2"/>
          <w:sz w:val="21"/>
          <w:szCs w:val="21"/>
          <w:lang w:val="en-US" w:eastAsia="zh-CN"/>
        </w:rPr>
        <w:t>10.报价要求</w:t>
      </w:r>
    </w:p>
    <w:p w14:paraId="332AD0DD">
      <w:pPr>
        <w:widowControl w:val="0"/>
        <w:bidi w:val="0"/>
        <w:adjustRightInd/>
        <w:snapToGrid/>
        <w:ind w:firstLine="420" w:firstLineChars="200"/>
        <w:jc w:val="both"/>
        <w:rPr>
          <w:rFonts w:hint="eastAsia" w:asciiTheme="minorEastAsia" w:hAnsiTheme="minorEastAsia" w:eastAsiaTheme="minorEastAsia" w:cstheme="minorEastAsia"/>
          <w:kern w:val="2"/>
          <w:szCs w:val="21"/>
        </w:rPr>
      </w:pPr>
      <w:r>
        <w:rPr>
          <w:rFonts w:hint="eastAsia" w:asciiTheme="minorEastAsia" w:hAnsiTheme="minorEastAsia" w:eastAsiaTheme="minorEastAsia" w:cstheme="minorEastAsia"/>
          <w:kern w:val="2"/>
          <w:szCs w:val="21"/>
        </w:rPr>
        <w:t>1.报价方式：以人民币报价。</w:t>
      </w:r>
    </w:p>
    <w:p w14:paraId="291FFF78">
      <w:pPr>
        <w:widowControl w:val="0"/>
        <w:bidi w:val="0"/>
        <w:adjustRightInd/>
        <w:snapToGrid/>
        <w:ind w:firstLine="420" w:firstLineChars="200"/>
        <w:jc w:val="both"/>
        <w:rPr>
          <w:rFonts w:hint="eastAsia" w:asciiTheme="minorEastAsia" w:hAnsiTheme="minorEastAsia" w:eastAsiaTheme="minorEastAsia" w:cstheme="minorEastAsia"/>
          <w:kern w:val="2"/>
          <w:szCs w:val="21"/>
        </w:rPr>
      </w:pPr>
      <w:r>
        <w:rPr>
          <w:rFonts w:hint="eastAsia" w:asciiTheme="minorEastAsia" w:hAnsiTheme="minorEastAsia" w:eastAsiaTheme="minorEastAsia" w:cstheme="minorEastAsia"/>
          <w:kern w:val="2"/>
          <w:szCs w:val="21"/>
        </w:rPr>
        <w:t>2.报价应包含完成本次采购所有标的内容的费用，包含服务费用、人工费、材料费、调试费、各种税务费及合同实施过程中的不可预见费用等全部费用（含采购文件所要求的必要的辅助材料费用)和售后服务费等。</w:t>
      </w:r>
    </w:p>
    <w:p w14:paraId="6C35C7A4">
      <w:pPr>
        <w:widowControl w:val="0"/>
        <w:bidi w:val="0"/>
        <w:adjustRightInd/>
        <w:snapToGrid/>
        <w:ind w:firstLine="420" w:firstLineChars="200"/>
        <w:jc w:val="both"/>
        <w:rPr>
          <w:rFonts w:hint="eastAsia" w:asciiTheme="minorEastAsia" w:hAnsiTheme="minorEastAsia" w:eastAsiaTheme="minorEastAsia" w:cstheme="minorEastAsia"/>
          <w:kern w:val="2"/>
          <w:szCs w:val="21"/>
          <w:lang w:eastAsia="zh-CN"/>
        </w:rPr>
      </w:pPr>
      <w:r>
        <w:rPr>
          <w:rFonts w:hint="eastAsia" w:asciiTheme="minorEastAsia" w:hAnsiTheme="minorEastAsia" w:eastAsiaTheme="minorEastAsia" w:cstheme="minorEastAsia"/>
          <w:kern w:val="2"/>
          <w:szCs w:val="21"/>
        </w:rPr>
        <w:t>3.报价应包含所有应支付的对专利权和版权、设计或其他知识产权而需要向其他方支付的版税</w:t>
      </w:r>
      <w:r>
        <w:rPr>
          <w:rFonts w:hint="eastAsia" w:asciiTheme="minorEastAsia" w:hAnsiTheme="minorEastAsia" w:eastAsiaTheme="minorEastAsia" w:cstheme="minorEastAsia"/>
          <w:kern w:val="2"/>
          <w:szCs w:val="21"/>
          <w:lang w:eastAsia="zh-CN"/>
        </w:rPr>
        <w:t>。</w:t>
      </w:r>
    </w:p>
    <w:p w14:paraId="0CC262B0">
      <w:pPr>
        <w:widowControl w:val="0"/>
        <w:adjustRightInd/>
        <w:snapToGrid/>
        <w:ind w:left="0" w:firstLine="420" w:firstLineChars="200"/>
        <w:jc w:val="both"/>
        <w:rPr>
          <w:rFonts w:hint="eastAsia" w:asciiTheme="minorEastAsia" w:hAnsiTheme="minorEastAsia" w:eastAsiaTheme="minorEastAsia" w:cstheme="minorEastAsia"/>
          <w:kern w:val="2"/>
          <w:szCs w:val="21"/>
        </w:rPr>
      </w:pPr>
      <w:r>
        <w:rPr>
          <w:rFonts w:hint="eastAsia" w:asciiTheme="minorEastAsia" w:hAnsiTheme="minorEastAsia" w:eastAsiaTheme="minorEastAsia" w:cstheme="minorEastAsia"/>
          <w:kern w:val="2"/>
          <w:szCs w:val="21"/>
          <w:lang w:val="en-US" w:eastAsia="zh-CN"/>
        </w:rPr>
        <w:t>4.</w:t>
      </w:r>
      <w:r>
        <w:rPr>
          <w:rFonts w:hint="eastAsia" w:asciiTheme="minorEastAsia" w:hAnsiTheme="minorEastAsia" w:eastAsiaTheme="minorEastAsia" w:cstheme="minorEastAsia"/>
          <w:kern w:val="2"/>
          <w:szCs w:val="21"/>
        </w:rPr>
        <w:t>本项目需要投标人对免费质保期后的每年运维费用进行报价，报价不得高于本项目投标报价的7%，前述费用不计入在本项目投标报价中。免费质保期后，采购人有权在不高于本次运维报价的情况下与中标人洽商确定运维费用。</w:t>
      </w:r>
    </w:p>
    <w:p w14:paraId="6CC5436C">
      <w:pPr>
        <w:widowControl w:val="0"/>
        <w:adjustRightInd/>
        <w:snapToGrid/>
        <w:ind w:firstLine="560" w:firstLineChars="200"/>
        <w:jc w:val="both"/>
        <w:rPr>
          <w:sz w:val="28"/>
          <w:szCs w:val="28"/>
        </w:rPr>
      </w:pPr>
      <w:r>
        <w:rPr>
          <w:rFonts w:hint="eastAsia"/>
          <w:sz w:val="28"/>
          <w:szCs w:val="28"/>
        </w:rPr>
        <w:br w:type="page"/>
      </w:r>
    </w:p>
    <w:p w14:paraId="0F7211BE">
      <w:pPr>
        <w:pStyle w:val="5"/>
        <w:spacing w:before="0" w:after="0" w:line="240" w:lineRule="auto"/>
        <w:rPr>
          <w:sz w:val="24"/>
          <w:szCs w:val="24"/>
        </w:rPr>
      </w:pPr>
      <w:bookmarkStart w:id="84" w:name="_Toc23482"/>
      <w:bookmarkStart w:id="85" w:name="_Toc23133"/>
      <w:r>
        <w:rPr>
          <w:rFonts w:hint="eastAsia"/>
          <w:sz w:val="28"/>
          <w:szCs w:val="28"/>
        </w:rPr>
        <w:t>第四部分投标人须知</w:t>
      </w:r>
      <w:bookmarkEnd w:id="84"/>
      <w:bookmarkEnd w:id="85"/>
    </w:p>
    <w:p w14:paraId="673B4052">
      <w:pPr>
        <w:pStyle w:val="6"/>
        <w:numPr>
          <w:ilvl w:val="0"/>
          <w:numId w:val="2"/>
        </w:numPr>
        <w:spacing w:before="0" w:after="0" w:line="480" w:lineRule="auto"/>
        <w:jc w:val="center"/>
        <w:rPr>
          <w:rFonts w:ascii="宋体" w:hAnsi="宋体"/>
        </w:rPr>
      </w:pPr>
      <w:bookmarkStart w:id="86" w:name="_Toc497"/>
      <w:bookmarkStart w:id="87" w:name="_Toc29659"/>
      <w:r>
        <w:rPr>
          <w:rFonts w:hint="eastAsia" w:ascii="宋体" w:hAnsi="宋体"/>
        </w:rPr>
        <w:t>说明</w:t>
      </w:r>
      <w:bookmarkEnd w:id="86"/>
      <w:bookmarkEnd w:id="87"/>
    </w:p>
    <w:p w14:paraId="4C87C24C">
      <w:pPr>
        <w:pStyle w:val="7"/>
        <w:widowControl w:val="0"/>
        <w:numPr>
          <w:ilvl w:val="0"/>
          <w:numId w:val="0"/>
        </w:numPr>
        <w:overflowPunct w:val="0"/>
        <w:ind w:left="425" w:leftChars="0" w:hanging="425" w:firstLineChars="0"/>
        <w:rPr>
          <w:rFonts w:ascii="宋体" w:hAnsi="宋体" w:cs="宋体"/>
          <w:sz w:val="21"/>
          <w:szCs w:val="21"/>
        </w:rPr>
      </w:pPr>
      <w:bookmarkStart w:id="88" w:name="_Toc3534"/>
      <w:bookmarkStart w:id="89" w:name="_Toc12159"/>
      <w:bookmarkStart w:id="90" w:name="_Toc3946"/>
      <w:r>
        <w:rPr>
          <w:rFonts w:hint="default" w:ascii="宋体" w:hAnsi="宋体" w:eastAsia="宋体" w:cs="宋体"/>
          <w:b/>
          <w:bCs/>
          <w:sz w:val="21"/>
          <w:szCs w:val="21"/>
          <w:lang w:val="en-US" w:eastAsia="zh-CN" w:bidi="ar-SA"/>
        </w:rPr>
        <w:t>1.</w:t>
      </w:r>
      <w:r>
        <w:rPr>
          <w:rFonts w:hint="eastAsia" w:ascii="宋体" w:hAnsi="宋体" w:cs="宋体"/>
          <w:sz w:val="21"/>
          <w:szCs w:val="21"/>
        </w:rPr>
        <w:t>适用范围</w:t>
      </w:r>
      <w:bookmarkEnd w:id="88"/>
      <w:bookmarkEnd w:id="89"/>
      <w:bookmarkEnd w:id="90"/>
    </w:p>
    <w:p w14:paraId="723E888F">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1.1.</w:t>
      </w:r>
      <w:r>
        <w:rPr>
          <w:rFonts w:hint="eastAsia" w:ascii="宋体" w:hAnsi="宋体" w:cs="宋体"/>
          <w:szCs w:val="21"/>
        </w:rPr>
        <w:t>采购范围：见本文件《用户需求书》</w:t>
      </w:r>
    </w:p>
    <w:p w14:paraId="6861EF25">
      <w:pPr>
        <w:rPr>
          <w:rFonts w:ascii="宋体" w:hAnsi="宋体" w:cs="宋体"/>
        </w:rPr>
      </w:pPr>
    </w:p>
    <w:p w14:paraId="28734A27">
      <w:pPr>
        <w:pStyle w:val="7"/>
        <w:widowControl w:val="0"/>
        <w:numPr>
          <w:ilvl w:val="0"/>
          <w:numId w:val="0"/>
        </w:numPr>
        <w:overflowPunct w:val="0"/>
        <w:ind w:left="425" w:leftChars="0" w:hanging="425" w:firstLineChars="0"/>
        <w:rPr>
          <w:rFonts w:ascii="宋体" w:hAnsi="宋体" w:cs="宋体"/>
          <w:vanish/>
          <w:szCs w:val="21"/>
        </w:rPr>
      </w:pPr>
      <w:bookmarkStart w:id="91" w:name="_Toc298847174"/>
      <w:bookmarkStart w:id="92" w:name="_Toc32424"/>
      <w:bookmarkStart w:id="93" w:name="_Toc20286"/>
      <w:bookmarkStart w:id="94" w:name="_Toc303084246"/>
      <w:bookmarkStart w:id="95" w:name="_Toc382049092"/>
      <w:bookmarkStart w:id="96" w:name="_Toc14042"/>
      <w:bookmarkStart w:id="97" w:name="_Toc1530"/>
      <w:r>
        <w:rPr>
          <w:rFonts w:hint="default" w:ascii="宋体" w:hAnsi="宋体" w:eastAsia="宋体" w:cs="宋体"/>
          <w:b/>
          <w:bCs/>
          <w:sz w:val="21"/>
          <w:szCs w:val="21"/>
          <w:lang w:val="en-US" w:eastAsia="zh-CN" w:bidi="ar-SA"/>
        </w:rPr>
        <w:t>2.</w:t>
      </w:r>
      <w:r>
        <w:rPr>
          <w:rFonts w:hint="eastAsia" w:ascii="宋体" w:hAnsi="宋体" w:cs="宋体"/>
          <w:sz w:val="21"/>
          <w:szCs w:val="21"/>
        </w:rPr>
        <w:t>定义</w:t>
      </w:r>
      <w:bookmarkEnd w:id="91"/>
      <w:bookmarkEnd w:id="92"/>
      <w:bookmarkEnd w:id="93"/>
      <w:bookmarkEnd w:id="94"/>
      <w:bookmarkEnd w:id="95"/>
      <w:bookmarkEnd w:id="96"/>
      <w:bookmarkEnd w:id="97"/>
    </w:p>
    <w:p w14:paraId="53AA295E">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2.1.</w:t>
      </w:r>
      <w:r>
        <w:rPr>
          <w:rFonts w:hint="eastAsia" w:ascii="宋体" w:hAnsi="宋体" w:cs="宋体"/>
          <w:szCs w:val="21"/>
        </w:rPr>
        <w:t>采购人：见投标邀请书。</w:t>
      </w:r>
    </w:p>
    <w:p w14:paraId="04934CF2">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2.2.</w:t>
      </w:r>
      <w:r>
        <w:rPr>
          <w:rFonts w:hint="eastAsia" w:ascii="宋体" w:hAnsi="宋体" w:cs="宋体"/>
          <w:szCs w:val="21"/>
        </w:rPr>
        <w:t>投标人：响应采购并且符合采购文件规定资格条件和参加投标竞争的法人、其他组织或者自然人。</w:t>
      </w:r>
    </w:p>
    <w:p w14:paraId="4027A346">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2.3.</w:t>
      </w:r>
      <w:r>
        <w:rPr>
          <w:rFonts w:hint="eastAsia" w:ascii="宋体" w:hAnsi="宋体" w:cs="宋体"/>
          <w:szCs w:val="21"/>
        </w:rPr>
        <w:t>法人：法人是依法在国内进行注册并具有民事权利能力和民事行为能力，依法独立享有民事权利和承担民事义务的组织。</w:t>
      </w:r>
    </w:p>
    <w:p w14:paraId="67ACDC45">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2.4.</w:t>
      </w:r>
      <w:r>
        <w:rPr>
          <w:rFonts w:hint="eastAsia" w:ascii="宋体" w:hAnsi="宋体" w:cs="宋体"/>
          <w:szCs w:val="21"/>
        </w:rPr>
        <w:t>中标人：指经评标委员会评审推荐、采购人确认的获得本项目中标资格的投标人。</w:t>
      </w:r>
    </w:p>
    <w:p w14:paraId="3D140858">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2.5.</w:t>
      </w:r>
      <w:r>
        <w:rPr>
          <w:rFonts w:hint="eastAsia" w:ascii="宋体" w:hAnsi="宋体" w:cs="宋体"/>
          <w:szCs w:val="21"/>
        </w:rPr>
        <w:t>采购代理机构：见投标邀请书。</w:t>
      </w:r>
    </w:p>
    <w:p w14:paraId="10057ADF">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2.6.</w:t>
      </w:r>
      <w:r>
        <w:rPr>
          <w:rFonts w:hint="eastAsia" w:ascii="宋体" w:hAnsi="宋体" w:cs="宋体"/>
          <w:szCs w:val="21"/>
        </w:rPr>
        <w:t>评标委员会：评标委员会是依据相关规定组建的专门负责本次采购其评标工作的临时性机构。</w:t>
      </w:r>
    </w:p>
    <w:p w14:paraId="4477D99E">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2.7.</w:t>
      </w:r>
      <w:r>
        <w:rPr>
          <w:rFonts w:hint="eastAsia" w:ascii="宋体" w:hAnsi="宋体" w:cs="宋体"/>
          <w:szCs w:val="21"/>
        </w:rPr>
        <w:t>合同：指由本次采购所产生的合同或合约文件。</w:t>
      </w:r>
    </w:p>
    <w:p w14:paraId="48C1B51C">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2.8.</w:t>
      </w:r>
      <w:r>
        <w:rPr>
          <w:rFonts w:hint="eastAsia" w:ascii="宋体" w:hAnsi="宋体" w:cs="宋体"/>
          <w:szCs w:val="21"/>
        </w:rPr>
        <w:t>公章：公章是指经过正规的法定程序并备案的法人公章与投标专用章。（投标人如在投标文件中使用“投标专用章”，应提供法定代表人签字或加盖公章说明该“投标专用章”与法人公章具备同等效力的证明文件，且投标当天应携带相关原件到现场，以供核查。因投标文件未提供相关手续复印件和无法核查投标专用章的真实性而导致的后果由投标人自行承担。）</w:t>
      </w:r>
    </w:p>
    <w:p w14:paraId="1971DAA9">
      <w:pPr>
        <w:widowControl w:val="0"/>
        <w:numPr>
          <w:ilvl w:val="1"/>
          <w:numId w:val="0"/>
        </w:numPr>
        <w:overflowPunct w:val="0"/>
        <w:ind w:left="567" w:leftChars="0" w:hanging="567" w:firstLineChars="0"/>
        <w:rPr>
          <w:rFonts w:ascii="宋体" w:hAnsi="宋体" w:cs="宋体"/>
        </w:rPr>
      </w:pPr>
      <w:r>
        <w:rPr>
          <w:rFonts w:hint="default" w:ascii="宋体" w:hAnsi="宋体" w:eastAsia="宋体" w:cs="宋体"/>
          <w:sz w:val="21"/>
          <w:szCs w:val="21"/>
          <w:lang w:val="en-US" w:eastAsia="zh-CN" w:bidi="ar-SA"/>
        </w:rPr>
        <w:t>2.9.</w:t>
      </w:r>
      <w:r>
        <w:rPr>
          <w:rFonts w:hint="eastAsia" w:ascii="宋体" w:hAnsi="宋体" w:cs="宋体"/>
          <w:szCs w:val="21"/>
        </w:rPr>
        <w:t>时间：本文件规定按日计算期间的，开始当天不计入，从次日开始计算。期限的最后一日是国家法定节假日的，顺延到节假日后的次日为期限的最后一日。</w:t>
      </w:r>
    </w:p>
    <w:p w14:paraId="34F0A886">
      <w:pPr>
        <w:pStyle w:val="7"/>
        <w:widowControl w:val="0"/>
        <w:numPr>
          <w:ilvl w:val="0"/>
          <w:numId w:val="0"/>
        </w:numPr>
        <w:overflowPunct w:val="0"/>
        <w:ind w:left="425" w:leftChars="0" w:hanging="425" w:firstLineChars="0"/>
        <w:rPr>
          <w:rFonts w:ascii="宋体" w:hAnsi="宋体" w:cs="宋体"/>
          <w:vanish/>
          <w:szCs w:val="21"/>
        </w:rPr>
      </w:pPr>
      <w:bookmarkStart w:id="98" w:name="_Toc11624"/>
      <w:bookmarkStart w:id="99" w:name="_Toc8290"/>
      <w:bookmarkStart w:id="100" w:name="_Toc31648"/>
      <w:r>
        <w:rPr>
          <w:rFonts w:hint="default" w:ascii="宋体" w:hAnsi="宋体" w:eastAsia="宋体" w:cs="宋体"/>
          <w:b/>
          <w:bCs/>
          <w:sz w:val="21"/>
          <w:szCs w:val="21"/>
          <w:lang w:val="en-US" w:eastAsia="zh-CN" w:bidi="ar-SA"/>
        </w:rPr>
        <w:t>3.</w:t>
      </w:r>
      <w:r>
        <w:rPr>
          <w:rFonts w:hint="eastAsia" w:ascii="宋体" w:hAnsi="宋体" w:cs="宋体"/>
          <w:sz w:val="21"/>
          <w:szCs w:val="21"/>
        </w:rPr>
        <w:t>货物和服务</w:t>
      </w:r>
      <w:bookmarkEnd w:id="98"/>
      <w:bookmarkEnd w:id="99"/>
      <w:bookmarkEnd w:id="100"/>
    </w:p>
    <w:p w14:paraId="5909A873">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3.1.</w:t>
      </w:r>
      <w:r>
        <w:rPr>
          <w:rFonts w:hint="eastAsia" w:ascii="宋体" w:hAnsi="宋体" w:cs="宋体"/>
          <w:szCs w:val="21"/>
        </w:rPr>
        <w:t>货物是指各种形态和种类的物品，包括原材料、燃料、设备、产品等。</w:t>
      </w:r>
    </w:p>
    <w:p w14:paraId="60ADD24E">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3.2.</w:t>
      </w:r>
      <w:r>
        <w:rPr>
          <w:rFonts w:hint="eastAsia" w:ascii="宋体" w:hAnsi="宋体" w:cs="宋体"/>
          <w:szCs w:val="21"/>
        </w:rPr>
        <w:t>服务是指除货物和工程以外的其他采购对象。</w:t>
      </w:r>
    </w:p>
    <w:p w14:paraId="7BEC68CF">
      <w:pPr>
        <w:rPr>
          <w:rFonts w:ascii="宋体" w:hAnsi="宋体" w:cs="宋体"/>
        </w:rPr>
      </w:pPr>
    </w:p>
    <w:p w14:paraId="06A04A5C">
      <w:pPr>
        <w:pStyle w:val="7"/>
        <w:widowControl w:val="0"/>
        <w:numPr>
          <w:ilvl w:val="0"/>
          <w:numId w:val="0"/>
        </w:numPr>
        <w:overflowPunct w:val="0"/>
        <w:ind w:left="425" w:leftChars="0" w:hanging="425" w:firstLineChars="0"/>
        <w:rPr>
          <w:rFonts w:ascii="宋体" w:hAnsi="宋体" w:cs="宋体"/>
          <w:vanish/>
          <w:szCs w:val="21"/>
        </w:rPr>
      </w:pPr>
      <w:bookmarkStart w:id="101" w:name="_Toc6581"/>
      <w:bookmarkStart w:id="102" w:name="_Toc15719"/>
      <w:bookmarkStart w:id="103" w:name="_Toc12170"/>
      <w:r>
        <w:rPr>
          <w:rFonts w:hint="default" w:ascii="宋体" w:hAnsi="宋体" w:eastAsia="宋体" w:cs="宋体"/>
          <w:b/>
          <w:bCs/>
          <w:sz w:val="21"/>
          <w:szCs w:val="21"/>
          <w:lang w:val="en-US" w:eastAsia="zh-CN" w:bidi="ar-SA"/>
        </w:rPr>
        <w:t>4.</w:t>
      </w:r>
      <w:r>
        <w:rPr>
          <w:rFonts w:hint="eastAsia" w:ascii="宋体" w:hAnsi="宋体" w:cs="宋体"/>
          <w:sz w:val="21"/>
          <w:szCs w:val="21"/>
        </w:rPr>
        <w:t>投标费用</w:t>
      </w:r>
      <w:bookmarkEnd w:id="101"/>
      <w:bookmarkEnd w:id="102"/>
      <w:bookmarkEnd w:id="103"/>
    </w:p>
    <w:p w14:paraId="45986FAF">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4.1.</w:t>
      </w:r>
      <w:r>
        <w:rPr>
          <w:rFonts w:hint="eastAsia" w:ascii="宋体" w:hAnsi="宋体" w:cs="宋体"/>
          <w:szCs w:val="21"/>
        </w:rPr>
        <w:t>投标人应承担所有与编写投标文件和参加投标有关的自身的所有费用，不论投标的结果如何，采购代理机构和采购人在任何情况下均无义务和责任承担这些费用。</w:t>
      </w:r>
    </w:p>
    <w:p w14:paraId="5222E049">
      <w:pPr>
        <w:pStyle w:val="7"/>
        <w:widowControl w:val="0"/>
        <w:numPr>
          <w:ilvl w:val="0"/>
          <w:numId w:val="0"/>
        </w:numPr>
        <w:overflowPunct w:val="0"/>
        <w:ind w:left="425" w:leftChars="0" w:hanging="425" w:firstLineChars="0"/>
        <w:rPr>
          <w:rFonts w:ascii="宋体" w:hAnsi="宋体" w:cs="宋体"/>
          <w:sz w:val="21"/>
          <w:szCs w:val="21"/>
        </w:rPr>
      </w:pPr>
      <w:bookmarkStart w:id="104" w:name="_Toc6180"/>
      <w:bookmarkStart w:id="105" w:name="_Toc5320"/>
      <w:bookmarkStart w:id="106" w:name="_Toc19367"/>
      <w:r>
        <w:rPr>
          <w:rFonts w:hint="default" w:ascii="宋体" w:hAnsi="宋体" w:eastAsia="宋体" w:cs="宋体"/>
          <w:b/>
          <w:bCs/>
          <w:sz w:val="21"/>
          <w:szCs w:val="21"/>
          <w:lang w:val="en-US" w:eastAsia="zh-CN" w:bidi="ar-SA"/>
        </w:rPr>
        <w:t>5.</w:t>
      </w:r>
      <w:r>
        <w:rPr>
          <w:rFonts w:hint="eastAsia" w:ascii="宋体" w:hAnsi="宋体" w:cs="宋体"/>
          <w:sz w:val="21"/>
          <w:szCs w:val="21"/>
        </w:rPr>
        <w:t>知识产权</w:t>
      </w:r>
      <w:bookmarkEnd w:id="104"/>
      <w:bookmarkEnd w:id="105"/>
      <w:bookmarkEnd w:id="106"/>
    </w:p>
    <w:p w14:paraId="61F6F5EB">
      <w:pPr>
        <w:pStyle w:val="43"/>
        <w:widowControl w:val="0"/>
        <w:adjustRightInd/>
        <w:snapToGrid/>
        <w:ind w:left="425" w:hanging="425" w:firstLineChars="0"/>
        <w:jc w:val="both"/>
        <w:rPr>
          <w:rFonts w:ascii="宋体" w:hAnsi="宋体" w:cs="宋体"/>
          <w:vanish/>
          <w:szCs w:val="21"/>
        </w:rPr>
      </w:pPr>
    </w:p>
    <w:p w14:paraId="1B2DBA27">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5.1.</w:t>
      </w:r>
      <w:r>
        <w:rPr>
          <w:rFonts w:hint="eastAsia" w:ascii="宋体" w:hAnsi="宋体" w:cs="宋体"/>
          <w:szCs w:val="21"/>
        </w:rPr>
        <w:t>投标人应保证在本项目使用的任何产品和服务（包括部分使用）时，不会产生因第三方提出侵犯其专利权、商标权或其它知识产权而引起的法律和经济纠纷，如因专利权、商标权或其它知识产权而引起法律和经济纠纷，由投标人承担所有相关责任。</w:t>
      </w:r>
    </w:p>
    <w:p w14:paraId="3C85A77C">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5.2.</w:t>
      </w:r>
      <w:r>
        <w:rPr>
          <w:rFonts w:hint="eastAsia" w:ascii="宋体" w:hAnsi="宋体" w:cs="宋体"/>
          <w:szCs w:val="21"/>
        </w:rPr>
        <w:t>采购人享有本项目实施过程中产生的知识成果及知识产权。</w:t>
      </w:r>
    </w:p>
    <w:p w14:paraId="32923766">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5.3.</w:t>
      </w:r>
      <w:r>
        <w:rPr>
          <w:rFonts w:hint="eastAsia" w:ascii="宋体" w:hAnsi="宋体" w:cs="宋体"/>
          <w:szCs w:val="21"/>
        </w:rPr>
        <w:t>投标人如欲在项目实施过程中采用自有知识成果，需在投标文件中声明，并提供相关知识产权证明文件。使用该知识成果后，投标人需提供开发接口和开发手册等技术文档。</w:t>
      </w:r>
    </w:p>
    <w:p w14:paraId="1756AC01">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5.4.</w:t>
      </w:r>
      <w:r>
        <w:rPr>
          <w:rFonts w:hint="eastAsia" w:ascii="宋体" w:hAnsi="宋体" w:cs="宋体"/>
          <w:szCs w:val="21"/>
        </w:rPr>
        <w:t>采购货物为计算机办公设备时，投标人提供的产品必须是预装正版操作系统软件的计算机产品。</w:t>
      </w:r>
    </w:p>
    <w:p w14:paraId="5644AFBF">
      <w:pPr>
        <w:pStyle w:val="7"/>
        <w:widowControl w:val="0"/>
        <w:numPr>
          <w:ilvl w:val="0"/>
          <w:numId w:val="0"/>
        </w:numPr>
        <w:overflowPunct w:val="0"/>
        <w:ind w:left="425" w:leftChars="0" w:hanging="425" w:firstLineChars="0"/>
        <w:rPr>
          <w:rFonts w:ascii="宋体" w:hAnsi="宋体" w:cs="宋体"/>
          <w:vanish/>
          <w:szCs w:val="21"/>
        </w:rPr>
      </w:pPr>
      <w:bookmarkStart w:id="107" w:name="_Toc7629"/>
      <w:bookmarkStart w:id="108" w:name="_Toc23807"/>
      <w:bookmarkStart w:id="109" w:name="_Toc2352"/>
      <w:r>
        <w:rPr>
          <w:rFonts w:hint="default" w:ascii="宋体" w:hAnsi="宋体" w:eastAsia="宋体" w:cs="宋体"/>
          <w:b/>
          <w:bCs/>
          <w:sz w:val="21"/>
          <w:szCs w:val="21"/>
          <w:lang w:val="en-US" w:eastAsia="zh-CN" w:bidi="ar-SA"/>
        </w:rPr>
        <w:t>6.</w:t>
      </w:r>
      <w:r>
        <w:rPr>
          <w:rFonts w:hint="eastAsia" w:ascii="宋体" w:hAnsi="宋体" w:cs="宋体"/>
          <w:sz w:val="21"/>
          <w:szCs w:val="21"/>
        </w:rPr>
        <w:t>关于联合体投标</w:t>
      </w:r>
      <w:bookmarkEnd w:id="107"/>
      <w:bookmarkEnd w:id="108"/>
      <w:bookmarkEnd w:id="109"/>
    </w:p>
    <w:p w14:paraId="2EA4CC9C">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6.1.</w:t>
      </w:r>
      <w:r>
        <w:rPr>
          <w:rFonts w:hint="eastAsia" w:ascii="宋体" w:hAnsi="宋体" w:cs="宋体"/>
          <w:szCs w:val="21"/>
        </w:rPr>
        <w:t>对接受联合体投标的项目：两个以上的自然人、法人或者其他组织可以组成一个联合体，以一个投标人的身份共同参加采购活动。</w:t>
      </w:r>
    </w:p>
    <w:p w14:paraId="2D97FBAE">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6.2.</w:t>
      </w:r>
      <w:r>
        <w:rPr>
          <w:rFonts w:hint="eastAsia" w:ascii="宋体" w:hAnsi="宋体" w:cs="宋体"/>
          <w:szCs w:val="21"/>
        </w:rPr>
        <w:t>以联合体形式参与项目的供应商在领购采购文件时，应提供所有联合体组成成员的营业执照复印件，并加盖各联合体组成成员的公章。</w:t>
      </w:r>
    </w:p>
    <w:p w14:paraId="63AB0870">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6.3.</w:t>
      </w:r>
      <w:r>
        <w:rPr>
          <w:rFonts w:hint="eastAsia" w:ascii="宋体" w:hAnsi="宋体" w:cs="宋体"/>
          <w:szCs w:val="21"/>
        </w:rPr>
        <w:t>联合体各方均应具有独立承担民事责任能力的法人或其他组织。</w:t>
      </w:r>
    </w:p>
    <w:p w14:paraId="2F92A796">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6.4.</w:t>
      </w:r>
      <w:r>
        <w:rPr>
          <w:rFonts w:hint="eastAsia" w:ascii="宋体" w:hAnsi="宋体" w:cs="宋体"/>
          <w:szCs w:val="21"/>
        </w:rPr>
        <w:t>两个以上的自然人、法人或者其他组织组成一个联合体，以一个供应商的身份共同参加采购活动的，应当对所有联合体成员进行信用记录查询，联合体成员存在不良信用记录的，视同联合体存在不良信用记录。</w:t>
      </w:r>
    </w:p>
    <w:p w14:paraId="08BD8134">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6.5.</w:t>
      </w:r>
      <w:r>
        <w:rPr>
          <w:rFonts w:hint="eastAsia" w:ascii="宋体" w:hAnsi="宋体" w:cs="宋体"/>
          <w:szCs w:val="21"/>
        </w:rPr>
        <w:t>采购文件对投标人资格条件有规定的，联合体各方均应当具备规定的相应资格条件。由同一专业的单位组成的联合体，按照资质等级较低的单位确定资质等级。</w:t>
      </w:r>
    </w:p>
    <w:p w14:paraId="007136C4">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6.6.</w:t>
      </w:r>
      <w:r>
        <w:rPr>
          <w:rFonts w:hint="eastAsia" w:ascii="宋体" w:hAnsi="宋体" w:cs="宋体"/>
          <w:szCs w:val="21"/>
        </w:rPr>
        <w:t>联合体各方之间应当签订共同投标协议并在投标文件内提交，明确约定联合体各方承担的工作和相应的责任。联合体各方签订共同投标协议后，不得再以自己名义单独在同一项目中投标，也不得组成新的联合体参加同一项目投标。</w:t>
      </w:r>
    </w:p>
    <w:p w14:paraId="7BDF4701">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6.7.</w:t>
      </w:r>
      <w:r>
        <w:rPr>
          <w:rFonts w:hint="eastAsia" w:ascii="宋体" w:hAnsi="宋体" w:cs="宋体"/>
          <w:szCs w:val="21"/>
        </w:rPr>
        <w:t>供应商为联合体的，可以由联合体中的任意一方交纳保证金，其交纳的保证金对联合体各方均具有约束力。</w:t>
      </w:r>
    </w:p>
    <w:p w14:paraId="4D28B7BF">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6.8.</w:t>
      </w:r>
      <w:r>
        <w:rPr>
          <w:rFonts w:hint="eastAsia" w:ascii="宋体" w:hAnsi="宋体" w:cs="宋体"/>
          <w:szCs w:val="21"/>
        </w:rPr>
        <w:t>除联合体协议明确授权盖章单位外，联合体投标时投标文件中所有要求盖章的地方均须加盖联合体所有组成成员的公章，否则该处盖章无效。</w:t>
      </w:r>
    </w:p>
    <w:p w14:paraId="639E3A4A">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6.9.</w:t>
      </w:r>
      <w:r>
        <w:rPr>
          <w:rFonts w:hint="eastAsia" w:ascii="宋体" w:hAnsi="宋体" w:cs="宋体"/>
          <w:szCs w:val="21"/>
        </w:rPr>
        <w:t>联合体进行评分时，业绩、奖项等的认定和评分根据共同投标协议约定的各方承担的工作和相应责任，确定一方打分，不累加打分；评审标准不明确或难以明确以哪一方计算评分情况时，则按主体方情况评分。</w:t>
      </w:r>
    </w:p>
    <w:p w14:paraId="2ABD26EB">
      <w:pPr>
        <w:pStyle w:val="7"/>
        <w:widowControl w:val="0"/>
        <w:numPr>
          <w:ilvl w:val="0"/>
          <w:numId w:val="0"/>
        </w:numPr>
        <w:overflowPunct w:val="0"/>
        <w:ind w:left="425" w:leftChars="0" w:hanging="425" w:firstLineChars="0"/>
        <w:rPr>
          <w:rFonts w:ascii="宋体" w:hAnsi="宋体" w:cs="宋体"/>
          <w:vanish/>
          <w:szCs w:val="21"/>
        </w:rPr>
      </w:pPr>
      <w:bookmarkStart w:id="110" w:name="_Toc28831"/>
      <w:bookmarkStart w:id="111" w:name="_Toc25970"/>
      <w:bookmarkStart w:id="112" w:name="_Toc3572"/>
      <w:r>
        <w:rPr>
          <w:rFonts w:hint="default" w:ascii="宋体" w:hAnsi="宋体" w:eastAsia="宋体" w:cs="宋体"/>
          <w:b/>
          <w:bCs/>
          <w:sz w:val="21"/>
          <w:szCs w:val="21"/>
          <w:lang w:val="en-US" w:eastAsia="zh-CN" w:bidi="ar-SA"/>
        </w:rPr>
        <w:t>7.</w:t>
      </w:r>
      <w:r>
        <w:rPr>
          <w:rFonts w:hint="eastAsia" w:ascii="宋体" w:hAnsi="宋体" w:cs="宋体"/>
          <w:sz w:val="21"/>
          <w:szCs w:val="21"/>
        </w:rPr>
        <w:t>关于分支机构投标</w:t>
      </w:r>
      <w:bookmarkEnd w:id="110"/>
      <w:bookmarkEnd w:id="111"/>
      <w:bookmarkEnd w:id="112"/>
      <w:bookmarkStart w:id="113" w:name="EB389f116341dd4693875bc7987e7327f3"/>
    </w:p>
    <w:p w14:paraId="3DACEE2E">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7.1.</w:t>
      </w:r>
      <w:r>
        <w:rPr>
          <w:rFonts w:hint="eastAsia" w:ascii="宋体" w:hAnsi="宋体" w:cs="宋体"/>
          <w:szCs w:val="21"/>
        </w:rPr>
        <w:t>对可接受分支机构投标的项目，分支机构投标的，需提供具有法人资格的总公司的营业执照原件扫描件及授权书，授权书须加盖总公司公章。总公司可就本项目或此类项目在一定范围或时间内出具授权书。已由总公司授权的，总公司取得的相关资质证书对分公司有效，法律法规或者行业另有规定的除外。</w:t>
      </w:r>
      <w:bookmarkEnd w:id="113"/>
    </w:p>
    <w:p w14:paraId="7B024358">
      <w:pPr>
        <w:pStyle w:val="7"/>
        <w:widowControl w:val="0"/>
        <w:numPr>
          <w:ilvl w:val="0"/>
          <w:numId w:val="0"/>
        </w:numPr>
        <w:overflowPunct w:val="0"/>
        <w:ind w:left="425" w:leftChars="0" w:hanging="425" w:firstLineChars="0"/>
        <w:rPr>
          <w:rFonts w:ascii="宋体" w:hAnsi="宋体" w:cs="宋体"/>
          <w:sz w:val="21"/>
          <w:szCs w:val="21"/>
        </w:rPr>
      </w:pPr>
      <w:bookmarkStart w:id="114" w:name="_Toc32661"/>
      <w:bookmarkStart w:id="115" w:name="_Toc26424"/>
      <w:r>
        <w:rPr>
          <w:rFonts w:hint="default" w:ascii="宋体" w:hAnsi="宋体" w:eastAsia="宋体" w:cs="宋体"/>
          <w:b/>
          <w:bCs/>
          <w:sz w:val="21"/>
          <w:szCs w:val="21"/>
          <w:lang w:val="en-US" w:eastAsia="zh-CN" w:bidi="ar-SA"/>
        </w:rPr>
        <w:t>8.</w:t>
      </w:r>
      <w:r>
        <w:rPr>
          <w:rFonts w:hint="eastAsia" w:ascii="宋体" w:hAnsi="宋体" w:cs="宋体"/>
          <w:sz w:val="21"/>
          <w:szCs w:val="21"/>
        </w:rPr>
        <w:t>踏勘现场</w:t>
      </w:r>
      <w:bookmarkEnd w:id="114"/>
      <w:bookmarkEnd w:id="115"/>
    </w:p>
    <w:p w14:paraId="125493A3">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8.1.</w:t>
      </w:r>
      <w:r>
        <w:rPr>
          <w:rFonts w:hint="eastAsia" w:ascii="宋体" w:hAnsi="宋体" w:cs="宋体"/>
          <w:szCs w:val="21"/>
        </w:rPr>
        <w:t>《投标资料表》规定组织踏勘现场的，采购人按《投标资料表》规定的时间、地点组织响应人踏勘项目现场；</w:t>
      </w:r>
    </w:p>
    <w:p w14:paraId="54ED4E9A">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8.2.</w:t>
      </w:r>
      <w:r>
        <w:rPr>
          <w:rFonts w:hint="eastAsia" w:ascii="宋体" w:hAnsi="宋体" w:cs="宋体"/>
          <w:szCs w:val="21"/>
        </w:rPr>
        <w:t>响应人踏勘现场发生的费用自理；</w:t>
      </w:r>
    </w:p>
    <w:p w14:paraId="47BCA4EF">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8.3.</w:t>
      </w:r>
      <w:r>
        <w:rPr>
          <w:rFonts w:hint="eastAsia" w:ascii="宋体" w:hAnsi="宋体" w:cs="宋体"/>
          <w:szCs w:val="21"/>
        </w:rPr>
        <w:t>除采购人的原因外，响应人自行负责在踏勘现场中所发生的人员伤亡和财产损失；</w:t>
      </w:r>
    </w:p>
    <w:p w14:paraId="2EAB1C0B">
      <w:pPr>
        <w:widowControl w:val="0"/>
        <w:numPr>
          <w:ilvl w:val="1"/>
          <w:numId w:val="0"/>
        </w:numPr>
        <w:overflowPunct w:val="0"/>
        <w:ind w:left="567" w:leftChars="0" w:hanging="567" w:firstLineChars="0"/>
        <w:rPr>
          <w:rFonts w:ascii="宋体" w:hAnsi="宋体" w:cs="宋体"/>
        </w:rPr>
      </w:pPr>
      <w:r>
        <w:rPr>
          <w:rFonts w:hint="default" w:ascii="宋体" w:hAnsi="宋体" w:eastAsia="宋体" w:cs="宋体"/>
          <w:sz w:val="21"/>
          <w:szCs w:val="21"/>
          <w:lang w:val="en-US" w:eastAsia="zh-CN" w:bidi="ar-SA"/>
        </w:rPr>
        <w:t>8.4.</w:t>
      </w:r>
      <w:r>
        <w:rPr>
          <w:rFonts w:hint="eastAsia" w:ascii="宋体" w:hAnsi="宋体" w:cs="宋体"/>
          <w:szCs w:val="21"/>
        </w:rPr>
        <w:t>采购人在踏勘现场中介绍的实施地点和相关的周边环境情况，供响应人在编制响应文件时参考，采购人不对响应人据此作出的判断和决策负责；</w:t>
      </w:r>
    </w:p>
    <w:p w14:paraId="7E435432">
      <w:pPr>
        <w:pStyle w:val="6"/>
        <w:numPr>
          <w:ilvl w:val="0"/>
          <w:numId w:val="2"/>
        </w:numPr>
        <w:spacing w:before="0" w:after="0" w:line="360" w:lineRule="auto"/>
        <w:jc w:val="center"/>
        <w:rPr>
          <w:rFonts w:ascii="宋体" w:hAnsi="宋体" w:cs="宋体"/>
        </w:rPr>
      </w:pPr>
      <w:bookmarkStart w:id="116" w:name="_Toc21092"/>
      <w:bookmarkStart w:id="117" w:name="_Toc5552"/>
      <w:bookmarkStart w:id="118" w:name="_Toc9444"/>
      <w:r>
        <w:rPr>
          <w:rFonts w:hint="eastAsia" w:ascii="宋体" w:hAnsi="宋体" w:cs="宋体"/>
        </w:rPr>
        <w:t>采购文件</w:t>
      </w:r>
      <w:bookmarkEnd w:id="116"/>
      <w:bookmarkEnd w:id="117"/>
      <w:bookmarkEnd w:id="118"/>
    </w:p>
    <w:p w14:paraId="313F319A">
      <w:pPr>
        <w:pStyle w:val="7"/>
        <w:widowControl w:val="0"/>
        <w:numPr>
          <w:ilvl w:val="0"/>
          <w:numId w:val="0"/>
        </w:numPr>
        <w:overflowPunct w:val="0"/>
        <w:ind w:left="425" w:leftChars="0" w:hanging="425" w:firstLineChars="0"/>
        <w:rPr>
          <w:rFonts w:ascii="宋体" w:hAnsi="宋体" w:cs="宋体"/>
          <w:sz w:val="21"/>
          <w:szCs w:val="21"/>
        </w:rPr>
      </w:pPr>
      <w:bookmarkStart w:id="119" w:name="_Toc8050"/>
      <w:bookmarkStart w:id="120" w:name="_Toc22780"/>
      <w:bookmarkStart w:id="121" w:name="_Toc10638"/>
      <w:r>
        <w:rPr>
          <w:rFonts w:hint="default" w:ascii="宋体" w:hAnsi="宋体" w:eastAsia="宋体" w:cs="宋体"/>
          <w:b/>
          <w:bCs/>
          <w:sz w:val="21"/>
          <w:szCs w:val="21"/>
          <w:lang w:val="en-US" w:eastAsia="zh-CN" w:bidi="ar-SA"/>
        </w:rPr>
        <w:t>9.</w:t>
      </w:r>
      <w:r>
        <w:rPr>
          <w:rFonts w:hint="eastAsia" w:ascii="宋体" w:hAnsi="宋体" w:cs="宋体"/>
          <w:sz w:val="21"/>
          <w:szCs w:val="21"/>
        </w:rPr>
        <w:t>采购文件的组成</w:t>
      </w:r>
      <w:bookmarkEnd w:id="119"/>
      <w:bookmarkEnd w:id="120"/>
      <w:bookmarkEnd w:id="121"/>
    </w:p>
    <w:p w14:paraId="554B6A35">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9.1.</w:t>
      </w:r>
      <w:r>
        <w:rPr>
          <w:rFonts w:hint="eastAsia" w:ascii="宋体" w:hAnsi="宋体" w:cs="宋体"/>
          <w:szCs w:val="21"/>
        </w:rPr>
        <w:t>采购文件包括：</w:t>
      </w:r>
    </w:p>
    <w:p w14:paraId="5CD6CCFD">
      <w:pPr>
        <w:widowControl w:val="0"/>
        <w:adjustRightInd/>
        <w:snapToGrid/>
        <w:jc w:val="both"/>
        <w:rPr>
          <w:rFonts w:ascii="宋体" w:hAnsi="宋体" w:cs="宋体"/>
          <w:szCs w:val="21"/>
        </w:rPr>
      </w:pPr>
      <w:r>
        <w:rPr>
          <w:rFonts w:hint="eastAsia" w:ascii="宋体" w:hAnsi="宋体" w:cs="宋体"/>
          <w:szCs w:val="21"/>
        </w:rPr>
        <w:t>（1）投标邀请书；</w:t>
      </w:r>
    </w:p>
    <w:p w14:paraId="105F7FD1">
      <w:pPr>
        <w:widowControl w:val="0"/>
        <w:adjustRightInd/>
        <w:snapToGrid/>
        <w:jc w:val="both"/>
        <w:rPr>
          <w:rFonts w:ascii="宋体" w:hAnsi="宋体" w:cs="宋体"/>
          <w:szCs w:val="21"/>
        </w:rPr>
      </w:pPr>
      <w:r>
        <w:rPr>
          <w:rFonts w:hint="eastAsia" w:ascii="宋体" w:hAnsi="宋体" w:cs="宋体"/>
          <w:szCs w:val="21"/>
        </w:rPr>
        <w:t>（2）投标资料表；</w:t>
      </w:r>
    </w:p>
    <w:p w14:paraId="725AAFCA">
      <w:pPr>
        <w:widowControl w:val="0"/>
        <w:adjustRightInd/>
        <w:snapToGrid/>
        <w:jc w:val="both"/>
        <w:rPr>
          <w:rFonts w:ascii="宋体" w:hAnsi="宋体" w:cs="宋体"/>
          <w:szCs w:val="21"/>
        </w:rPr>
      </w:pPr>
      <w:r>
        <w:rPr>
          <w:rFonts w:hint="eastAsia" w:ascii="宋体" w:hAnsi="宋体" w:cs="宋体"/>
          <w:szCs w:val="21"/>
        </w:rPr>
        <w:t>（3）用户需求书；</w:t>
      </w:r>
    </w:p>
    <w:p w14:paraId="2A253C0A">
      <w:pPr>
        <w:widowControl w:val="0"/>
        <w:adjustRightInd/>
        <w:snapToGrid/>
        <w:jc w:val="both"/>
        <w:rPr>
          <w:rFonts w:ascii="宋体" w:hAnsi="宋体" w:cs="宋体"/>
          <w:szCs w:val="21"/>
        </w:rPr>
      </w:pPr>
      <w:r>
        <w:rPr>
          <w:rFonts w:hint="eastAsia" w:ascii="宋体" w:hAnsi="宋体" w:cs="宋体"/>
          <w:szCs w:val="21"/>
        </w:rPr>
        <w:t>（4）投标人须知；</w:t>
      </w:r>
    </w:p>
    <w:p w14:paraId="54885E41">
      <w:pPr>
        <w:widowControl w:val="0"/>
        <w:adjustRightInd/>
        <w:snapToGrid/>
        <w:jc w:val="both"/>
        <w:rPr>
          <w:rFonts w:ascii="宋体" w:hAnsi="宋体" w:cs="宋体"/>
          <w:szCs w:val="21"/>
        </w:rPr>
      </w:pPr>
      <w:r>
        <w:rPr>
          <w:rFonts w:hint="eastAsia" w:ascii="宋体" w:hAnsi="宋体" w:cs="宋体"/>
          <w:szCs w:val="21"/>
        </w:rPr>
        <w:t>（5）拟签订的合同文本；</w:t>
      </w:r>
    </w:p>
    <w:p w14:paraId="12CEA8BA">
      <w:pPr>
        <w:widowControl w:val="0"/>
        <w:adjustRightInd/>
        <w:snapToGrid/>
        <w:jc w:val="both"/>
        <w:rPr>
          <w:rFonts w:ascii="宋体" w:hAnsi="宋体" w:cs="宋体"/>
          <w:szCs w:val="21"/>
        </w:rPr>
      </w:pPr>
      <w:r>
        <w:rPr>
          <w:rFonts w:hint="eastAsia" w:ascii="宋体" w:hAnsi="宋体" w:cs="宋体"/>
          <w:szCs w:val="21"/>
        </w:rPr>
        <w:t>（6）投标文件格式；</w:t>
      </w:r>
    </w:p>
    <w:p w14:paraId="0654D4F0">
      <w:pPr>
        <w:widowControl w:val="0"/>
        <w:adjustRightInd/>
        <w:snapToGrid/>
        <w:jc w:val="both"/>
        <w:rPr>
          <w:rFonts w:ascii="宋体" w:hAnsi="宋体" w:cs="宋体"/>
          <w:szCs w:val="21"/>
        </w:rPr>
      </w:pPr>
      <w:r>
        <w:rPr>
          <w:rFonts w:hint="eastAsia" w:ascii="宋体" w:hAnsi="宋体" w:cs="宋体"/>
          <w:szCs w:val="21"/>
        </w:rPr>
        <w:t>（7）在采购过程中由采购代理机构发出的澄清更正文件等。</w:t>
      </w:r>
    </w:p>
    <w:p w14:paraId="1D461EDE">
      <w:pPr>
        <w:rPr>
          <w:rFonts w:ascii="宋体" w:hAnsi="宋体" w:cs="宋体"/>
        </w:rPr>
      </w:pPr>
    </w:p>
    <w:p w14:paraId="7D82ED76">
      <w:pPr>
        <w:pStyle w:val="7"/>
        <w:widowControl w:val="0"/>
        <w:numPr>
          <w:ilvl w:val="0"/>
          <w:numId w:val="0"/>
        </w:numPr>
        <w:overflowPunct w:val="0"/>
        <w:ind w:left="425" w:leftChars="0" w:hanging="425" w:firstLineChars="0"/>
        <w:rPr>
          <w:rFonts w:ascii="宋体" w:hAnsi="宋体" w:cs="宋体"/>
          <w:sz w:val="21"/>
          <w:szCs w:val="21"/>
        </w:rPr>
      </w:pPr>
      <w:bookmarkStart w:id="122" w:name="_Toc7904"/>
      <w:bookmarkStart w:id="123" w:name="_Toc21392"/>
      <w:bookmarkStart w:id="124" w:name="_Toc24597"/>
      <w:r>
        <w:rPr>
          <w:rFonts w:hint="default" w:ascii="宋体" w:hAnsi="宋体" w:eastAsia="宋体" w:cs="宋体"/>
          <w:b/>
          <w:bCs/>
          <w:sz w:val="21"/>
          <w:szCs w:val="21"/>
          <w:lang w:val="en-US" w:eastAsia="zh-CN" w:bidi="ar-SA"/>
        </w:rPr>
        <w:t>10.</w:t>
      </w:r>
      <w:r>
        <w:rPr>
          <w:rFonts w:hint="eastAsia" w:ascii="宋体" w:hAnsi="宋体" w:cs="宋体"/>
          <w:sz w:val="21"/>
          <w:szCs w:val="21"/>
        </w:rPr>
        <w:t>采购文件的澄清或修改</w:t>
      </w:r>
      <w:bookmarkEnd w:id="122"/>
      <w:bookmarkEnd w:id="123"/>
      <w:bookmarkEnd w:id="124"/>
    </w:p>
    <w:p w14:paraId="2F46EAE6">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10.1.</w:t>
      </w:r>
      <w:r>
        <w:rPr>
          <w:rFonts w:hint="eastAsia" w:ascii="宋体" w:hAnsi="宋体" w:cs="宋体"/>
          <w:szCs w:val="21"/>
        </w:rPr>
        <w:t>采购人或者采购代理机构可以对已发出的采购文件、资格预审文件、投标邀请书进行必要的澄清或者修改。澄清或者修改的内容为采购文件、资格预审文件、投标邀请书的组成部分，具有约束作用。当采购文件、采购文件的澄清或修改等在同一内容的表述上不一致时，以最后发出的书面文件及公告为准。</w:t>
      </w:r>
    </w:p>
    <w:p w14:paraId="30B02485">
      <w:pPr>
        <w:widowControl w:val="0"/>
        <w:numPr>
          <w:ilvl w:val="1"/>
          <w:numId w:val="0"/>
        </w:numPr>
        <w:overflowPunct w:val="0"/>
        <w:ind w:left="567" w:leftChars="0" w:hanging="567" w:firstLineChars="0"/>
        <w:rPr>
          <w:rFonts w:ascii="宋体" w:hAnsi="宋体" w:cs="宋体"/>
          <w:b/>
          <w:bCs/>
          <w:szCs w:val="21"/>
        </w:rPr>
      </w:pPr>
      <w:r>
        <w:rPr>
          <w:rFonts w:hint="default" w:ascii="宋体" w:hAnsi="宋体" w:eastAsia="宋体" w:cs="宋体"/>
          <w:b/>
          <w:bCs/>
          <w:sz w:val="21"/>
          <w:szCs w:val="21"/>
          <w:lang w:val="en-US" w:eastAsia="zh-CN" w:bidi="ar-SA"/>
        </w:rPr>
        <w:t>10.2.</w:t>
      </w:r>
      <w:r>
        <w:rPr>
          <w:rFonts w:hint="eastAsia" w:ascii="宋体" w:hAnsi="宋体" w:cs="宋体"/>
          <w:b/>
          <w:bCs/>
          <w:szCs w:val="21"/>
        </w:rPr>
        <w:t>采购期间，投标人有义务上网查看，公告一经上网发布，即视为送达。因投标人未及时上网查看而造成的所有后果，由投标人自行承担。</w:t>
      </w:r>
    </w:p>
    <w:p w14:paraId="21E8EB83">
      <w:pPr>
        <w:widowControl w:val="0"/>
        <w:adjustRightInd/>
        <w:snapToGrid/>
        <w:ind w:left="567"/>
        <w:jc w:val="both"/>
        <w:rPr>
          <w:rFonts w:ascii="宋体" w:hAnsi="宋体" w:cs="宋体"/>
          <w:szCs w:val="21"/>
        </w:rPr>
      </w:pPr>
    </w:p>
    <w:p w14:paraId="2A1D08BF">
      <w:pPr>
        <w:pStyle w:val="6"/>
        <w:numPr>
          <w:ilvl w:val="0"/>
          <w:numId w:val="2"/>
        </w:numPr>
        <w:spacing w:before="0" w:after="0" w:line="360" w:lineRule="auto"/>
        <w:jc w:val="center"/>
        <w:rPr>
          <w:rFonts w:ascii="宋体" w:hAnsi="宋体" w:cs="宋体"/>
        </w:rPr>
      </w:pPr>
      <w:bookmarkStart w:id="125" w:name="_Toc29273"/>
      <w:bookmarkStart w:id="126" w:name="_Toc30185"/>
      <w:bookmarkStart w:id="127" w:name="_Toc12343"/>
      <w:r>
        <w:rPr>
          <w:rFonts w:hint="eastAsia" w:ascii="宋体" w:hAnsi="宋体" w:cs="宋体"/>
        </w:rPr>
        <w:t>投标文件的编制</w:t>
      </w:r>
      <w:bookmarkEnd w:id="125"/>
      <w:bookmarkEnd w:id="126"/>
      <w:bookmarkEnd w:id="127"/>
    </w:p>
    <w:p w14:paraId="0A86DB1E">
      <w:pPr>
        <w:pStyle w:val="7"/>
        <w:widowControl w:val="0"/>
        <w:numPr>
          <w:ilvl w:val="0"/>
          <w:numId w:val="0"/>
        </w:numPr>
        <w:overflowPunct w:val="0"/>
        <w:ind w:left="425" w:leftChars="0" w:hanging="425" w:firstLineChars="0"/>
        <w:rPr>
          <w:rFonts w:ascii="宋体" w:hAnsi="宋体" w:cs="宋体"/>
          <w:sz w:val="21"/>
          <w:szCs w:val="21"/>
        </w:rPr>
      </w:pPr>
      <w:bookmarkStart w:id="128" w:name="_Toc7248"/>
      <w:bookmarkStart w:id="129" w:name="_Toc16938"/>
      <w:bookmarkStart w:id="130" w:name="_Toc11906"/>
      <w:r>
        <w:rPr>
          <w:rFonts w:hint="default" w:ascii="宋体" w:hAnsi="宋体" w:eastAsia="宋体" w:cs="宋体"/>
          <w:b/>
          <w:bCs/>
          <w:sz w:val="21"/>
          <w:szCs w:val="21"/>
          <w:lang w:val="en-US" w:eastAsia="zh-CN" w:bidi="ar-SA"/>
        </w:rPr>
        <w:t>11.</w:t>
      </w:r>
      <w:r>
        <w:rPr>
          <w:rFonts w:hint="eastAsia" w:ascii="宋体" w:hAnsi="宋体" w:cs="宋体"/>
          <w:sz w:val="21"/>
          <w:szCs w:val="21"/>
        </w:rPr>
        <w:t>投标文件的语言及度量衡单位</w:t>
      </w:r>
      <w:bookmarkEnd w:id="128"/>
      <w:bookmarkEnd w:id="129"/>
      <w:bookmarkEnd w:id="130"/>
    </w:p>
    <w:p w14:paraId="477EC893">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11.1.</w:t>
      </w:r>
      <w:r>
        <w:rPr>
          <w:rFonts w:hint="eastAsia" w:ascii="宋体" w:hAnsi="宋体" w:cs="宋体"/>
          <w:szCs w:val="21"/>
        </w:rPr>
        <w:t>投标人提交的投标文件以及投标人与采购代理机构就有关投标的所有来往函件均应使用简体中文书写。投标人提交的支持资料和已印刷的文献可以用另一种语言，但相应内容应附有中文翻译本（中文译本应由翻译机构盖章或者翻译人员签名确认，否则按无效处理），在解释投标文件的修改内容时以中文翻译本为准。</w:t>
      </w:r>
    </w:p>
    <w:p w14:paraId="74948F4D">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11.2.</w:t>
      </w:r>
      <w:r>
        <w:rPr>
          <w:rFonts w:hint="eastAsia" w:ascii="宋体" w:hAnsi="宋体" w:cs="宋体"/>
          <w:szCs w:val="21"/>
        </w:rPr>
        <w:t>除非采购文件在技术规格中另有规定，投标人在投标文件中及其与采购代理机构和采购人所有往来文件中的所有计量单位均应采用中华人民共和国法定计量单位。</w:t>
      </w:r>
    </w:p>
    <w:p w14:paraId="37952642">
      <w:pPr>
        <w:widowControl w:val="0"/>
        <w:adjustRightInd/>
        <w:snapToGrid/>
        <w:ind w:left="567"/>
        <w:jc w:val="both"/>
        <w:rPr>
          <w:rFonts w:ascii="宋体" w:hAnsi="宋体" w:cs="宋体"/>
          <w:szCs w:val="21"/>
        </w:rPr>
      </w:pPr>
    </w:p>
    <w:p w14:paraId="7F09F9E1">
      <w:pPr>
        <w:pStyle w:val="7"/>
        <w:widowControl w:val="0"/>
        <w:numPr>
          <w:ilvl w:val="0"/>
          <w:numId w:val="0"/>
        </w:numPr>
        <w:overflowPunct w:val="0"/>
        <w:ind w:left="425" w:leftChars="0" w:hanging="425" w:firstLineChars="0"/>
        <w:rPr>
          <w:rFonts w:ascii="宋体" w:hAnsi="宋体" w:cs="宋体"/>
          <w:sz w:val="21"/>
          <w:szCs w:val="21"/>
        </w:rPr>
      </w:pPr>
      <w:bookmarkStart w:id="131" w:name="_Toc21130"/>
      <w:bookmarkStart w:id="132" w:name="_Toc307934854"/>
      <w:bookmarkStart w:id="133" w:name="_Toc11466"/>
      <w:bookmarkStart w:id="134" w:name="_Toc13781"/>
      <w:bookmarkStart w:id="135" w:name="_Toc28866"/>
      <w:bookmarkStart w:id="136" w:name="_Toc382049103"/>
      <w:bookmarkStart w:id="137" w:name="_Toc303084256"/>
      <w:r>
        <w:rPr>
          <w:rFonts w:hint="default" w:ascii="宋体" w:hAnsi="宋体" w:eastAsia="宋体" w:cs="宋体"/>
          <w:b/>
          <w:bCs/>
          <w:sz w:val="21"/>
          <w:szCs w:val="21"/>
          <w:lang w:val="en-US" w:eastAsia="zh-CN" w:bidi="ar-SA"/>
        </w:rPr>
        <w:t>12.</w:t>
      </w:r>
      <w:r>
        <w:rPr>
          <w:rFonts w:hint="eastAsia" w:ascii="宋体" w:hAnsi="宋体" w:cs="宋体"/>
          <w:sz w:val="21"/>
          <w:szCs w:val="21"/>
        </w:rPr>
        <w:t>投标文件的组成</w:t>
      </w:r>
      <w:bookmarkEnd w:id="131"/>
      <w:bookmarkEnd w:id="132"/>
      <w:bookmarkEnd w:id="133"/>
      <w:bookmarkEnd w:id="134"/>
      <w:bookmarkEnd w:id="135"/>
      <w:bookmarkEnd w:id="136"/>
      <w:bookmarkEnd w:id="137"/>
    </w:p>
    <w:p w14:paraId="3FC6CCCD">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12.1.</w:t>
      </w:r>
      <w:r>
        <w:rPr>
          <w:rFonts w:hint="eastAsia" w:ascii="宋体" w:hAnsi="宋体" w:cs="宋体"/>
          <w:szCs w:val="21"/>
        </w:rPr>
        <w:t>包括但不限于采购文件附件格式中要求提供的表格。</w:t>
      </w:r>
    </w:p>
    <w:p w14:paraId="14C40A8D">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12.2.</w:t>
      </w:r>
      <w:r>
        <w:rPr>
          <w:rFonts w:hint="eastAsia" w:ascii="宋体" w:hAnsi="宋体" w:cs="宋体"/>
          <w:szCs w:val="21"/>
        </w:rPr>
        <w:t>上述文件须按顺序装订成册，并编制投标文件目录。除上述文件资料外投标人还须按投标人须知的要求制作“唱标信封”。“唱标信封”作为投标文件的一部分，但须单独密封。</w:t>
      </w:r>
    </w:p>
    <w:p w14:paraId="73856332">
      <w:pPr>
        <w:rPr>
          <w:rFonts w:ascii="宋体" w:hAnsi="宋体" w:cs="宋体"/>
        </w:rPr>
      </w:pPr>
    </w:p>
    <w:p w14:paraId="4245613D">
      <w:pPr>
        <w:pStyle w:val="7"/>
        <w:widowControl w:val="0"/>
        <w:numPr>
          <w:ilvl w:val="0"/>
          <w:numId w:val="0"/>
        </w:numPr>
        <w:overflowPunct w:val="0"/>
        <w:ind w:left="425" w:leftChars="0" w:hanging="425" w:firstLineChars="0"/>
        <w:rPr>
          <w:rFonts w:ascii="宋体" w:hAnsi="宋体" w:cs="宋体"/>
          <w:sz w:val="21"/>
          <w:szCs w:val="21"/>
        </w:rPr>
      </w:pPr>
      <w:bookmarkStart w:id="138" w:name="_Toc13822"/>
      <w:bookmarkStart w:id="139" w:name="_Toc755"/>
      <w:bookmarkStart w:id="140" w:name="_Toc10286"/>
      <w:r>
        <w:rPr>
          <w:rFonts w:hint="default" w:ascii="宋体" w:hAnsi="宋体" w:eastAsia="宋体" w:cs="宋体"/>
          <w:b/>
          <w:bCs/>
          <w:sz w:val="21"/>
          <w:szCs w:val="21"/>
          <w:lang w:val="en-US" w:eastAsia="zh-CN" w:bidi="ar-SA"/>
        </w:rPr>
        <w:t>13.</w:t>
      </w:r>
      <w:r>
        <w:rPr>
          <w:rFonts w:hint="eastAsia" w:ascii="宋体" w:hAnsi="宋体" w:cs="宋体"/>
          <w:sz w:val="21"/>
          <w:szCs w:val="21"/>
        </w:rPr>
        <w:t>投标文件编制</w:t>
      </w:r>
      <w:bookmarkEnd w:id="138"/>
      <w:bookmarkEnd w:id="139"/>
      <w:bookmarkEnd w:id="140"/>
    </w:p>
    <w:p w14:paraId="5B0E86C7">
      <w:pPr>
        <w:widowControl w:val="0"/>
        <w:numPr>
          <w:ilvl w:val="1"/>
          <w:numId w:val="0"/>
        </w:numPr>
        <w:overflowPunct w:val="0"/>
        <w:ind w:left="567" w:leftChars="0" w:hanging="567" w:firstLineChars="0"/>
        <w:rPr>
          <w:rFonts w:ascii="宋体" w:hAnsi="宋体" w:cs="宋体"/>
          <w:szCs w:val="21"/>
        </w:rPr>
      </w:pPr>
      <w:bookmarkStart w:id="141" w:name="_Toc303084258"/>
      <w:r>
        <w:rPr>
          <w:rFonts w:hint="default" w:ascii="宋体" w:hAnsi="宋体" w:eastAsia="宋体" w:cs="宋体"/>
          <w:sz w:val="21"/>
          <w:szCs w:val="21"/>
          <w:lang w:val="en-US" w:eastAsia="zh-CN" w:bidi="ar-SA"/>
        </w:rPr>
        <w:t>13.1.</w:t>
      </w:r>
      <w:r>
        <w:rPr>
          <w:rFonts w:hint="eastAsia" w:ascii="宋体" w:hAnsi="宋体" w:cs="宋体"/>
          <w:szCs w:val="21"/>
        </w:rPr>
        <w:t>投标人应按采购文件的规定以及附件要求的内容和格式完整地填写（表格可以按同样格式扩展）和提供资料，投标人必须对投标文件所提供的全部材料的真实性承担法律责任，并无条件接受采购人或采购代理机构对其中任何资料进行核实的要求。</w:t>
      </w:r>
    </w:p>
    <w:p w14:paraId="226F7F07">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13.2.</w:t>
      </w:r>
      <w:r>
        <w:rPr>
          <w:rFonts w:hint="eastAsia" w:ascii="宋体" w:hAnsi="宋体" w:cs="宋体"/>
          <w:szCs w:val="21"/>
        </w:rPr>
        <w:t>因投标文件编制存在歧义对投标人产生负面影响的，投标人自行承担后果。</w:t>
      </w:r>
    </w:p>
    <w:p w14:paraId="35363C59">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13.3.</w:t>
      </w:r>
      <w:r>
        <w:rPr>
          <w:rFonts w:hint="eastAsia" w:ascii="宋体" w:hAnsi="宋体" w:cs="宋体"/>
          <w:szCs w:val="21"/>
        </w:rPr>
        <w:t>投标单位名称与投标人公章不一致，若投标单位名称已进行变更，应在投标文件中提供相应的证明材料并加盖公章，否则投标文件无效。</w:t>
      </w:r>
    </w:p>
    <w:p w14:paraId="54A3C04D">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13.4.</w:t>
      </w:r>
      <w:r>
        <w:rPr>
          <w:rFonts w:hint="eastAsia" w:ascii="宋体" w:hAnsi="宋体" w:cs="宋体"/>
          <w:szCs w:val="21"/>
        </w:rPr>
        <w:t>投标文件密封、标记及内容与本项目采购信息不符，导致无法分辨所投项目为本项目的，投标文件无效。</w:t>
      </w:r>
    </w:p>
    <w:p w14:paraId="3F5ADC6C">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13.5.</w:t>
      </w:r>
      <w:r>
        <w:rPr>
          <w:rFonts w:hint="eastAsia" w:ascii="宋体" w:hAnsi="宋体" w:cs="宋体"/>
          <w:szCs w:val="21"/>
        </w:rPr>
        <w:t>投标人须客观撰写投标人简介（格式自理，并提供相关证明）以及所投的产品或服务说明。</w:t>
      </w:r>
    </w:p>
    <w:p w14:paraId="1AF8669B">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13.6.</w:t>
      </w:r>
      <w:r>
        <w:rPr>
          <w:rFonts w:hint="eastAsia" w:ascii="宋体" w:hAnsi="宋体" w:cs="宋体"/>
          <w:szCs w:val="21"/>
        </w:rPr>
        <w:t>投标文件若出现以下内容，经评标委员会认定有可能间接影响评审秩序，作废标处理。</w:t>
      </w:r>
    </w:p>
    <w:p w14:paraId="32CBD5B5">
      <w:pPr>
        <w:pStyle w:val="43"/>
        <w:widowControl w:val="0"/>
        <w:numPr>
          <w:ilvl w:val="0"/>
          <w:numId w:val="3"/>
        </w:numPr>
        <w:adjustRightInd/>
        <w:snapToGrid/>
        <w:ind w:firstLineChars="0"/>
        <w:jc w:val="both"/>
        <w:rPr>
          <w:rFonts w:ascii="宋体" w:hAnsi="宋体" w:cs="宋体"/>
          <w:szCs w:val="21"/>
        </w:rPr>
      </w:pPr>
      <w:r>
        <w:rPr>
          <w:rFonts w:hint="eastAsia" w:ascii="宋体" w:hAnsi="宋体" w:cs="宋体"/>
          <w:szCs w:val="21"/>
        </w:rPr>
        <w:t>投标文件内出现无官方证明文件的行业地域排名或使用“国家级”、“最高级”、“最佳”等用语字眼的。</w:t>
      </w:r>
    </w:p>
    <w:p w14:paraId="4E201FA2">
      <w:pPr>
        <w:pStyle w:val="43"/>
        <w:widowControl w:val="0"/>
        <w:numPr>
          <w:ilvl w:val="0"/>
          <w:numId w:val="3"/>
        </w:numPr>
        <w:adjustRightInd/>
        <w:snapToGrid/>
        <w:ind w:firstLineChars="0"/>
        <w:jc w:val="both"/>
        <w:rPr>
          <w:rFonts w:ascii="宋体" w:hAnsi="宋体" w:cs="宋体"/>
          <w:szCs w:val="21"/>
        </w:rPr>
      </w:pPr>
      <w:r>
        <w:rPr>
          <w:rFonts w:hint="eastAsia" w:ascii="宋体" w:hAnsi="宋体" w:cs="宋体"/>
          <w:szCs w:val="21"/>
        </w:rPr>
        <w:t>投标文件内出现恶意诋毁、贬低其他生产经营者的商品或者服务的内容。</w:t>
      </w:r>
    </w:p>
    <w:p w14:paraId="5A78F6DA">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13.7.</w:t>
      </w:r>
      <w:r>
        <w:rPr>
          <w:rFonts w:hint="eastAsia" w:ascii="宋体" w:hAnsi="宋体" w:cs="宋体"/>
          <w:szCs w:val="21"/>
        </w:rPr>
        <w:t>有下列情形之一的，视为投标人串通投标，其投标无效：</w:t>
      </w:r>
    </w:p>
    <w:p w14:paraId="1E2DE15A">
      <w:pPr>
        <w:widowControl w:val="0"/>
        <w:adjustRightInd/>
        <w:snapToGrid/>
        <w:ind w:firstLine="420" w:firstLineChars="200"/>
        <w:jc w:val="both"/>
        <w:rPr>
          <w:rFonts w:ascii="宋体" w:hAnsi="宋体" w:cs="宋体"/>
          <w:szCs w:val="21"/>
        </w:rPr>
      </w:pPr>
      <w:r>
        <w:rPr>
          <w:rFonts w:hint="eastAsia" w:ascii="宋体" w:hAnsi="宋体" w:cs="宋体"/>
          <w:szCs w:val="21"/>
        </w:rPr>
        <w:t>（1）不同投标人的投标文件由同一单位或者个人编制；</w:t>
      </w:r>
    </w:p>
    <w:p w14:paraId="14926D69">
      <w:pPr>
        <w:widowControl w:val="0"/>
        <w:adjustRightInd/>
        <w:snapToGrid/>
        <w:ind w:firstLine="420" w:firstLineChars="200"/>
        <w:jc w:val="both"/>
        <w:rPr>
          <w:rFonts w:ascii="宋体" w:hAnsi="宋体" w:cs="宋体"/>
          <w:szCs w:val="21"/>
        </w:rPr>
      </w:pPr>
      <w:r>
        <w:rPr>
          <w:rFonts w:hint="eastAsia" w:ascii="宋体" w:hAnsi="宋体" w:cs="宋体"/>
          <w:szCs w:val="21"/>
        </w:rPr>
        <w:t>（2）不同投标人委托同一单位或者个人办理投标事宜；</w:t>
      </w:r>
    </w:p>
    <w:p w14:paraId="21C76A04">
      <w:pPr>
        <w:widowControl w:val="0"/>
        <w:adjustRightInd/>
        <w:snapToGrid/>
        <w:ind w:firstLine="420" w:firstLineChars="200"/>
        <w:jc w:val="both"/>
        <w:rPr>
          <w:rFonts w:ascii="宋体" w:hAnsi="宋体" w:cs="宋体"/>
          <w:szCs w:val="21"/>
        </w:rPr>
      </w:pPr>
      <w:r>
        <w:rPr>
          <w:rFonts w:hint="eastAsia" w:ascii="宋体" w:hAnsi="宋体" w:cs="宋体"/>
          <w:szCs w:val="21"/>
        </w:rPr>
        <w:t>（3）不同投标人的投标文件载明的项目管理成员或者联系人员为同一人；</w:t>
      </w:r>
    </w:p>
    <w:p w14:paraId="379CB5C4">
      <w:pPr>
        <w:widowControl w:val="0"/>
        <w:adjustRightInd/>
        <w:snapToGrid/>
        <w:ind w:firstLine="420" w:firstLineChars="200"/>
        <w:jc w:val="both"/>
        <w:rPr>
          <w:rFonts w:ascii="宋体" w:hAnsi="宋体" w:cs="宋体"/>
          <w:szCs w:val="21"/>
        </w:rPr>
      </w:pPr>
      <w:r>
        <w:rPr>
          <w:rFonts w:hint="eastAsia" w:ascii="宋体" w:hAnsi="宋体" w:cs="宋体"/>
          <w:szCs w:val="21"/>
        </w:rPr>
        <w:t>（4）不同投标人的投标文件异常一致或者投标报价呈规律性差异；</w:t>
      </w:r>
    </w:p>
    <w:p w14:paraId="08975547">
      <w:pPr>
        <w:widowControl w:val="0"/>
        <w:adjustRightInd/>
        <w:snapToGrid/>
        <w:ind w:firstLine="420" w:firstLineChars="200"/>
        <w:jc w:val="both"/>
        <w:rPr>
          <w:rFonts w:ascii="宋体" w:hAnsi="宋体" w:cs="宋体"/>
          <w:szCs w:val="21"/>
        </w:rPr>
      </w:pPr>
      <w:r>
        <w:rPr>
          <w:rFonts w:hint="eastAsia" w:ascii="宋体" w:hAnsi="宋体" w:cs="宋体"/>
          <w:szCs w:val="21"/>
        </w:rPr>
        <w:t>（5）不同投标人的投标文件相互混装；</w:t>
      </w:r>
    </w:p>
    <w:p w14:paraId="7F878501">
      <w:pPr>
        <w:widowControl w:val="0"/>
        <w:adjustRightInd/>
        <w:snapToGrid/>
        <w:ind w:firstLine="420" w:firstLineChars="200"/>
        <w:jc w:val="both"/>
        <w:rPr>
          <w:rFonts w:ascii="宋体" w:hAnsi="宋体" w:cs="宋体"/>
          <w:szCs w:val="21"/>
        </w:rPr>
      </w:pPr>
      <w:r>
        <w:rPr>
          <w:rFonts w:hint="eastAsia" w:ascii="宋体" w:hAnsi="宋体" w:cs="宋体"/>
          <w:szCs w:val="21"/>
        </w:rPr>
        <w:t>（6）不同投标人的投标保证金从同一单位或者个人的账户转出。</w:t>
      </w:r>
    </w:p>
    <w:bookmarkEnd w:id="141"/>
    <w:p w14:paraId="03761692">
      <w:pPr>
        <w:rPr>
          <w:rFonts w:ascii="宋体" w:hAnsi="宋体" w:cs="宋体"/>
        </w:rPr>
      </w:pPr>
    </w:p>
    <w:p w14:paraId="20140BB7">
      <w:pPr>
        <w:pStyle w:val="7"/>
        <w:widowControl w:val="0"/>
        <w:numPr>
          <w:ilvl w:val="0"/>
          <w:numId w:val="0"/>
        </w:numPr>
        <w:overflowPunct w:val="0"/>
        <w:ind w:left="425" w:leftChars="0" w:hanging="425" w:firstLineChars="0"/>
        <w:rPr>
          <w:rFonts w:ascii="宋体" w:hAnsi="宋体" w:cs="宋体"/>
          <w:sz w:val="21"/>
          <w:szCs w:val="21"/>
        </w:rPr>
      </w:pPr>
      <w:bookmarkStart w:id="142" w:name="_Toc6154"/>
      <w:bookmarkStart w:id="143" w:name="_Toc8315"/>
      <w:bookmarkStart w:id="144" w:name="_Toc22153"/>
      <w:r>
        <w:rPr>
          <w:rFonts w:hint="default" w:ascii="宋体" w:hAnsi="宋体" w:eastAsia="宋体" w:cs="宋体"/>
          <w:b/>
          <w:bCs/>
          <w:sz w:val="21"/>
          <w:szCs w:val="21"/>
          <w:lang w:val="en-US" w:eastAsia="zh-CN" w:bidi="ar-SA"/>
        </w:rPr>
        <w:t>14.</w:t>
      </w:r>
      <w:r>
        <w:rPr>
          <w:rFonts w:hint="eastAsia" w:ascii="宋体" w:hAnsi="宋体" w:cs="宋体"/>
          <w:sz w:val="21"/>
          <w:szCs w:val="21"/>
        </w:rPr>
        <w:t>投标报价说明</w:t>
      </w:r>
      <w:bookmarkEnd w:id="142"/>
      <w:bookmarkEnd w:id="143"/>
      <w:bookmarkEnd w:id="144"/>
    </w:p>
    <w:p w14:paraId="3054DAFC">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14.1.</w:t>
      </w:r>
      <w:r>
        <w:rPr>
          <w:rFonts w:hint="eastAsia" w:ascii="宋体" w:hAnsi="宋体" w:cs="宋体"/>
          <w:szCs w:val="21"/>
        </w:rPr>
        <w:t>本次采购，投标人应按用户需求中的要求进行投标报价，少报无效。</w:t>
      </w:r>
    </w:p>
    <w:p w14:paraId="5D8D2B95">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14.2.</w:t>
      </w:r>
      <w:r>
        <w:rPr>
          <w:rFonts w:hint="eastAsia" w:ascii="宋体" w:hAnsi="宋体" w:cs="宋体"/>
          <w:szCs w:val="21"/>
        </w:rPr>
        <w:t>投标人所提供的货物或服务均以人民币（或相关费率）报价。</w:t>
      </w:r>
    </w:p>
    <w:p w14:paraId="40BC3811">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14.3.</w:t>
      </w:r>
      <w:r>
        <w:rPr>
          <w:rFonts w:hint="eastAsia" w:ascii="宋体" w:hAnsi="宋体" w:cs="宋体"/>
          <w:szCs w:val="21"/>
        </w:rPr>
        <w:t>投标报价应包含完成本次采购所有服务内容的费用，包含各种税务费及合同实施过程中的全部费用和售后服务费等。</w:t>
      </w:r>
    </w:p>
    <w:p w14:paraId="0D350502">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14.4.</w:t>
      </w:r>
      <w:r>
        <w:rPr>
          <w:rFonts w:hint="eastAsia" w:ascii="宋体" w:hAnsi="宋体" w:cs="宋体"/>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72ECBE9">
      <w:pPr>
        <w:widowControl w:val="0"/>
        <w:numPr>
          <w:ilvl w:val="1"/>
          <w:numId w:val="0"/>
        </w:numPr>
        <w:overflowPunct w:val="0"/>
        <w:ind w:left="567" w:leftChars="0" w:hanging="567" w:firstLineChars="0"/>
        <w:rPr>
          <w:rFonts w:ascii="宋体" w:hAnsi="宋体" w:cs="宋体"/>
        </w:rPr>
      </w:pPr>
      <w:r>
        <w:rPr>
          <w:rFonts w:hint="default" w:ascii="宋体" w:hAnsi="宋体" w:eastAsia="宋体" w:cs="宋体"/>
          <w:sz w:val="21"/>
          <w:szCs w:val="21"/>
          <w:lang w:val="en-US" w:eastAsia="zh-CN" w:bidi="ar-SA"/>
        </w:rPr>
        <w:t>14.5.</w:t>
      </w:r>
      <w:r>
        <w:rPr>
          <w:rFonts w:hint="eastAsia" w:ascii="宋体" w:hAnsi="宋体" w:cs="宋体"/>
          <w:szCs w:val="21"/>
        </w:rPr>
        <w:t>中标后开出的所有发票必须与中标人的名称一致。</w:t>
      </w:r>
    </w:p>
    <w:p w14:paraId="061D6CDC">
      <w:pPr>
        <w:pStyle w:val="8"/>
        <w:widowControl w:val="0"/>
        <w:numPr>
          <w:ilvl w:val="0"/>
          <w:numId w:val="0"/>
        </w:numPr>
        <w:overflowPunct w:val="0"/>
        <w:ind w:left="425" w:leftChars="0" w:hanging="425" w:firstLineChars="0"/>
        <w:rPr>
          <w:rFonts w:ascii="宋体" w:hAnsi="宋体" w:cs="宋体"/>
          <w:sz w:val="21"/>
          <w:szCs w:val="21"/>
        </w:rPr>
      </w:pPr>
      <w:bookmarkStart w:id="145" w:name="_Toc17669"/>
      <w:bookmarkStart w:id="146" w:name="_Toc15424"/>
      <w:r>
        <w:rPr>
          <w:rFonts w:hint="default" w:ascii="宋体" w:hAnsi="宋体" w:eastAsia="宋体" w:cs="宋体"/>
          <w:b/>
          <w:sz w:val="21"/>
          <w:szCs w:val="21"/>
          <w:lang w:val="en-US" w:eastAsia="zh-CN" w:bidi="ar-SA"/>
        </w:rPr>
        <w:t>15.</w:t>
      </w:r>
      <w:r>
        <w:rPr>
          <w:rFonts w:hint="eastAsia" w:ascii="宋体" w:hAnsi="宋体" w:cs="宋体"/>
          <w:sz w:val="21"/>
          <w:szCs w:val="21"/>
        </w:rPr>
        <w:t>投标人所提供的服务或货物的证明文件</w:t>
      </w:r>
      <w:bookmarkEnd w:id="145"/>
      <w:bookmarkEnd w:id="146"/>
    </w:p>
    <w:p w14:paraId="23DCD6CA">
      <w:pPr>
        <w:widowControl w:val="0"/>
        <w:numPr>
          <w:ilvl w:val="1"/>
          <w:numId w:val="0"/>
        </w:numPr>
        <w:overflowPunct w:val="0"/>
        <w:ind w:left="567" w:leftChars="0" w:hanging="567" w:firstLineChars="0"/>
        <w:rPr>
          <w:rFonts w:ascii="宋体" w:hAnsi="宋体" w:cs="宋体"/>
          <w:szCs w:val="21"/>
        </w:rPr>
      </w:pPr>
      <w:bookmarkStart w:id="147" w:name="_Hlt107925638"/>
      <w:bookmarkEnd w:id="147"/>
      <w:bookmarkStart w:id="148" w:name="_Hlt107925668"/>
      <w:bookmarkEnd w:id="148"/>
      <w:r>
        <w:rPr>
          <w:rFonts w:hint="default" w:ascii="宋体" w:hAnsi="宋体" w:eastAsia="宋体" w:cs="宋体"/>
          <w:sz w:val="21"/>
          <w:szCs w:val="21"/>
          <w:lang w:val="en-US" w:eastAsia="zh-CN" w:bidi="ar-SA"/>
        </w:rPr>
        <w:t>15.1.</w:t>
      </w:r>
      <w:r>
        <w:rPr>
          <w:rFonts w:hint="eastAsia" w:ascii="宋体" w:hAnsi="宋体" w:cs="宋体"/>
          <w:szCs w:val="21"/>
        </w:rPr>
        <w:t>证明服务或货物的文件，它可以是文字资料、图纸和数据包括但不限于：服务主要内容、标准、质量、人员资质、计划安排、报告审核等的详细说明；对采购文件第三部分《用户需求书》中规定的要求进行详细应答和说明。</w:t>
      </w:r>
    </w:p>
    <w:p w14:paraId="4A7C9076">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15.2.</w:t>
      </w:r>
      <w:r>
        <w:rPr>
          <w:rFonts w:hint="eastAsia" w:ascii="宋体" w:hAnsi="宋体" w:cs="宋体"/>
          <w:szCs w:val="21"/>
        </w:rPr>
        <w:t>有下列情形之一的，视为投标人弄虚作假，其投标无效：</w:t>
      </w:r>
    </w:p>
    <w:p w14:paraId="40EAD928">
      <w:pPr>
        <w:pStyle w:val="43"/>
        <w:widowControl w:val="0"/>
        <w:adjustRightInd/>
        <w:snapToGrid/>
        <w:ind w:left="425" w:firstLine="0" w:firstLineChars="0"/>
        <w:jc w:val="both"/>
        <w:rPr>
          <w:rFonts w:ascii="宋体" w:hAnsi="宋体" w:cs="宋体"/>
        </w:rPr>
      </w:pPr>
      <w:r>
        <w:rPr>
          <w:rFonts w:hint="eastAsia" w:ascii="宋体" w:hAnsi="宋体" w:cs="宋体"/>
        </w:rPr>
        <w:t>1、使用通过受让或者租借等方式获取的资格、资质证书投标的，属于以他人名义投标。</w:t>
      </w:r>
    </w:p>
    <w:p w14:paraId="487B730D">
      <w:pPr>
        <w:pStyle w:val="43"/>
        <w:widowControl w:val="0"/>
        <w:adjustRightInd/>
        <w:snapToGrid/>
        <w:ind w:left="425" w:firstLine="0" w:firstLineChars="0"/>
        <w:jc w:val="both"/>
        <w:rPr>
          <w:rFonts w:ascii="宋体" w:hAnsi="宋体" w:cs="宋体"/>
        </w:rPr>
      </w:pPr>
      <w:r>
        <w:rPr>
          <w:rFonts w:hint="eastAsia" w:ascii="宋体" w:hAnsi="宋体" w:cs="宋体"/>
        </w:rPr>
        <w:t>2、投标人有下列情形之一的，属于以其他方式弄虚作假的行为：</w:t>
      </w:r>
    </w:p>
    <w:p w14:paraId="5934214A">
      <w:pPr>
        <w:pStyle w:val="43"/>
        <w:widowControl w:val="0"/>
        <w:adjustRightInd/>
        <w:snapToGrid/>
        <w:ind w:left="425" w:firstLine="0" w:firstLineChars="0"/>
        <w:jc w:val="both"/>
        <w:rPr>
          <w:rFonts w:ascii="宋体" w:hAnsi="宋体" w:cs="宋体"/>
        </w:rPr>
      </w:pPr>
      <w:r>
        <w:rPr>
          <w:rFonts w:hint="eastAsia" w:ascii="宋体" w:hAnsi="宋体" w:cs="宋体"/>
        </w:rPr>
        <w:t>（1）使用伪造、变造的许可证件；</w:t>
      </w:r>
    </w:p>
    <w:p w14:paraId="1E4CFD4F">
      <w:pPr>
        <w:pStyle w:val="43"/>
        <w:widowControl w:val="0"/>
        <w:adjustRightInd/>
        <w:snapToGrid/>
        <w:ind w:left="425" w:firstLine="0" w:firstLineChars="0"/>
        <w:jc w:val="both"/>
        <w:rPr>
          <w:rFonts w:ascii="宋体" w:hAnsi="宋体" w:cs="宋体"/>
        </w:rPr>
      </w:pPr>
      <w:r>
        <w:rPr>
          <w:rFonts w:hint="eastAsia" w:ascii="宋体" w:hAnsi="宋体" w:cs="宋体"/>
        </w:rPr>
        <w:t>（2）提供虚假的财务状况或者业绩；</w:t>
      </w:r>
    </w:p>
    <w:p w14:paraId="30BEFEAA">
      <w:pPr>
        <w:pStyle w:val="43"/>
        <w:widowControl w:val="0"/>
        <w:adjustRightInd/>
        <w:snapToGrid/>
        <w:ind w:left="425" w:firstLine="0" w:firstLineChars="0"/>
        <w:jc w:val="both"/>
        <w:rPr>
          <w:rFonts w:ascii="宋体" w:hAnsi="宋体" w:cs="宋体"/>
        </w:rPr>
      </w:pPr>
      <w:r>
        <w:rPr>
          <w:rFonts w:hint="eastAsia" w:ascii="宋体" w:hAnsi="宋体" w:cs="宋体"/>
        </w:rPr>
        <w:t>（3）提供虚假的项目负责人或者主要技术人员简历、劳动关系证明；</w:t>
      </w:r>
    </w:p>
    <w:p w14:paraId="4696A7B8">
      <w:pPr>
        <w:pStyle w:val="43"/>
        <w:widowControl w:val="0"/>
        <w:adjustRightInd/>
        <w:snapToGrid/>
        <w:ind w:left="425" w:firstLine="0" w:firstLineChars="0"/>
        <w:jc w:val="both"/>
        <w:rPr>
          <w:rFonts w:ascii="宋体" w:hAnsi="宋体" w:cs="宋体"/>
        </w:rPr>
      </w:pPr>
      <w:r>
        <w:rPr>
          <w:rFonts w:hint="eastAsia" w:ascii="宋体" w:hAnsi="宋体" w:cs="宋体"/>
        </w:rPr>
        <w:t>（4）提供虚假的信用状况；</w:t>
      </w:r>
    </w:p>
    <w:p w14:paraId="5EFD70DA">
      <w:pPr>
        <w:pStyle w:val="43"/>
        <w:widowControl w:val="0"/>
        <w:adjustRightInd/>
        <w:snapToGrid/>
        <w:ind w:left="425" w:firstLine="0" w:firstLineChars="0"/>
        <w:jc w:val="both"/>
        <w:rPr>
          <w:rFonts w:ascii="宋体" w:hAnsi="宋体" w:cs="宋体"/>
        </w:rPr>
      </w:pPr>
      <w:r>
        <w:rPr>
          <w:rFonts w:hint="eastAsia" w:ascii="宋体" w:hAnsi="宋体" w:cs="宋体"/>
        </w:rPr>
        <w:t>（5）其他弄虚作假的行为。</w:t>
      </w:r>
    </w:p>
    <w:p w14:paraId="00EBA55E">
      <w:pPr>
        <w:pStyle w:val="8"/>
        <w:widowControl w:val="0"/>
        <w:numPr>
          <w:ilvl w:val="0"/>
          <w:numId w:val="0"/>
        </w:numPr>
        <w:overflowPunct w:val="0"/>
        <w:ind w:left="425" w:leftChars="0" w:hanging="425" w:firstLineChars="0"/>
        <w:rPr>
          <w:rFonts w:ascii="宋体" w:hAnsi="宋体" w:cs="宋体"/>
          <w:sz w:val="21"/>
          <w:szCs w:val="21"/>
        </w:rPr>
      </w:pPr>
      <w:bookmarkStart w:id="149" w:name="_Toc30147"/>
      <w:bookmarkStart w:id="150" w:name="_Toc8324"/>
      <w:r>
        <w:rPr>
          <w:rFonts w:hint="default" w:ascii="宋体" w:hAnsi="宋体" w:eastAsia="宋体" w:cs="宋体"/>
          <w:b/>
          <w:sz w:val="21"/>
          <w:szCs w:val="21"/>
          <w:lang w:val="en-US" w:eastAsia="zh-CN" w:bidi="ar-SA"/>
        </w:rPr>
        <w:t>16.</w:t>
      </w:r>
      <w:r>
        <w:rPr>
          <w:rFonts w:hint="eastAsia" w:ascii="宋体" w:hAnsi="宋体" w:cs="宋体"/>
          <w:sz w:val="21"/>
          <w:szCs w:val="21"/>
        </w:rPr>
        <w:t>投标有效期</w:t>
      </w:r>
      <w:bookmarkEnd w:id="149"/>
      <w:bookmarkEnd w:id="150"/>
    </w:p>
    <w:p w14:paraId="1553B3A2">
      <w:pPr>
        <w:widowControl w:val="0"/>
        <w:numPr>
          <w:ilvl w:val="1"/>
          <w:numId w:val="0"/>
        </w:numPr>
        <w:overflowPunct w:val="0"/>
        <w:ind w:left="567" w:leftChars="0" w:hanging="567" w:firstLineChars="0"/>
        <w:rPr>
          <w:rFonts w:ascii="宋体" w:hAnsi="宋体" w:cs="宋体"/>
        </w:rPr>
      </w:pPr>
      <w:r>
        <w:rPr>
          <w:rFonts w:hint="default" w:ascii="宋体" w:hAnsi="宋体" w:eastAsia="宋体" w:cs="宋体"/>
          <w:sz w:val="21"/>
          <w:szCs w:val="21"/>
          <w:lang w:val="en-US" w:eastAsia="zh-CN" w:bidi="ar-SA"/>
        </w:rPr>
        <w:t>16.1.</w:t>
      </w:r>
      <w:r>
        <w:rPr>
          <w:rFonts w:hint="eastAsia" w:ascii="宋体" w:hAnsi="宋体" w:cs="宋体"/>
          <w:szCs w:val="21"/>
        </w:rPr>
        <w:t>投标文件应根据投标人须知的规定在投标截止日后的90天内保持有效。</w:t>
      </w:r>
    </w:p>
    <w:p w14:paraId="6A805522">
      <w:pPr>
        <w:pStyle w:val="8"/>
        <w:widowControl w:val="0"/>
        <w:numPr>
          <w:ilvl w:val="0"/>
          <w:numId w:val="0"/>
        </w:numPr>
        <w:overflowPunct w:val="0"/>
        <w:ind w:left="425" w:leftChars="0" w:hanging="425" w:firstLineChars="0"/>
        <w:rPr>
          <w:rFonts w:ascii="宋体" w:hAnsi="宋体" w:cs="宋体"/>
          <w:sz w:val="21"/>
          <w:szCs w:val="21"/>
        </w:rPr>
      </w:pPr>
      <w:bookmarkStart w:id="151" w:name="_Toc12582"/>
      <w:bookmarkStart w:id="152" w:name="_Toc1846"/>
      <w:r>
        <w:rPr>
          <w:rFonts w:hint="default" w:ascii="宋体" w:hAnsi="宋体" w:eastAsia="宋体" w:cs="宋体"/>
          <w:b/>
          <w:sz w:val="21"/>
          <w:szCs w:val="21"/>
          <w:lang w:val="en-US" w:eastAsia="zh-CN" w:bidi="ar-SA"/>
        </w:rPr>
        <w:t>17.</w:t>
      </w:r>
      <w:r>
        <w:rPr>
          <w:rFonts w:hint="eastAsia" w:ascii="宋体" w:hAnsi="宋体" w:cs="宋体"/>
          <w:sz w:val="21"/>
          <w:szCs w:val="21"/>
        </w:rPr>
        <w:t>投标保证金</w:t>
      </w:r>
      <w:bookmarkEnd w:id="151"/>
      <w:bookmarkEnd w:id="152"/>
    </w:p>
    <w:p w14:paraId="631849A0">
      <w:pPr>
        <w:widowControl w:val="0"/>
        <w:numPr>
          <w:ilvl w:val="1"/>
          <w:numId w:val="0"/>
        </w:numPr>
        <w:overflowPunct w:val="0"/>
        <w:ind w:left="567" w:leftChars="0" w:hanging="567" w:firstLineChars="0"/>
        <w:rPr>
          <w:rFonts w:ascii="宋体" w:hAnsi="宋体" w:cs="宋体"/>
          <w:szCs w:val="21"/>
        </w:rPr>
      </w:pPr>
      <w:bookmarkStart w:id="153" w:name="_Ref179619405"/>
      <w:r>
        <w:rPr>
          <w:rFonts w:hint="default" w:ascii="宋体" w:hAnsi="宋体" w:eastAsia="宋体" w:cs="宋体"/>
          <w:sz w:val="21"/>
          <w:szCs w:val="21"/>
          <w:lang w:val="en-US" w:eastAsia="zh-CN" w:bidi="ar-SA"/>
        </w:rPr>
        <w:t>17.1.</w:t>
      </w:r>
      <w:r>
        <w:rPr>
          <w:rFonts w:hint="eastAsia" w:ascii="宋体" w:hAnsi="宋体" w:cs="宋体"/>
          <w:szCs w:val="21"/>
        </w:rPr>
        <w:t>投标人应在投标文件递交截止前提交相应的投标保证金，并作为其投标的一部分。</w:t>
      </w:r>
      <w:bookmarkEnd w:id="153"/>
    </w:p>
    <w:p w14:paraId="362D4502">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17.2.</w:t>
      </w:r>
      <w:r>
        <w:rPr>
          <w:rFonts w:hint="eastAsia" w:ascii="宋体" w:hAnsi="宋体" w:cs="宋体"/>
          <w:szCs w:val="21"/>
        </w:rPr>
        <w:t>投标保证金是为了保护采购代理机构和采购人免遭因投标人的行为而蒙受的损失。采购代理机构和采购人在因投标人的行为受到损害时可根据本须知（17.7）的规定没收投标人的投标保证金。</w:t>
      </w:r>
    </w:p>
    <w:p w14:paraId="7A30A04B">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17.3.</w:t>
      </w:r>
      <w:r>
        <w:rPr>
          <w:rFonts w:hint="eastAsia" w:ascii="宋体" w:hAnsi="宋体" w:cs="宋体"/>
          <w:szCs w:val="21"/>
        </w:rPr>
        <w:t>投标保证金采用转账、电汇方式方式提交，应符合以下要求：采用银行转账、电汇方式提交的，保证金汇入《投标资料表》中投标保证金专用账户，不接收由以投标人分支机构、私人账户和其他单位转入的保证金。投标保证金必须在投标文件递交截止前到账，投标保证金未按规定时间到达指定账户或提交金额不足的，将被视为无效投标。且在备注或用途中注明本项目的项目编号。</w:t>
      </w:r>
    </w:p>
    <w:p w14:paraId="65553215">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17.4.</w:t>
      </w:r>
      <w:r>
        <w:rPr>
          <w:rFonts w:hint="eastAsia" w:ascii="宋体" w:hAnsi="宋体" w:cs="宋体"/>
          <w:szCs w:val="21"/>
        </w:rPr>
        <w:t>凡没有根据本须知（17.1和17.3）的规定随附有效的投标保证金的投标，将被视为非响应性投标予以拒绝。</w:t>
      </w:r>
    </w:p>
    <w:p w14:paraId="2832F15F">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17.5.</w:t>
      </w:r>
      <w:r>
        <w:rPr>
          <w:rFonts w:hint="eastAsia" w:ascii="宋体" w:hAnsi="宋体" w:cs="宋体"/>
          <w:szCs w:val="21"/>
        </w:rPr>
        <w:t>投标保证金有效期应当与投标有效期一致。采购人如果按照采购文件另外规定延长了投标文件有效期，则投标担保的有效期也相应延长。</w:t>
      </w:r>
    </w:p>
    <w:p w14:paraId="546DDBB6">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17.6.</w:t>
      </w:r>
      <w:r>
        <w:rPr>
          <w:rFonts w:hint="eastAsia" w:ascii="宋体" w:hAnsi="宋体" w:cs="宋体"/>
          <w:szCs w:val="21"/>
        </w:rPr>
        <w:t>中标人在签订采购合同并按采购文件第（33）条规定提交履约担保金后，携带退保证金声明函、投标保证金汇款单复印件（加盖公章）和合同正本到采购人处办理投标保证金（无息）退回手续。</w:t>
      </w:r>
    </w:p>
    <w:p w14:paraId="21034CD7">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17.7.</w:t>
      </w:r>
      <w:r>
        <w:rPr>
          <w:rFonts w:hint="eastAsia" w:ascii="宋体" w:hAnsi="宋体" w:cs="宋体"/>
          <w:szCs w:val="21"/>
        </w:rPr>
        <w:t>下列任何情况发生时，投标保证金将不予退还：</w:t>
      </w:r>
    </w:p>
    <w:p w14:paraId="7C65BD22">
      <w:pPr>
        <w:widowControl w:val="0"/>
        <w:adjustRightInd/>
        <w:snapToGrid/>
        <w:ind w:left="540" w:leftChars="257"/>
        <w:jc w:val="both"/>
        <w:rPr>
          <w:rFonts w:ascii="宋体" w:hAnsi="宋体" w:cs="宋体"/>
          <w:szCs w:val="21"/>
        </w:rPr>
      </w:pPr>
      <w:r>
        <w:rPr>
          <w:rFonts w:hint="eastAsia" w:ascii="宋体" w:hAnsi="宋体" w:cs="宋体"/>
          <w:szCs w:val="21"/>
        </w:rPr>
        <w:t>（1）投标人在采购文件中规定的投标有效期内撤回其投标；</w:t>
      </w:r>
    </w:p>
    <w:p w14:paraId="2AE0443D">
      <w:pPr>
        <w:widowControl w:val="0"/>
        <w:adjustRightInd/>
        <w:snapToGrid/>
        <w:ind w:left="540" w:leftChars="257"/>
        <w:jc w:val="both"/>
        <w:rPr>
          <w:rFonts w:ascii="宋体" w:hAnsi="宋体" w:cs="宋体"/>
          <w:szCs w:val="21"/>
        </w:rPr>
      </w:pPr>
      <w:r>
        <w:rPr>
          <w:rFonts w:hint="eastAsia" w:ascii="宋体" w:hAnsi="宋体" w:cs="宋体"/>
          <w:szCs w:val="21"/>
        </w:rPr>
        <w:t>（2）中标人无正当理由不与采购人订立合同，在签订合同时向采购人提出附加条件，或者不按照采购文件要求提交履约保证金的；</w:t>
      </w:r>
    </w:p>
    <w:p w14:paraId="6666E6AB">
      <w:pPr>
        <w:widowControl w:val="0"/>
        <w:adjustRightInd/>
        <w:snapToGrid/>
        <w:ind w:left="540" w:leftChars="257"/>
        <w:jc w:val="both"/>
        <w:rPr>
          <w:rFonts w:ascii="宋体" w:hAnsi="宋体" w:cs="宋体"/>
          <w:szCs w:val="21"/>
        </w:rPr>
      </w:pPr>
      <w:r>
        <w:rPr>
          <w:rFonts w:hint="eastAsia" w:ascii="宋体" w:hAnsi="宋体" w:cs="宋体"/>
          <w:szCs w:val="21"/>
        </w:rPr>
        <w:t>（3）中标人将本项目转让给他人，或者在投标文件中未说明，且未经采购人同意，将中标项目分包给他人的；</w:t>
      </w:r>
    </w:p>
    <w:p w14:paraId="69674701">
      <w:pPr>
        <w:widowControl w:val="0"/>
        <w:adjustRightInd/>
        <w:snapToGrid/>
        <w:ind w:left="540" w:leftChars="257"/>
        <w:jc w:val="both"/>
        <w:rPr>
          <w:rFonts w:ascii="宋体" w:hAnsi="宋体" w:cs="宋体"/>
          <w:szCs w:val="21"/>
        </w:rPr>
      </w:pPr>
      <w:r>
        <w:rPr>
          <w:rFonts w:hint="eastAsia" w:ascii="宋体" w:hAnsi="宋体" w:cs="宋体"/>
          <w:szCs w:val="21"/>
        </w:rPr>
        <w:t>（4）投标人提供虚假投标文件或虚假补充文件的。</w:t>
      </w:r>
    </w:p>
    <w:p w14:paraId="5F0C600B">
      <w:pPr>
        <w:widowControl w:val="0"/>
        <w:numPr>
          <w:ilvl w:val="1"/>
          <w:numId w:val="0"/>
        </w:numPr>
        <w:overflowPunct w:val="0"/>
        <w:ind w:left="567" w:leftChars="0" w:hanging="567" w:firstLineChars="0"/>
        <w:rPr>
          <w:rFonts w:ascii="宋体" w:hAnsi="宋体" w:cs="宋体"/>
        </w:rPr>
      </w:pPr>
      <w:r>
        <w:rPr>
          <w:rFonts w:hint="default" w:ascii="宋体" w:hAnsi="宋体" w:eastAsia="宋体" w:cs="宋体"/>
          <w:sz w:val="21"/>
          <w:szCs w:val="21"/>
          <w:lang w:val="en-US" w:eastAsia="zh-CN" w:bidi="ar-SA"/>
        </w:rPr>
        <w:t>17.8.</w:t>
      </w:r>
      <w:r>
        <w:rPr>
          <w:rFonts w:hint="eastAsia" w:ascii="宋体" w:hAnsi="宋体" w:cs="宋体"/>
          <w:szCs w:val="21"/>
        </w:rPr>
        <w:t>在中标通知书发出后，未中标投标人的投标保证金，由采购人自行返还至投标人的原转出账户。</w:t>
      </w:r>
    </w:p>
    <w:p w14:paraId="420E38F2">
      <w:pPr>
        <w:pStyle w:val="7"/>
        <w:numPr>
          <w:ilvl w:val="0"/>
          <w:numId w:val="2"/>
        </w:numPr>
        <w:spacing w:before="0" w:after="0" w:line="360" w:lineRule="auto"/>
        <w:jc w:val="center"/>
        <w:rPr>
          <w:rFonts w:ascii="宋体" w:hAnsi="宋体" w:cs="宋体"/>
          <w:highlight w:val="none"/>
        </w:rPr>
      </w:pPr>
      <w:bookmarkStart w:id="154" w:name="_Toc30352"/>
      <w:bookmarkStart w:id="155" w:name="_Toc20633"/>
      <w:bookmarkStart w:id="156" w:name="_Toc24345"/>
      <w:r>
        <w:rPr>
          <w:rFonts w:hint="eastAsia" w:ascii="宋体" w:hAnsi="宋体" w:cs="宋体"/>
          <w:highlight w:val="none"/>
        </w:rPr>
        <w:t>投标文件的递交</w:t>
      </w:r>
      <w:bookmarkEnd w:id="154"/>
      <w:bookmarkEnd w:id="155"/>
      <w:bookmarkEnd w:id="156"/>
    </w:p>
    <w:p w14:paraId="3A062CAA">
      <w:pPr>
        <w:pStyle w:val="8"/>
        <w:widowControl w:val="0"/>
        <w:numPr>
          <w:ilvl w:val="0"/>
          <w:numId w:val="0"/>
        </w:numPr>
        <w:overflowPunct w:val="0"/>
        <w:ind w:left="425" w:leftChars="0" w:hanging="425" w:firstLineChars="0"/>
        <w:rPr>
          <w:rFonts w:ascii="宋体" w:hAnsi="宋体" w:cs="宋体"/>
          <w:sz w:val="21"/>
          <w:szCs w:val="21"/>
          <w:highlight w:val="none"/>
        </w:rPr>
      </w:pPr>
      <w:bookmarkStart w:id="157" w:name="_Toc24150"/>
      <w:bookmarkStart w:id="158" w:name="_Toc24997"/>
      <w:bookmarkStart w:id="159" w:name="_Toc8235"/>
      <w:bookmarkStart w:id="160" w:name="_Toc382049111"/>
      <w:bookmarkStart w:id="161" w:name="_Toc303084264"/>
      <w:r>
        <w:rPr>
          <w:rFonts w:hint="default" w:ascii="宋体" w:hAnsi="宋体" w:eastAsia="宋体" w:cs="宋体"/>
          <w:b/>
          <w:sz w:val="21"/>
          <w:szCs w:val="21"/>
          <w:lang w:val="en-US" w:eastAsia="zh-CN" w:bidi="ar-SA"/>
        </w:rPr>
        <w:t>18.</w:t>
      </w:r>
      <w:r>
        <w:rPr>
          <w:rFonts w:hint="eastAsia" w:ascii="宋体" w:hAnsi="宋体" w:cs="宋体"/>
          <w:sz w:val="21"/>
          <w:szCs w:val="21"/>
          <w:highlight w:val="none"/>
        </w:rPr>
        <w:t>投标文件的装订，签署，密封和标记</w:t>
      </w:r>
      <w:bookmarkEnd w:id="157"/>
      <w:bookmarkEnd w:id="158"/>
      <w:bookmarkEnd w:id="159"/>
      <w:bookmarkEnd w:id="160"/>
      <w:bookmarkEnd w:id="161"/>
    </w:p>
    <w:p w14:paraId="48E3EE09">
      <w:pPr>
        <w:widowControl w:val="0"/>
        <w:numPr>
          <w:ilvl w:val="1"/>
          <w:numId w:val="0"/>
        </w:numPr>
        <w:overflowPunct w:val="0"/>
        <w:ind w:left="567" w:leftChars="0" w:hanging="567" w:firstLineChars="0"/>
        <w:rPr>
          <w:rFonts w:ascii="宋体" w:hAnsi="宋体" w:cs="宋体"/>
          <w:szCs w:val="21"/>
          <w:highlight w:val="none"/>
        </w:rPr>
      </w:pPr>
      <w:r>
        <w:rPr>
          <w:rFonts w:hint="default" w:ascii="宋体" w:hAnsi="宋体" w:eastAsia="宋体" w:cs="宋体"/>
          <w:sz w:val="21"/>
          <w:szCs w:val="21"/>
          <w:lang w:val="en-US" w:eastAsia="zh-CN" w:bidi="ar-SA"/>
        </w:rPr>
        <w:t>18.1.</w:t>
      </w:r>
      <w:r>
        <w:rPr>
          <w:rFonts w:hint="eastAsia" w:ascii="宋体" w:hAnsi="宋体"/>
          <w:szCs w:val="21"/>
          <w:highlight w:val="none"/>
        </w:rPr>
        <w:t>投标人应按《投标资料表》的份数准备价格文件、商务文件、技术文件、唱标信封和电子文件（</w:t>
      </w:r>
      <w:r>
        <w:rPr>
          <w:rFonts w:hint="eastAsia" w:ascii="宋体" w:hAnsi="宋体"/>
          <w:b/>
          <w:szCs w:val="21"/>
          <w:highlight w:val="none"/>
        </w:rPr>
        <w:t>价格文件、商务文件、技术文件分别单独装订成册</w:t>
      </w:r>
      <w:r>
        <w:rPr>
          <w:rFonts w:hint="eastAsia" w:ascii="宋体" w:hAnsi="宋体"/>
          <w:szCs w:val="21"/>
          <w:highlight w:val="none"/>
        </w:rPr>
        <w:t>），每一份投标文件均需编上页次，装订成册（不允许使用活页夹，否则由此产生的风险由投标人自行承担）。所有投标文件必须封入密封完好的信封或包装，封口加盖公章</w:t>
      </w:r>
      <w:r>
        <w:rPr>
          <w:rFonts w:hint="eastAsia" w:ascii="宋体" w:hAnsi="宋体" w:cs="宋体"/>
          <w:szCs w:val="21"/>
          <w:highlight w:val="none"/>
        </w:rPr>
        <w:t>。</w:t>
      </w:r>
    </w:p>
    <w:p w14:paraId="56EE24BB">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18.2.</w:t>
      </w:r>
      <w:r>
        <w:rPr>
          <w:rFonts w:hint="eastAsia" w:ascii="宋体" w:hAnsi="宋体" w:cs="宋体"/>
          <w:szCs w:val="21"/>
          <w:highlight w:val="none"/>
        </w:rPr>
        <w:t>投标文件正本均须用不褪色墨水书写或打印。投标文件的副本可采用投标文件的正本复印件，每套投标文件应当标明“正本”、“副本”的字样。投标文件的</w:t>
      </w:r>
      <w:r>
        <w:rPr>
          <w:rFonts w:hint="eastAsia" w:ascii="宋体" w:hAnsi="宋体" w:cs="宋体"/>
          <w:szCs w:val="21"/>
        </w:rPr>
        <w:t>【正本】及所有【副本】的封面及骑缝均须加盖投标人公章（文件每页盖章等同于盖骑缝章）。若正本与副本不符，以正本为准。</w:t>
      </w:r>
    </w:p>
    <w:p w14:paraId="5858CD0B">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18.3.</w:t>
      </w:r>
      <w:r>
        <w:rPr>
          <w:rFonts w:hint="eastAsia" w:ascii="宋体" w:hAnsi="宋体" w:cs="宋体"/>
          <w:szCs w:val="21"/>
        </w:rPr>
        <w:t>联合体投标文件的【正本】及【副本】的封面及骑缝均须加盖所有联合体组成成员的公章。（文件每页盖章等同于盖骑缝章）</w:t>
      </w:r>
    </w:p>
    <w:p w14:paraId="7DA3C29D">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18.4.</w:t>
      </w:r>
      <w:r>
        <w:rPr>
          <w:rFonts w:hint="eastAsia" w:ascii="宋体" w:hAnsi="宋体" w:cs="宋体"/>
          <w:szCs w:val="21"/>
        </w:rPr>
        <w:t>电子文件内容包括：由投标人自行制作的与正本文件一致的所有文件。电子文件由光盘或U盘储存，并注明投标人名称及项目名称、采购项目编号，随投标文件一同密封提交。</w:t>
      </w:r>
    </w:p>
    <w:p w14:paraId="79C56254">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18.5.</w:t>
      </w:r>
      <w:r>
        <w:rPr>
          <w:rFonts w:hint="eastAsia" w:ascii="宋体" w:hAnsi="宋体" w:cs="宋体"/>
          <w:szCs w:val="21"/>
        </w:rPr>
        <w:t>除投标人对错误处修改外，全套投标文件应无涂改或行间插字和增删。如有修改，修改处须由法定代表人或其正式授权代表在旁边签字及盖章。</w:t>
      </w:r>
    </w:p>
    <w:p w14:paraId="5D5FA739">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18.6.</w:t>
      </w:r>
      <w:r>
        <w:rPr>
          <w:rFonts w:hint="eastAsia" w:ascii="宋体" w:hAnsi="宋体" w:cs="宋体"/>
          <w:szCs w:val="21"/>
        </w:rPr>
        <w:t>投标人应将投标文件进行非透明的封装，以防止投标文件内容的泄露。采购代理机构将拒绝接收采用透明包装进行密封的投标文件。</w:t>
      </w:r>
    </w:p>
    <w:p w14:paraId="45715D6A">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18.7.</w:t>
      </w:r>
      <w:r>
        <w:rPr>
          <w:rFonts w:hint="eastAsia" w:ascii="宋体" w:hAnsi="宋体" w:cs="宋体"/>
          <w:szCs w:val="21"/>
        </w:rPr>
        <w:t>密封破损导致投标文件内容直接或间接泄露的投标文件，采购代理机构将拒绝接收。</w:t>
      </w:r>
    </w:p>
    <w:p w14:paraId="6EC53787">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18.8.</w:t>
      </w:r>
      <w:r>
        <w:rPr>
          <w:rFonts w:hint="eastAsia" w:ascii="宋体" w:hAnsi="宋体" w:cs="宋体"/>
          <w:szCs w:val="21"/>
        </w:rPr>
        <w:t>为方便开标唱标，投标人应将开标一览表和授权委托书单独密封提交，并在信封上标明“唱标信封”字样。唱标信封内还须包括并不限于：投标保证金支付凭证银行汇款底单（复印件加盖公章，原件随身携带，以备查核）和投标保证金汇入情况说明（加盖公章）。投标人的法定代表人参加投标时，须开具法定代表人证明书，按上述要求与开标一览表一并密封提交。“唱标信封”份数及签章等要求与投标文件正本相同（1份）。</w:t>
      </w:r>
    </w:p>
    <w:p w14:paraId="20145F3A">
      <w:pPr>
        <w:widowControl w:val="0"/>
        <w:numPr>
          <w:ilvl w:val="1"/>
          <w:numId w:val="0"/>
        </w:numPr>
        <w:overflowPunct w:val="0"/>
        <w:ind w:left="567" w:leftChars="0" w:hanging="567" w:firstLineChars="0"/>
        <w:rPr>
          <w:rFonts w:ascii="宋体" w:hAnsi="宋体" w:cs="宋体"/>
          <w:b/>
          <w:bCs/>
          <w:szCs w:val="21"/>
        </w:rPr>
      </w:pPr>
      <w:r>
        <w:rPr>
          <w:rFonts w:hint="default" w:ascii="宋体" w:hAnsi="宋体" w:eastAsia="宋体" w:cs="宋体"/>
          <w:b/>
          <w:bCs/>
          <w:sz w:val="21"/>
          <w:szCs w:val="21"/>
          <w:lang w:val="en-US" w:eastAsia="zh-CN" w:bidi="ar-SA"/>
        </w:rPr>
        <w:t>18.9.</w:t>
      </w:r>
      <w:r>
        <w:rPr>
          <w:rFonts w:hint="eastAsia" w:ascii="宋体" w:hAnsi="宋体" w:cs="宋体"/>
          <w:b/>
          <w:bCs/>
          <w:szCs w:val="21"/>
        </w:rPr>
        <w:t>未单独提交唱标信封的投标人投标文件不进行唱标，投标文件作无效处理。</w:t>
      </w:r>
    </w:p>
    <w:p w14:paraId="4577CB5B">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18.10.</w:t>
      </w:r>
      <w:r>
        <w:rPr>
          <w:rFonts w:hint="eastAsia" w:ascii="宋体" w:hAnsi="宋体" w:cs="宋体"/>
          <w:szCs w:val="21"/>
        </w:rPr>
        <w:t xml:space="preserve">所有的信封均应注明： </w:t>
      </w:r>
    </w:p>
    <w:p w14:paraId="16F5D77C">
      <w:pPr>
        <w:widowControl w:val="0"/>
        <w:numPr>
          <w:ilvl w:val="0"/>
          <w:numId w:val="4"/>
        </w:numPr>
        <w:adjustRightInd/>
        <w:snapToGrid/>
        <w:ind w:left="567"/>
        <w:jc w:val="both"/>
        <w:rPr>
          <w:rFonts w:ascii="宋体" w:hAnsi="宋体" w:cs="宋体"/>
          <w:szCs w:val="21"/>
        </w:rPr>
      </w:pPr>
      <w:r>
        <w:rPr>
          <w:rFonts w:hint="eastAsia" w:ascii="宋体" w:hAnsi="宋体" w:cs="宋体"/>
          <w:szCs w:val="21"/>
        </w:rPr>
        <w:t xml:space="preserve">收件人： </w:t>
      </w:r>
    </w:p>
    <w:p w14:paraId="525B9846">
      <w:pPr>
        <w:widowControl w:val="0"/>
        <w:numPr>
          <w:ilvl w:val="0"/>
          <w:numId w:val="4"/>
        </w:numPr>
        <w:adjustRightInd/>
        <w:snapToGrid/>
        <w:ind w:left="567"/>
        <w:jc w:val="both"/>
        <w:rPr>
          <w:rFonts w:ascii="宋体" w:hAnsi="宋体" w:cs="宋体"/>
          <w:szCs w:val="21"/>
        </w:rPr>
      </w:pPr>
      <w:r>
        <w:rPr>
          <w:rFonts w:hint="eastAsia" w:ascii="宋体" w:hAnsi="宋体" w:cs="宋体"/>
          <w:szCs w:val="21"/>
        </w:rPr>
        <w:t>投标单位名称：</w:t>
      </w:r>
    </w:p>
    <w:p w14:paraId="1ADC1A66">
      <w:pPr>
        <w:widowControl w:val="0"/>
        <w:numPr>
          <w:ilvl w:val="0"/>
          <w:numId w:val="4"/>
        </w:numPr>
        <w:adjustRightInd/>
        <w:snapToGrid/>
        <w:ind w:left="567"/>
        <w:jc w:val="both"/>
        <w:rPr>
          <w:rFonts w:ascii="宋体" w:hAnsi="宋体" w:cs="宋体"/>
          <w:szCs w:val="21"/>
        </w:rPr>
      </w:pPr>
      <w:r>
        <w:rPr>
          <w:rFonts w:hint="eastAsia" w:ascii="宋体" w:hAnsi="宋体" w:cs="宋体"/>
          <w:szCs w:val="21"/>
        </w:rPr>
        <w:t>项目名称：</w:t>
      </w:r>
    </w:p>
    <w:p w14:paraId="3DF8C2D6">
      <w:pPr>
        <w:widowControl w:val="0"/>
        <w:numPr>
          <w:ilvl w:val="0"/>
          <w:numId w:val="4"/>
        </w:numPr>
        <w:adjustRightInd/>
        <w:snapToGrid/>
        <w:ind w:left="567"/>
        <w:jc w:val="both"/>
        <w:rPr>
          <w:rFonts w:ascii="宋体" w:hAnsi="宋体" w:cs="宋体"/>
          <w:szCs w:val="21"/>
        </w:rPr>
      </w:pPr>
      <w:r>
        <w:rPr>
          <w:rFonts w:hint="eastAsia" w:ascii="宋体" w:hAnsi="宋体" w:cs="宋体"/>
          <w:szCs w:val="21"/>
        </w:rPr>
        <w:t>项目采购项目编号：</w:t>
      </w:r>
    </w:p>
    <w:p w14:paraId="24E05F4E">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18.11.</w:t>
      </w:r>
      <w:r>
        <w:rPr>
          <w:rFonts w:hint="eastAsia" w:ascii="宋体" w:hAnsi="宋体" w:cs="宋体"/>
          <w:szCs w:val="21"/>
        </w:rPr>
        <w:t>密封信封上的项目编号错误或项目名称出现严重歧义的（包括采购内容不符），采购代理机构将拒绝接收。</w:t>
      </w:r>
    </w:p>
    <w:p w14:paraId="2E759B0B">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18.12.</w:t>
      </w:r>
      <w:r>
        <w:rPr>
          <w:rFonts w:hint="eastAsia" w:ascii="宋体" w:hAnsi="宋体" w:cs="宋体"/>
          <w:szCs w:val="21"/>
        </w:rPr>
        <w:t>采购代理机构对所有投标文件的误投或提前启封概不负责。</w:t>
      </w:r>
    </w:p>
    <w:p w14:paraId="0B8D09A4">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18.13.</w:t>
      </w:r>
      <w:r>
        <w:rPr>
          <w:rFonts w:hint="eastAsia" w:ascii="宋体" w:hAnsi="宋体" w:cs="宋体"/>
          <w:szCs w:val="21"/>
        </w:rPr>
        <w:t>投标人同时参加几个包投标时必须按采购文件要求按包号分别制作投标文件，分别密封递交。</w:t>
      </w:r>
    </w:p>
    <w:p w14:paraId="5896CEC9">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18.14.</w:t>
      </w:r>
      <w:r>
        <w:rPr>
          <w:rFonts w:hint="eastAsia" w:ascii="宋体" w:hAnsi="宋体" w:cs="宋体"/>
          <w:szCs w:val="21"/>
        </w:rPr>
        <w:t>传真、电传的投标文件将被拒绝。</w:t>
      </w:r>
    </w:p>
    <w:p w14:paraId="771B2827">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18.15.</w:t>
      </w:r>
      <w:r>
        <w:rPr>
          <w:rFonts w:hint="eastAsia" w:ascii="宋体" w:hAnsi="宋体" w:cs="宋体"/>
          <w:szCs w:val="21"/>
        </w:rPr>
        <w:t>递交的投标文件中所提供的通讯方式应保持联络畅通，因联系不上而导致的所有后果由投标人自行承担。</w:t>
      </w:r>
    </w:p>
    <w:p w14:paraId="3EF91EEF">
      <w:pPr>
        <w:rPr>
          <w:rFonts w:ascii="宋体" w:hAnsi="宋体" w:cs="宋体"/>
        </w:rPr>
      </w:pPr>
    </w:p>
    <w:p w14:paraId="03306C6C">
      <w:pPr>
        <w:pStyle w:val="8"/>
        <w:widowControl w:val="0"/>
        <w:numPr>
          <w:ilvl w:val="0"/>
          <w:numId w:val="0"/>
        </w:numPr>
        <w:overflowPunct w:val="0"/>
        <w:ind w:left="425" w:leftChars="0" w:hanging="425" w:firstLineChars="0"/>
        <w:rPr>
          <w:rFonts w:ascii="宋体" w:hAnsi="宋体" w:cs="宋体"/>
          <w:sz w:val="21"/>
          <w:szCs w:val="21"/>
        </w:rPr>
      </w:pPr>
      <w:bookmarkStart w:id="162" w:name="_Toc31350"/>
      <w:bookmarkStart w:id="163" w:name="_Toc25895"/>
      <w:r>
        <w:rPr>
          <w:rFonts w:hint="default" w:ascii="宋体" w:hAnsi="宋体" w:eastAsia="宋体" w:cs="宋体"/>
          <w:b/>
          <w:sz w:val="21"/>
          <w:szCs w:val="21"/>
          <w:lang w:val="en-US" w:eastAsia="zh-CN" w:bidi="ar-SA"/>
        </w:rPr>
        <w:t>19.</w:t>
      </w:r>
      <w:r>
        <w:rPr>
          <w:rFonts w:hint="eastAsia" w:ascii="宋体" w:hAnsi="宋体" w:cs="宋体"/>
          <w:sz w:val="21"/>
          <w:szCs w:val="21"/>
        </w:rPr>
        <w:t>迟交的投标文件</w:t>
      </w:r>
      <w:bookmarkEnd w:id="162"/>
      <w:bookmarkEnd w:id="163"/>
    </w:p>
    <w:p w14:paraId="15AD4F71">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19.1.</w:t>
      </w:r>
      <w:r>
        <w:rPr>
          <w:rFonts w:hint="eastAsia" w:ascii="宋体" w:hAnsi="宋体" w:cs="宋体"/>
          <w:szCs w:val="21"/>
        </w:rPr>
        <w:t>投标人在投标截止时间之后提交的投标文件，采购代理机构将拒绝接收。</w:t>
      </w:r>
    </w:p>
    <w:p w14:paraId="0B53F4FA">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19.2.</w:t>
      </w:r>
      <w:r>
        <w:rPr>
          <w:rFonts w:hint="eastAsia" w:ascii="宋体" w:hAnsi="宋体" w:cs="宋体"/>
          <w:szCs w:val="21"/>
        </w:rPr>
        <w:t>有违反其他法律规定情形的，采购代理机构将拒绝接收。</w:t>
      </w:r>
    </w:p>
    <w:p w14:paraId="3FFCD529">
      <w:pPr>
        <w:rPr>
          <w:rFonts w:ascii="宋体" w:hAnsi="宋体" w:cs="宋体"/>
        </w:rPr>
      </w:pPr>
    </w:p>
    <w:p w14:paraId="6609A541">
      <w:pPr>
        <w:pStyle w:val="8"/>
        <w:widowControl w:val="0"/>
        <w:numPr>
          <w:ilvl w:val="0"/>
          <w:numId w:val="0"/>
        </w:numPr>
        <w:overflowPunct w:val="0"/>
        <w:ind w:left="425" w:leftChars="0" w:hanging="425" w:firstLineChars="0"/>
        <w:rPr>
          <w:rFonts w:ascii="宋体" w:hAnsi="宋体" w:cs="宋体"/>
          <w:sz w:val="21"/>
          <w:szCs w:val="21"/>
        </w:rPr>
      </w:pPr>
      <w:bookmarkStart w:id="164" w:name="_Toc27648"/>
      <w:bookmarkStart w:id="165" w:name="_Toc9143"/>
      <w:r>
        <w:rPr>
          <w:rFonts w:hint="default" w:ascii="宋体" w:hAnsi="宋体" w:eastAsia="宋体" w:cs="宋体"/>
          <w:b/>
          <w:sz w:val="21"/>
          <w:szCs w:val="21"/>
          <w:lang w:val="en-US" w:eastAsia="zh-CN" w:bidi="ar-SA"/>
        </w:rPr>
        <w:t>20.</w:t>
      </w:r>
      <w:r>
        <w:rPr>
          <w:rFonts w:hint="eastAsia" w:ascii="宋体" w:hAnsi="宋体" w:cs="宋体"/>
          <w:sz w:val="21"/>
          <w:szCs w:val="21"/>
        </w:rPr>
        <w:t>投标样品（如需提交）</w:t>
      </w:r>
      <w:bookmarkEnd w:id="164"/>
      <w:bookmarkEnd w:id="165"/>
    </w:p>
    <w:p w14:paraId="209E7D80">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20.1.</w:t>
      </w:r>
      <w:r>
        <w:rPr>
          <w:rFonts w:hint="eastAsia" w:ascii="宋体" w:hAnsi="宋体" w:cs="宋体"/>
          <w:szCs w:val="21"/>
        </w:rPr>
        <w:t>如有必要，采购代理机构可以要求投标人提供本服务项目涉及的部分设备或产品样品，投标人在投标时应提交《样品清单》。</w:t>
      </w:r>
    </w:p>
    <w:p w14:paraId="68E186C7">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20.2.</w:t>
      </w:r>
      <w:r>
        <w:rPr>
          <w:rFonts w:hint="eastAsia" w:ascii="宋体" w:hAnsi="宋体" w:cs="宋体"/>
          <w:szCs w:val="21"/>
        </w:rPr>
        <w:t>为方便评标，投标人在提供样品时，应在所提供的样品表面显著位置标注投标人的名称、包号、样品名称、采购文件规定的服务或货物编号。</w:t>
      </w:r>
    </w:p>
    <w:p w14:paraId="5CB77527">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20.3.</w:t>
      </w:r>
      <w:r>
        <w:rPr>
          <w:rFonts w:hint="eastAsia" w:ascii="宋体" w:hAnsi="宋体" w:cs="宋体"/>
          <w:szCs w:val="21"/>
        </w:rPr>
        <w:t>样品作为投标文件的一部分，除非另有说明，中标单位的样品将作为履约验收标准的参考不再退还，未中标单位须在中标公告发布后五个工作日内，前往采购代理机构领取投标样品，逾期不领，采购代理机构将不承担样品的保管责任，由此引发的样品丢失、毁损，采购代理机构不予负责。</w:t>
      </w:r>
    </w:p>
    <w:p w14:paraId="79CF4B4F">
      <w:pPr>
        <w:rPr>
          <w:rFonts w:ascii="宋体" w:hAnsi="宋体" w:cs="宋体"/>
        </w:rPr>
      </w:pPr>
    </w:p>
    <w:p w14:paraId="1C76FC46">
      <w:pPr>
        <w:pStyle w:val="8"/>
        <w:widowControl w:val="0"/>
        <w:numPr>
          <w:ilvl w:val="0"/>
          <w:numId w:val="0"/>
        </w:numPr>
        <w:overflowPunct w:val="0"/>
        <w:ind w:left="425" w:leftChars="0" w:hanging="425" w:firstLineChars="0"/>
        <w:rPr>
          <w:rFonts w:ascii="宋体" w:hAnsi="宋体" w:cs="宋体"/>
          <w:sz w:val="21"/>
          <w:szCs w:val="21"/>
        </w:rPr>
      </w:pPr>
      <w:bookmarkStart w:id="166" w:name="_Toc303084265"/>
      <w:bookmarkStart w:id="167" w:name="_Toc1712"/>
      <w:bookmarkStart w:id="168" w:name="_Toc19279"/>
      <w:bookmarkStart w:id="169" w:name="_Toc382049112"/>
      <w:bookmarkStart w:id="170" w:name="_Toc9777"/>
      <w:r>
        <w:rPr>
          <w:rFonts w:hint="default" w:ascii="宋体" w:hAnsi="宋体" w:eastAsia="宋体" w:cs="宋体"/>
          <w:b/>
          <w:sz w:val="21"/>
          <w:szCs w:val="21"/>
          <w:lang w:val="en-US" w:eastAsia="zh-CN" w:bidi="ar-SA"/>
        </w:rPr>
        <w:t>21.</w:t>
      </w:r>
      <w:r>
        <w:rPr>
          <w:rFonts w:hint="eastAsia" w:ascii="宋体" w:hAnsi="宋体" w:cs="宋体"/>
          <w:sz w:val="21"/>
          <w:szCs w:val="21"/>
        </w:rPr>
        <w:t>投标截止期</w:t>
      </w:r>
      <w:bookmarkEnd w:id="166"/>
      <w:bookmarkEnd w:id="167"/>
      <w:bookmarkEnd w:id="168"/>
      <w:bookmarkEnd w:id="169"/>
      <w:bookmarkEnd w:id="170"/>
    </w:p>
    <w:p w14:paraId="667E27F1">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21.1.</w:t>
      </w:r>
      <w:r>
        <w:rPr>
          <w:rFonts w:hint="eastAsia" w:ascii="宋体" w:hAnsi="宋体" w:cs="宋体"/>
          <w:szCs w:val="21"/>
        </w:rPr>
        <w:t>投标人应在采购文件规定的截止日期和时间内，将投标文件送达到指定地点。</w:t>
      </w:r>
    </w:p>
    <w:p w14:paraId="1E4C74D4">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21.2.</w:t>
      </w:r>
      <w:r>
        <w:rPr>
          <w:rFonts w:hint="eastAsia" w:ascii="宋体" w:hAnsi="宋体" w:cs="宋体"/>
          <w:szCs w:val="21"/>
        </w:rPr>
        <w:t>采购代理机构可按本须知规定以澄清或修改通知的方式，酌情延长递交投标文件的截止时间。在此情况下，投标人的所有权利和义务以及投标人受制约的截止时间，均以延长后新的投标截止时间为准。</w:t>
      </w:r>
    </w:p>
    <w:p w14:paraId="56394A9C">
      <w:pPr>
        <w:rPr>
          <w:rFonts w:ascii="宋体" w:hAnsi="宋体" w:cs="宋体"/>
        </w:rPr>
      </w:pPr>
    </w:p>
    <w:p w14:paraId="025FCC55">
      <w:pPr>
        <w:pStyle w:val="8"/>
        <w:widowControl w:val="0"/>
        <w:numPr>
          <w:ilvl w:val="0"/>
          <w:numId w:val="0"/>
        </w:numPr>
        <w:overflowPunct w:val="0"/>
        <w:ind w:left="425" w:leftChars="0" w:hanging="425" w:firstLineChars="0"/>
        <w:rPr>
          <w:rFonts w:ascii="宋体" w:hAnsi="宋体" w:cs="宋体"/>
          <w:sz w:val="21"/>
          <w:szCs w:val="21"/>
        </w:rPr>
      </w:pPr>
      <w:bookmarkStart w:id="171" w:name="_Toc12809"/>
      <w:bookmarkStart w:id="172" w:name="_Toc31417"/>
      <w:r>
        <w:rPr>
          <w:rFonts w:hint="default" w:ascii="宋体" w:hAnsi="宋体" w:eastAsia="宋体" w:cs="宋体"/>
          <w:b/>
          <w:sz w:val="21"/>
          <w:szCs w:val="21"/>
          <w:lang w:val="en-US" w:eastAsia="zh-CN" w:bidi="ar-SA"/>
        </w:rPr>
        <w:t>22.</w:t>
      </w:r>
      <w:r>
        <w:rPr>
          <w:rFonts w:hint="eastAsia" w:ascii="宋体" w:hAnsi="宋体" w:cs="宋体"/>
          <w:sz w:val="21"/>
          <w:szCs w:val="21"/>
        </w:rPr>
        <w:t>投标文件的补充、修改与撤回</w:t>
      </w:r>
      <w:bookmarkEnd w:id="171"/>
      <w:bookmarkEnd w:id="172"/>
    </w:p>
    <w:p w14:paraId="372C77FB">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22.1.</w:t>
      </w:r>
      <w:r>
        <w:rPr>
          <w:rFonts w:hint="eastAsia" w:ascii="宋体" w:hAnsi="宋体" w:cs="宋体"/>
          <w:szCs w:val="21"/>
        </w:rPr>
        <w:t>投标人在提交投标文件截止时间前，可以对所提交的投标文件进行补充、修改或撤回，并以纸质版形式通知采购代理机构。在提交投标文件截止时间之后，投标人不得对其投标文件做出任何的补充和修改。</w:t>
      </w:r>
    </w:p>
    <w:p w14:paraId="2B20FE82">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22.2.</w:t>
      </w:r>
      <w:r>
        <w:rPr>
          <w:rFonts w:hint="eastAsia" w:ascii="宋体" w:hAnsi="宋体" w:cs="宋体"/>
          <w:szCs w:val="21"/>
        </w:rPr>
        <w:t>投标人对投标文件的补充、修改的内容应当按采购文件要求的签署、盖章、密封后，作为投标文件的组成部分。并按照采购文件规定密封和标记的要求提交，并在投标文件密封袋上标明“补充、修改”字样。</w:t>
      </w:r>
    </w:p>
    <w:p w14:paraId="30624AEB">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22.3.</w:t>
      </w:r>
      <w:r>
        <w:rPr>
          <w:rFonts w:hint="eastAsia" w:ascii="宋体" w:hAnsi="宋体" w:cs="宋体"/>
          <w:szCs w:val="21"/>
        </w:rPr>
        <w:t>投标文件一经递交不予退还。</w:t>
      </w:r>
    </w:p>
    <w:p w14:paraId="39378F04">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22.4.</w:t>
      </w:r>
      <w:r>
        <w:rPr>
          <w:rFonts w:hint="eastAsia" w:ascii="宋体" w:hAnsi="宋体" w:cs="宋体"/>
          <w:szCs w:val="21"/>
        </w:rPr>
        <w:t>在提交投标文件截止时间至投标有效期满之前，投标人不得撤回其投标，否则其投标保证金将不予退还。</w:t>
      </w:r>
    </w:p>
    <w:p w14:paraId="30D2D4E6">
      <w:pPr>
        <w:pStyle w:val="2"/>
      </w:pPr>
    </w:p>
    <w:p w14:paraId="0CD847C2">
      <w:pPr>
        <w:pStyle w:val="7"/>
        <w:numPr>
          <w:ilvl w:val="0"/>
          <w:numId w:val="2"/>
        </w:numPr>
        <w:spacing w:before="0" w:after="0" w:line="360" w:lineRule="auto"/>
        <w:jc w:val="center"/>
        <w:rPr>
          <w:rFonts w:ascii="宋体" w:hAnsi="宋体" w:cs="宋体"/>
        </w:rPr>
      </w:pPr>
      <w:bookmarkStart w:id="173" w:name="_Toc20116"/>
      <w:bookmarkStart w:id="174" w:name="_Toc7410"/>
      <w:bookmarkStart w:id="175" w:name="_Toc10019"/>
      <w:r>
        <w:rPr>
          <w:rFonts w:hint="eastAsia" w:ascii="宋体" w:hAnsi="宋体" w:cs="宋体"/>
        </w:rPr>
        <w:t>开标与评标</w:t>
      </w:r>
      <w:bookmarkEnd w:id="173"/>
      <w:bookmarkEnd w:id="174"/>
      <w:bookmarkEnd w:id="175"/>
    </w:p>
    <w:p w14:paraId="50186682">
      <w:pPr>
        <w:pStyle w:val="8"/>
        <w:widowControl w:val="0"/>
        <w:numPr>
          <w:ilvl w:val="0"/>
          <w:numId w:val="0"/>
        </w:numPr>
        <w:overflowPunct w:val="0"/>
        <w:ind w:left="425" w:leftChars="0" w:hanging="425" w:firstLineChars="0"/>
        <w:rPr>
          <w:rFonts w:ascii="宋体" w:hAnsi="宋体" w:cs="宋体"/>
          <w:sz w:val="21"/>
          <w:szCs w:val="21"/>
        </w:rPr>
      </w:pPr>
      <w:bookmarkStart w:id="176" w:name="_Toc31671"/>
      <w:bookmarkStart w:id="177" w:name="_Toc10940"/>
      <w:r>
        <w:rPr>
          <w:rFonts w:hint="default" w:ascii="宋体" w:hAnsi="宋体" w:eastAsia="宋体" w:cs="宋体"/>
          <w:b/>
          <w:sz w:val="21"/>
          <w:szCs w:val="21"/>
          <w:lang w:val="en-US" w:eastAsia="zh-CN" w:bidi="ar-SA"/>
        </w:rPr>
        <w:t>23.</w:t>
      </w:r>
      <w:r>
        <w:rPr>
          <w:rFonts w:hint="eastAsia" w:ascii="宋体" w:hAnsi="宋体" w:cs="宋体"/>
          <w:sz w:val="21"/>
          <w:szCs w:val="21"/>
        </w:rPr>
        <w:t>开标</w:t>
      </w:r>
      <w:bookmarkEnd w:id="176"/>
      <w:bookmarkEnd w:id="177"/>
    </w:p>
    <w:p w14:paraId="38F87DD2">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23.1.</w:t>
      </w:r>
      <w:r>
        <w:rPr>
          <w:rFonts w:hint="eastAsia" w:ascii="宋体" w:hAnsi="宋体" w:cs="宋体"/>
          <w:szCs w:val="21"/>
        </w:rPr>
        <w:t>采购代理机构按本采购文件所规定的时间和地点公开开标，并邀请所有投标人代表参加。</w:t>
      </w:r>
    </w:p>
    <w:p w14:paraId="43550C8B">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23.2.</w:t>
      </w:r>
      <w:r>
        <w:rPr>
          <w:rFonts w:hint="eastAsia" w:ascii="宋体" w:hAnsi="宋体" w:cs="宋体"/>
          <w:szCs w:val="21"/>
        </w:rPr>
        <w:t>开标程序：</w:t>
      </w:r>
    </w:p>
    <w:p w14:paraId="0981E2B6">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23.3.</w:t>
      </w:r>
      <w:r>
        <w:rPr>
          <w:rFonts w:hint="eastAsia" w:ascii="宋体" w:hAnsi="宋体" w:cs="宋体"/>
          <w:szCs w:val="21"/>
        </w:rPr>
        <w:t>开标会由采购代理机构主持，投标人的法定代表人或其授权代表携带有效身份证明准时参加开标会并签名报到。</w:t>
      </w:r>
    </w:p>
    <w:p w14:paraId="36410BD1">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23.4.</w:t>
      </w:r>
      <w:r>
        <w:rPr>
          <w:rFonts w:hint="eastAsia" w:ascii="宋体" w:hAnsi="宋体" w:cs="宋体"/>
          <w:szCs w:val="21"/>
        </w:rPr>
        <w:t>开标时，由投标人或者其推选的代表检查投标文件的密封情况；经确认无误后，由采购人或者采购代理机构工作人员当众拆封，宣布投标人名称、投标价格和采购文件规定的需要宣布的其他内容；</w:t>
      </w:r>
    </w:p>
    <w:p w14:paraId="653A62B2">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23.5.</w:t>
      </w:r>
      <w:r>
        <w:rPr>
          <w:rFonts w:hint="eastAsia" w:ascii="宋体" w:hAnsi="宋体" w:cs="宋体"/>
          <w:szCs w:val="21"/>
        </w:rPr>
        <w:t>投标人代表对开标过程和开标记录有异议，以及认为采购人、采购代理机构相关工作人员有需要回避的情形的，应当场提出询问或者回避申请。开标现场未提出异议的视为认同开标结果。开标结束后，投标人对开标过程和开标记录不得再提出异议。</w:t>
      </w:r>
    </w:p>
    <w:p w14:paraId="31D18166">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23.6.</w:t>
      </w:r>
      <w:r>
        <w:rPr>
          <w:rFonts w:hint="eastAsia" w:ascii="宋体" w:hAnsi="宋体" w:cs="宋体"/>
          <w:szCs w:val="21"/>
        </w:rPr>
        <w:t>投标人未参加开标的，视同认可开标结果。</w:t>
      </w:r>
    </w:p>
    <w:p w14:paraId="31AFD179">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23.7.</w:t>
      </w:r>
      <w:r>
        <w:rPr>
          <w:rFonts w:hint="eastAsia" w:ascii="宋体" w:hAnsi="宋体" w:cs="宋体"/>
          <w:szCs w:val="21"/>
        </w:rPr>
        <w:t>合格投标人不足3家的，不得开标；</w:t>
      </w:r>
    </w:p>
    <w:p w14:paraId="02BE0383">
      <w:pPr>
        <w:widowControl w:val="0"/>
        <w:numPr>
          <w:ilvl w:val="1"/>
          <w:numId w:val="0"/>
        </w:numPr>
        <w:overflowPunct w:val="0"/>
        <w:ind w:left="567" w:leftChars="0" w:hanging="567" w:firstLineChars="0"/>
        <w:rPr>
          <w:rFonts w:ascii="宋体" w:hAnsi="宋体" w:cs="宋体"/>
        </w:rPr>
      </w:pPr>
      <w:r>
        <w:rPr>
          <w:rFonts w:hint="default" w:ascii="宋体" w:hAnsi="宋体" w:eastAsia="宋体" w:cs="宋体"/>
          <w:sz w:val="21"/>
          <w:szCs w:val="21"/>
          <w:lang w:val="en-US" w:eastAsia="zh-CN" w:bidi="ar-SA"/>
        </w:rPr>
        <w:t>23.8.</w:t>
      </w:r>
      <w:r>
        <w:rPr>
          <w:rFonts w:hint="eastAsia" w:ascii="宋体" w:hAnsi="宋体" w:cs="宋体"/>
          <w:szCs w:val="21"/>
        </w:rPr>
        <w:t>开标过程应当由采购人或者采购代理机构负责记录，由参加开标的各投标人代表和相关工作人员签字确认。</w:t>
      </w:r>
    </w:p>
    <w:p w14:paraId="7B3371E5">
      <w:pPr>
        <w:pStyle w:val="8"/>
        <w:widowControl w:val="0"/>
        <w:numPr>
          <w:ilvl w:val="0"/>
          <w:numId w:val="0"/>
        </w:numPr>
        <w:overflowPunct w:val="0"/>
        <w:ind w:left="425" w:leftChars="0" w:hanging="425" w:firstLineChars="0"/>
        <w:rPr>
          <w:rFonts w:ascii="宋体" w:hAnsi="宋体" w:cs="宋体"/>
          <w:sz w:val="21"/>
          <w:szCs w:val="21"/>
        </w:rPr>
      </w:pPr>
      <w:bookmarkStart w:id="178" w:name="_Toc21789"/>
      <w:bookmarkStart w:id="179" w:name="_Toc3528"/>
      <w:r>
        <w:rPr>
          <w:rFonts w:hint="default" w:ascii="宋体" w:hAnsi="宋体" w:eastAsia="宋体" w:cs="宋体"/>
          <w:b/>
          <w:sz w:val="21"/>
          <w:szCs w:val="21"/>
          <w:lang w:val="en-US" w:eastAsia="zh-CN" w:bidi="ar-SA"/>
        </w:rPr>
        <w:t>24.</w:t>
      </w:r>
      <w:r>
        <w:rPr>
          <w:rFonts w:hint="eastAsia" w:ascii="宋体" w:hAnsi="宋体" w:cs="宋体"/>
          <w:sz w:val="21"/>
          <w:szCs w:val="21"/>
        </w:rPr>
        <w:t>评标委员会及评标方法</w:t>
      </w:r>
      <w:bookmarkEnd w:id="178"/>
      <w:bookmarkEnd w:id="179"/>
    </w:p>
    <w:p w14:paraId="2EF17689">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24.1.</w:t>
      </w:r>
      <w:r>
        <w:rPr>
          <w:rFonts w:hint="eastAsia" w:ascii="宋体" w:hAnsi="宋体" w:cs="宋体"/>
          <w:szCs w:val="21"/>
        </w:rPr>
        <w:t>依法组成评标委员会，评标委员会由采购人和有关技术、经济等方面的专家组成，成员人数为五人或五人以上单数，其中技术、经济等方面的专家不少于成员总数的三分之二，并负责评标工作。</w:t>
      </w:r>
    </w:p>
    <w:p w14:paraId="6522AE2C">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24.2.</w:t>
      </w:r>
      <w:r>
        <w:rPr>
          <w:rFonts w:hint="eastAsia" w:ascii="宋体" w:hAnsi="宋体" w:cs="宋体"/>
          <w:szCs w:val="21"/>
        </w:rPr>
        <w:t>评审方法：本次采购的评审方法采用综合评分法。</w:t>
      </w:r>
    </w:p>
    <w:p w14:paraId="2786E96D">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24.3.</w:t>
      </w:r>
      <w:r>
        <w:rPr>
          <w:rFonts w:hint="eastAsia" w:ascii="宋体" w:hAnsi="宋体" w:cs="宋体"/>
          <w:szCs w:val="21"/>
        </w:rPr>
        <w:t>定标原则：在最大限度满足采购文件实质性要求前提下，按照采购文件规定的各项评价因素进行量化打分，以评标总得分最高的投标人作为中标候选人或中标人。</w:t>
      </w:r>
    </w:p>
    <w:p w14:paraId="3BE70029">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24.4.</w:t>
      </w:r>
      <w:r>
        <w:rPr>
          <w:rFonts w:hint="eastAsia" w:ascii="宋体" w:hAnsi="宋体" w:cs="宋体"/>
          <w:szCs w:val="21"/>
        </w:rPr>
        <w:t>评标委员会对投标文件的评审内容，分为商务评议、技术评议和价格评议。评审流程包括符合性检查、澄清问题、比较与评价、推荐中标候选人或确定中标人、编写评标报告等步骤。</w:t>
      </w:r>
    </w:p>
    <w:p w14:paraId="23E5F3BB">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24.5.</w:t>
      </w:r>
      <w:r>
        <w:rPr>
          <w:rFonts w:hint="eastAsia" w:ascii="宋体" w:hAnsi="宋体" w:cs="宋体"/>
          <w:szCs w:val="21"/>
        </w:rPr>
        <w:t>在评标期间，评标委员会可要求投标人对其投标文件进行澄清，但不得寻求、提供或允许对投标价格等实质性内容做任何更改。有关澄清的要求和答复均应以纸质版形式提交，如投标人拒绝评标委员会要求对其投标文件进行澄清的要求，所造成的后果由投标人自行承担。</w:t>
      </w:r>
    </w:p>
    <w:p w14:paraId="4357DC41">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24.6.</w:t>
      </w:r>
      <w:r>
        <w:rPr>
          <w:rFonts w:hint="eastAsia" w:ascii="宋体" w:hAnsi="宋体" w:cs="宋体"/>
          <w:szCs w:val="21"/>
        </w:rPr>
        <w:t>评标委员会和采购人在评审过程中有权核对投标文件中相关材料的原件，投标人在接到通知后应在评标委员会规定的时间内提交原件核查。</w:t>
      </w:r>
    </w:p>
    <w:p w14:paraId="548E2656">
      <w:pPr>
        <w:rPr>
          <w:rFonts w:ascii="宋体" w:hAnsi="宋体" w:cs="宋体"/>
        </w:rPr>
      </w:pPr>
    </w:p>
    <w:p w14:paraId="7FC8EE17">
      <w:pPr>
        <w:pStyle w:val="8"/>
        <w:widowControl w:val="0"/>
        <w:numPr>
          <w:ilvl w:val="0"/>
          <w:numId w:val="0"/>
        </w:numPr>
        <w:overflowPunct w:val="0"/>
        <w:ind w:left="425" w:leftChars="0" w:hanging="425" w:firstLineChars="0"/>
        <w:rPr>
          <w:rFonts w:ascii="宋体" w:hAnsi="宋体" w:cs="宋体"/>
          <w:sz w:val="21"/>
          <w:szCs w:val="21"/>
        </w:rPr>
      </w:pPr>
      <w:bookmarkStart w:id="180" w:name="_Toc23772"/>
      <w:bookmarkStart w:id="181" w:name="_Toc4198"/>
      <w:r>
        <w:rPr>
          <w:rFonts w:hint="default" w:ascii="宋体" w:hAnsi="宋体" w:eastAsia="宋体" w:cs="宋体"/>
          <w:b/>
          <w:sz w:val="21"/>
          <w:szCs w:val="21"/>
          <w:lang w:val="en-US" w:eastAsia="zh-CN" w:bidi="ar-SA"/>
        </w:rPr>
        <w:t>25.</w:t>
      </w:r>
      <w:r>
        <w:rPr>
          <w:rFonts w:hint="eastAsia" w:ascii="宋体" w:hAnsi="宋体" w:cs="宋体"/>
          <w:sz w:val="21"/>
          <w:szCs w:val="21"/>
        </w:rPr>
        <w:t>评审原则及评标过程的保密</w:t>
      </w:r>
      <w:bookmarkEnd w:id="180"/>
      <w:bookmarkEnd w:id="181"/>
    </w:p>
    <w:p w14:paraId="5A34060F">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25.1.</w:t>
      </w:r>
      <w:r>
        <w:rPr>
          <w:rFonts w:hint="eastAsia" w:ascii="宋体" w:hAnsi="宋体" w:cs="宋体"/>
          <w:szCs w:val="21"/>
        </w:rPr>
        <w:t>评审的基本原则：评标委员会将依据采购文件的规定，遵循“公开、公平、公正、择优、信用”的原则进行评审工作。</w:t>
      </w:r>
    </w:p>
    <w:p w14:paraId="54E32853">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25.2.</w:t>
      </w:r>
      <w:r>
        <w:rPr>
          <w:rFonts w:hint="eastAsia" w:ascii="宋体" w:hAnsi="宋体" w:cs="宋体"/>
          <w:szCs w:val="21"/>
        </w:rPr>
        <w:t>从公开开标到签订合同，凡与审查、澄清、评审和投标有关的资料以及定标意见相关的事项，均不得向投标人及与评标无关的其他人透露。</w:t>
      </w:r>
    </w:p>
    <w:p w14:paraId="20CBB86A">
      <w:pPr>
        <w:widowControl w:val="0"/>
        <w:numPr>
          <w:ilvl w:val="1"/>
          <w:numId w:val="0"/>
        </w:numPr>
        <w:overflowPunct w:val="0"/>
        <w:ind w:left="567" w:leftChars="0" w:hanging="567" w:firstLineChars="0"/>
        <w:rPr>
          <w:rFonts w:ascii="宋体" w:hAnsi="宋体" w:cs="宋体"/>
          <w:szCs w:val="21"/>
          <w:highlight w:val="none"/>
        </w:rPr>
      </w:pPr>
      <w:r>
        <w:rPr>
          <w:rFonts w:hint="default" w:ascii="宋体" w:hAnsi="宋体" w:eastAsia="宋体" w:cs="宋体"/>
          <w:sz w:val="21"/>
          <w:szCs w:val="21"/>
          <w:lang w:val="en-US" w:eastAsia="zh-CN" w:bidi="ar-SA"/>
        </w:rPr>
        <w:t>25.3.</w:t>
      </w:r>
      <w:r>
        <w:rPr>
          <w:rFonts w:hint="eastAsia" w:ascii="宋体" w:hAnsi="宋体" w:cs="宋体"/>
          <w:szCs w:val="21"/>
          <w:highlight w:val="none"/>
        </w:rPr>
        <w:t>任何单位和个人不得非法干预、影响评标的过程和结果。</w:t>
      </w:r>
    </w:p>
    <w:p w14:paraId="6D80B58F">
      <w:pPr>
        <w:rPr>
          <w:rFonts w:ascii="宋体" w:hAnsi="宋体" w:cs="宋体"/>
          <w:highlight w:val="none"/>
        </w:rPr>
      </w:pPr>
    </w:p>
    <w:p w14:paraId="70B5D34B">
      <w:pPr>
        <w:pStyle w:val="8"/>
        <w:widowControl w:val="0"/>
        <w:numPr>
          <w:ilvl w:val="0"/>
          <w:numId w:val="0"/>
        </w:numPr>
        <w:overflowPunct w:val="0"/>
        <w:ind w:left="425" w:leftChars="0" w:hanging="425" w:firstLineChars="0"/>
        <w:rPr>
          <w:rFonts w:ascii="宋体" w:hAnsi="宋体" w:cs="宋体"/>
          <w:sz w:val="21"/>
          <w:szCs w:val="21"/>
          <w:highlight w:val="none"/>
        </w:rPr>
      </w:pPr>
      <w:bookmarkStart w:id="182" w:name="_Toc9899"/>
      <w:r>
        <w:rPr>
          <w:rFonts w:hint="default" w:ascii="宋体" w:hAnsi="宋体" w:eastAsia="宋体" w:cs="宋体"/>
          <w:b/>
          <w:sz w:val="21"/>
          <w:szCs w:val="21"/>
          <w:lang w:val="en-US" w:eastAsia="zh-CN" w:bidi="ar-SA"/>
        </w:rPr>
        <w:t>26.</w:t>
      </w:r>
      <w:r>
        <w:rPr>
          <w:rFonts w:hint="eastAsia" w:ascii="宋体" w:hAnsi="宋体" w:cs="宋体"/>
          <w:sz w:val="21"/>
          <w:szCs w:val="21"/>
          <w:highlight w:val="none"/>
        </w:rPr>
        <w:t>评标程序</w:t>
      </w:r>
      <w:bookmarkEnd w:id="182"/>
    </w:p>
    <w:p w14:paraId="09C54704">
      <w:pPr>
        <w:widowControl w:val="0"/>
        <w:numPr>
          <w:ilvl w:val="1"/>
          <w:numId w:val="0"/>
        </w:numPr>
        <w:overflowPunct w:val="0"/>
        <w:ind w:left="567" w:leftChars="0" w:hanging="567" w:firstLineChars="0"/>
        <w:rPr>
          <w:rFonts w:ascii="宋体" w:hAnsi="宋体" w:cs="宋体"/>
          <w:b/>
          <w:bCs/>
          <w:szCs w:val="21"/>
          <w:highlight w:val="none"/>
        </w:rPr>
      </w:pPr>
      <w:r>
        <w:rPr>
          <w:rFonts w:hint="default" w:ascii="宋体" w:hAnsi="宋体" w:eastAsia="宋体" w:cs="宋体"/>
          <w:b/>
          <w:bCs/>
          <w:sz w:val="21"/>
          <w:szCs w:val="21"/>
          <w:lang w:val="en-US" w:eastAsia="zh-CN" w:bidi="ar-SA"/>
        </w:rPr>
        <w:t>26.1.</w:t>
      </w:r>
      <w:r>
        <w:rPr>
          <w:rFonts w:hint="eastAsia" w:ascii="宋体" w:hAnsi="宋体" w:cs="宋体"/>
          <w:b/>
          <w:bCs/>
          <w:szCs w:val="21"/>
          <w:highlight w:val="none"/>
        </w:rPr>
        <w:t>资格性、符合性审查</w:t>
      </w:r>
    </w:p>
    <w:p w14:paraId="2B236934">
      <w:pPr>
        <w:widowControl w:val="0"/>
        <w:overflowPunct w:val="0"/>
        <w:ind w:firstLine="420" w:firstLineChars="200"/>
        <w:rPr>
          <w:rFonts w:ascii="宋体" w:hAnsi="宋体" w:cs="宋体"/>
          <w:szCs w:val="21"/>
          <w:highlight w:val="none"/>
        </w:rPr>
      </w:pPr>
      <w:r>
        <w:rPr>
          <w:rFonts w:hint="eastAsia" w:ascii="宋体" w:hAnsi="宋体" w:cs="宋体"/>
          <w:szCs w:val="21"/>
          <w:highlight w:val="none"/>
        </w:rPr>
        <w:t>公开采购项目开标结束后，评标委员会根据《资格性、符合性审查表》将依法对投标人进行资格性、符合性审查。投标人必须严格按照《资格性、符合性审查表》的评审内容的要求如实提供证明材料并应加盖投标人公章，对缺漏或不符合项将直接导致无效投标。合格投标人不足3家的，不得评标。未通过资格性、符合性审查的投标人不进入</w:t>
      </w:r>
      <w:r>
        <w:rPr>
          <w:rFonts w:hint="eastAsia" w:hAnsi="宋体" w:cs="宋体"/>
          <w:szCs w:val="21"/>
          <w:highlight w:val="none"/>
        </w:rPr>
        <w:t>评标阶段</w:t>
      </w:r>
      <w:r>
        <w:rPr>
          <w:rFonts w:hint="eastAsia" w:ascii="宋体" w:hAnsi="宋体" w:cs="宋体"/>
          <w:szCs w:val="21"/>
          <w:highlight w:val="none"/>
        </w:rPr>
        <w:t>的评审。</w:t>
      </w:r>
    </w:p>
    <w:p w14:paraId="2B85F24D">
      <w:pPr>
        <w:jc w:val="center"/>
        <w:rPr>
          <w:b/>
          <w:bCs/>
          <w:highlight w:val="none"/>
        </w:rPr>
      </w:pPr>
      <w:r>
        <w:rPr>
          <w:b/>
          <w:bCs/>
          <w:highlight w:val="none"/>
        </w:rPr>
        <w:t>《资格性</w:t>
      </w:r>
      <w:r>
        <w:rPr>
          <w:rFonts w:hint="eastAsia"/>
          <w:b/>
          <w:bCs/>
          <w:highlight w:val="none"/>
        </w:rPr>
        <w:t>、符合性</w:t>
      </w:r>
      <w:r>
        <w:rPr>
          <w:b/>
          <w:bCs/>
          <w:highlight w:val="none"/>
        </w:rPr>
        <w:t>审查表》</w:t>
      </w:r>
    </w:p>
    <w:tbl>
      <w:tblPr>
        <w:tblStyle w:val="3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9"/>
        <w:gridCol w:w="7823"/>
      </w:tblGrid>
      <w:tr w14:paraId="5CA05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tcBorders>
              <w:top w:val="single" w:color="auto" w:sz="4" w:space="0"/>
              <w:left w:val="single" w:color="auto" w:sz="4" w:space="0"/>
              <w:bottom w:val="single" w:color="auto" w:sz="4" w:space="0"/>
              <w:right w:val="single" w:color="auto" w:sz="4" w:space="0"/>
              <w:tl2br w:val="nil"/>
              <w:tr2bl w:val="nil"/>
            </w:tcBorders>
            <w:vAlign w:val="center"/>
          </w:tcPr>
          <w:p w14:paraId="556DB3B3">
            <w:pPr>
              <w:jc w:val="center"/>
              <w:rPr>
                <w:rFonts w:ascii="宋体" w:hAnsi="宋体" w:cs="宋体"/>
                <w:b/>
                <w:szCs w:val="21"/>
                <w:highlight w:val="none"/>
              </w:rPr>
            </w:pPr>
            <w:r>
              <w:rPr>
                <w:rFonts w:hint="eastAsia" w:ascii="宋体" w:hAnsi="宋体" w:cs="宋体"/>
                <w:b/>
                <w:szCs w:val="21"/>
                <w:highlight w:val="none"/>
              </w:rPr>
              <w:t>序号</w:t>
            </w: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14:paraId="2CE75837">
            <w:pPr>
              <w:jc w:val="center"/>
              <w:rPr>
                <w:rFonts w:ascii="宋体" w:hAnsi="宋体" w:cs="宋体"/>
                <w:b/>
                <w:szCs w:val="21"/>
                <w:highlight w:val="none"/>
              </w:rPr>
            </w:pPr>
            <w:r>
              <w:rPr>
                <w:rFonts w:hint="eastAsia" w:ascii="宋体" w:hAnsi="宋体" w:cs="宋体"/>
                <w:b/>
                <w:szCs w:val="21"/>
                <w:highlight w:val="none"/>
              </w:rPr>
              <w:t>评 审 内 容</w:t>
            </w:r>
          </w:p>
        </w:tc>
      </w:tr>
      <w:tr w14:paraId="0B2B5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Merge w:val="restart"/>
            <w:tcBorders>
              <w:top w:val="single" w:color="auto" w:sz="4" w:space="0"/>
              <w:left w:val="single" w:color="auto" w:sz="4" w:space="0"/>
              <w:right w:val="single" w:color="auto" w:sz="4" w:space="0"/>
              <w:tl2br w:val="nil"/>
              <w:tr2bl w:val="nil"/>
            </w:tcBorders>
            <w:vAlign w:val="center"/>
          </w:tcPr>
          <w:p w14:paraId="27D58921">
            <w:pPr>
              <w:numPr>
                <w:ilvl w:val="0"/>
                <w:numId w:val="5"/>
              </w:numPr>
              <w:tabs>
                <w:tab w:val="left" w:pos="176"/>
                <w:tab w:val="left" w:pos="612"/>
              </w:tabs>
              <w:jc w:val="center"/>
              <w:rPr>
                <w:rFonts w:ascii="宋体" w:hAnsi="宋体" w:cs="宋体"/>
                <w:szCs w:val="21"/>
                <w:highlight w:val="none"/>
              </w:rPr>
            </w:pP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14:paraId="4DC00D56">
            <w:pPr>
              <w:tabs>
                <w:tab w:val="left" w:pos="612"/>
              </w:tabs>
              <w:rPr>
                <w:rFonts w:ascii="宋体" w:hAnsi="宋体" w:cs="宋体"/>
                <w:szCs w:val="21"/>
                <w:highlight w:val="none"/>
              </w:rPr>
            </w:pPr>
            <w:r>
              <w:rPr>
                <w:rFonts w:hint="eastAsia" w:ascii="宋体" w:hAnsi="宋体" w:cs="宋体"/>
                <w:szCs w:val="21"/>
                <w:highlight w:val="none"/>
              </w:rPr>
              <w:t>（1）</w:t>
            </w:r>
            <w:r>
              <w:rPr>
                <w:rFonts w:hint="eastAsia" w:ascii="宋体" w:hAnsi="宋体"/>
                <w:szCs w:val="21"/>
              </w:rPr>
              <w:t>投标人须为在中华人民共和国境内登记注册的具有独立承担民事责任能力的法人或其他组织【提供《营业执照》复印件（加盖公章）或《事业单位法人证书》复印件（加盖公章）或其他主体证书复印件（加盖公章）】</w:t>
            </w:r>
            <w:r>
              <w:rPr>
                <w:rFonts w:hint="eastAsia" w:ascii="宋体" w:hAnsi="宋体" w:cs="宋体"/>
                <w:szCs w:val="21"/>
                <w:highlight w:val="none"/>
              </w:rPr>
              <w:t>；</w:t>
            </w:r>
          </w:p>
        </w:tc>
      </w:tr>
      <w:tr w14:paraId="6E93F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Merge w:val="continue"/>
            <w:tcBorders>
              <w:left w:val="single" w:color="auto" w:sz="4" w:space="0"/>
              <w:right w:val="single" w:color="auto" w:sz="4" w:space="0"/>
              <w:tl2br w:val="nil"/>
              <w:tr2bl w:val="nil"/>
            </w:tcBorders>
            <w:vAlign w:val="center"/>
          </w:tcPr>
          <w:p w14:paraId="33B44586">
            <w:pPr>
              <w:tabs>
                <w:tab w:val="left" w:pos="176"/>
                <w:tab w:val="left" w:pos="420"/>
                <w:tab w:val="left" w:pos="612"/>
              </w:tabs>
              <w:jc w:val="center"/>
              <w:rPr>
                <w:rFonts w:ascii="宋体" w:hAnsi="宋体" w:cs="宋体"/>
                <w:szCs w:val="21"/>
              </w:rPr>
            </w:pP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14:paraId="14F96308">
            <w:pPr>
              <w:tabs>
                <w:tab w:val="left" w:pos="612"/>
              </w:tabs>
              <w:rPr>
                <w:rFonts w:ascii="宋体" w:hAnsi="宋体" w:cs="宋体"/>
                <w:szCs w:val="21"/>
              </w:rPr>
            </w:pPr>
            <w:r>
              <w:rPr>
                <w:rFonts w:hint="eastAsia" w:ascii="宋体" w:hAnsi="宋体" w:cs="宋体"/>
                <w:szCs w:val="21"/>
              </w:rPr>
              <w:t>（2）</w:t>
            </w:r>
            <w:r>
              <w:rPr>
                <w:rFonts w:hint="eastAsia" w:ascii="宋体" w:hAnsi="宋体"/>
                <w:szCs w:val="21"/>
              </w:rPr>
              <w:t>参加采购活动前三年内，</w:t>
            </w:r>
            <w:r>
              <w:rPr>
                <w:rFonts w:hint="eastAsia" w:ascii="宋体" w:hAnsi="宋体"/>
                <w:szCs w:val="21"/>
                <w:highlight w:val="none"/>
              </w:rPr>
              <w:t>在经营活动中没有重大违法记录（须提供书面声明）。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如有最新发文通知，按最新文件执行）</w:t>
            </w:r>
            <w:r>
              <w:rPr>
                <w:rFonts w:hint="eastAsia" w:ascii="宋体" w:hAnsi="宋体" w:cs="宋体"/>
                <w:szCs w:val="21"/>
              </w:rPr>
              <w:t>；</w:t>
            </w:r>
          </w:p>
        </w:tc>
      </w:tr>
      <w:tr w14:paraId="7510A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Merge w:val="continue"/>
            <w:tcBorders>
              <w:left w:val="single" w:color="auto" w:sz="4" w:space="0"/>
              <w:right w:val="single" w:color="auto" w:sz="4" w:space="0"/>
              <w:tl2br w:val="nil"/>
              <w:tr2bl w:val="nil"/>
            </w:tcBorders>
            <w:vAlign w:val="center"/>
          </w:tcPr>
          <w:p w14:paraId="5CF416A4">
            <w:pPr>
              <w:tabs>
                <w:tab w:val="left" w:pos="176"/>
                <w:tab w:val="left" w:pos="420"/>
                <w:tab w:val="left" w:pos="612"/>
              </w:tabs>
              <w:jc w:val="center"/>
              <w:rPr>
                <w:rFonts w:ascii="宋体" w:hAnsi="宋体" w:cs="宋体"/>
                <w:szCs w:val="21"/>
              </w:rPr>
            </w:pP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14:paraId="1C668DF7">
            <w:pPr>
              <w:tabs>
                <w:tab w:val="left" w:pos="612"/>
              </w:tabs>
              <w:rPr>
                <w:rFonts w:ascii="宋体" w:hAnsi="宋体" w:cs="宋体"/>
                <w:szCs w:val="21"/>
              </w:rPr>
            </w:pPr>
            <w:r>
              <w:rPr>
                <w:rFonts w:hint="eastAsia" w:ascii="宋体" w:hAnsi="宋体" w:cs="宋体"/>
                <w:szCs w:val="21"/>
              </w:rPr>
              <w:t>（3）</w:t>
            </w:r>
            <w:r>
              <w:rPr>
                <w:rFonts w:hint="eastAsia" w:ascii="宋体" w:hAnsi="宋体"/>
                <w:szCs w:val="21"/>
                <w:highlight w:val="none"/>
              </w:rPr>
              <w:t>投标人的单位负责人为同一人或者存在直接控股、管理关系的不同投标人，不得参加同一合同项下的采购活动</w:t>
            </w:r>
            <w:r>
              <w:rPr>
                <w:rFonts w:hint="eastAsia" w:ascii="宋体" w:hAnsi="宋体" w:cs="宋体"/>
                <w:szCs w:val="21"/>
              </w:rPr>
              <w:t>；</w:t>
            </w:r>
          </w:p>
        </w:tc>
      </w:tr>
      <w:tr w14:paraId="096A4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Merge w:val="continue"/>
            <w:tcBorders>
              <w:left w:val="single" w:color="auto" w:sz="4" w:space="0"/>
              <w:right w:val="single" w:color="auto" w:sz="4" w:space="0"/>
              <w:tl2br w:val="nil"/>
              <w:tr2bl w:val="nil"/>
            </w:tcBorders>
            <w:vAlign w:val="center"/>
          </w:tcPr>
          <w:p w14:paraId="3EA7767D">
            <w:pPr>
              <w:tabs>
                <w:tab w:val="left" w:pos="176"/>
                <w:tab w:val="left" w:pos="420"/>
                <w:tab w:val="left" w:pos="612"/>
              </w:tabs>
              <w:jc w:val="center"/>
              <w:rPr>
                <w:rFonts w:ascii="宋体" w:hAnsi="宋体" w:cs="宋体"/>
                <w:szCs w:val="21"/>
              </w:rPr>
            </w:pP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14:paraId="2A993F10">
            <w:pPr>
              <w:tabs>
                <w:tab w:val="left" w:pos="612"/>
              </w:tabs>
              <w:rPr>
                <w:rFonts w:ascii="宋体" w:hAnsi="宋体" w:cs="宋体"/>
                <w:szCs w:val="21"/>
              </w:rPr>
            </w:pPr>
            <w:r>
              <w:rPr>
                <w:rFonts w:hint="eastAsia" w:ascii="宋体" w:hAnsi="宋体" w:cs="宋体"/>
                <w:szCs w:val="21"/>
              </w:rPr>
              <w:t>（4）</w:t>
            </w:r>
            <w:r>
              <w:rPr>
                <w:rFonts w:hint="eastAsia" w:ascii="宋体" w:hAnsi="宋体"/>
                <w:szCs w:val="21"/>
                <w:highlight w:val="none"/>
              </w:rPr>
              <w:t>未被列入“信用中国”网站(www.creditchina.gov.cn )“失信被执行人或</w:t>
            </w:r>
            <w:r>
              <w:rPr>
                <w:rFonts w:hint="eastAsia"/>
                <w:highlight w:val="none"/>
              </w:rPr>
              <w:t>重大税收违法失信主体名单</w:t>
            </w:r>
            <w:r>
              <w:rPr>
                <w:rFonts w:hint="eastAsia" w:ascii="宋体" w:hAnsi="宋体"/>
                <w:szCs w:val="21"/>
                <w:highlight w:val="none"/>
              </w:rPr>
              <w:t>或政府采购严重违法失信行为记录名单”记录名单。以代理机构于投标截止日当天在“信用中国”网站查询结果为准，如相关失信记录已失效，投标人需提供相关证明资料。</w:t>
            </w:r>
            <w:r>
              <w:rPr>
                <w:rFonts w:hint="eastAsia" w:ascii="宋体" w:hAnsi="宋体" w:cs="宋体"/>
                <w:szCs w:val="21"/>
              </w:rPr>
              <w:t>；</w:t>
            </w:r>
          </w:p>
        </w:tc>
      </w:tr>
      <w:tr w14:paraId="0CD2D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Merge w:val="continue"/>
            <w:tcBorders>
              <w:left w:val="single" w:color="auto" w:sz="4" w:space="0"/>
              <w:right w:val="single" w:color="auto" w:sz="4" w:space="0"/>
              <w:tl2br w:val="nil"/>
              <w:tr2bl w:val="nil"/>
            </w:tcBorders>
            <w:vAlign w:val="center"/>
          </w:tcPr>
          <w:p w14:paraId="701BF98D">
            <w:pPr>
              <w:tabs>
                <w:tab w:val="left" w:pos="176"/>
                <w:tab w:val="left" w:pos="420"/>
                <w:tab w:val="left" w:pos="612"/>
              </w:tabs>
              <w:jc w:val="center"/>
              <w:rPr>
                <w:rFonts w:ascii="宋体" w:hAnsi="宋体" w:cs="宋体"/>
                <w:szCs w:val="21"/>
              </w:rPr>
            </w:pP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14:paraId="4CC8D728">
            <w:pPr>
              <w:tabs>
                <w:tab w:val="left" w:pos="612"/>
              </w:tabs>
              <w:rPr>
                <w:rFonts w:ascii="宋体" w:hAnsi="宋体" w:cs="宋体"/>
                <w:szCs w:val="21"/>
                <w:highlight w:val="none"/>
              </w:rPr>
            </w:pPr>
            <w:r>
              <w:rPr>
                <w:rFonts w:hint="eastAsia" w:ascii="宋体" w:hAnsi="宋体" w:cs="宋体"/>
                <w:szCs w:val="21"/>
                <w:highlight w:val="none"/>
              </w:rPr>
              <w:t>（5）</w:t>
            </w:r>
            <w:r>
              <w:rPr>
                <w:rFonts w:hint="eastAsia" w:ascii="宋体" w:hAnsi="宋体"/>
                <w:color w:val="auto"/>
                <w:szCs w:val="21"/>
                <w:highlight w:val="none"/>
              </w:rPr>
              <w:t>未被列入东莞实业投资控股集团有限公司及下属企业相关领域黑名单</w:t>
            </w:r>
            <w:r>
              <w:rPr>
                <w:rFonts w:hint="eastAsia" w:ascii="宋体" w:hAnsi="宋体" w:cs="宋体"/>
                <w:szCs w:val="21"/>
                <w:highlight w:val="none"/>
              </w:rPr>
              <w:t>。</w:t>
            </w:r>
          </w:p>
        </w:tc>
      </w:tr>
      <w:tr w14:paraId="6C1D4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vMerge w:val="continue"/>
            <w:tcBorders>
              <w:left w:val="single" w:color="auto" w:sz="4" w:space="0"/>
              <w:bottom w:val="single" w:color="auto" w:sz="4" w:space="0"/>
              <w:right w:val="single" w:color="auto" w:sz="4" w:space="0"/>
              <w:tl2br w:val="nil"/>
              <w:tr2bl w:val="nil"/>
            </w:tcBorders>
            <w:vAlign w:val="center"/>
          </w:tcPr>
          <w:p w14:paraId="182F6581">
            <w:pPr>
              <w:tabs>
                <w:tab w:val="left" w:pos="176"/>
                <w:tab w:val="left" w:pos="420"/>
                <w:tab w:val="left" w:pos="612"/>
              </w:tabs>
              <w:jc w:val="center"/>
              <w:rPr>
                <w:rFonts w:ascii="宋体" w:hAnsi="宋体" w:cs="宋体"/>
                <w:szCs w:val="21"/>
              </w:rPr>
            </w:pP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14:paraId="45F2B2A3">
            <w:pPr>
              <w:tabs>
                <w:tab w:val="left" w:pos="612"/>
              </w:tabs>
              <w:rPr>
                <w:rFonts w:ascii="宋体" w:hAnsi="宋体" w:cs="宋体"/>
                <w:szCs w:val="21"/>
              </w:rPr>
            </w:pPr>
            <w:r>
              <w:rPr>
                <w:rFonts w:hint="eastAsia" w:ascii="宋体" w:hAnsi="宋体" w:cs="宋体"/>
                <w:szCs w:val="21"/>
              </w:rPr>
              <w:t>（6）</w:t>
            </w:r>
            <w:r>
              <w:rPr>
                <w:rFonts w:hint="eastAsia" w:ascii="宋体" w:hAnsi="宋体" w:eastAsia="宋体"/>
                <w:color w:val="auto"/>
                <w:szCs w:val="21"/>
                <w:highlight w:val="none"/>
              </w:rPr>
              <w:t>本项目（不接受）</w:t>
            </w:r>
            <w:bookmarkStart w:id="307" w:name="_GoBack"/>
            <w:r>
              <w:rPr>
                <w:rFonts w:hint="eastAsia" w:ascii="宋体" w:hAnsi="宋体" w:eastAsia="宋体"/>
                <w:color w:val="auto"/>
                <w:szCs w:val="21"/>
                <w:highlight w:val="none"/>
              </w:rPr>
              <w:t>联合体</w:t>
            </w:r>
            <w:bookmarkEnd w:id="307"/>
            <w:r>
              <w:rPr>
                <w:rFonts w:hint="eastAsia" w:ascii="宋体" w:hAnsi="宋体" w:eastAsia="宋体"/>
                <w:color w:val="auto"/>
                <w:szCs w:val="21"/>
                <w:highlight w:val="none"/>
              </w:rPr>
              <w:t>投标。</w:t>
            </w:r>
          </w:p>
        </w:tc>
      </w:tr>
      <w:tr w14:paraId="260EB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tcBorders>
              <w:top w:val="single" w:color="auto" w:sz="4" w:space="0"/>
              <w:left w:val="single" w:color="auto" w:sz="4" w:space="0"/>
              <w:bottom w:val="single" w:color="auto" w:sz="4" w:space="0"/>
              <w:right w:val="single" w:color="auto" w:sz="4" w:space="0"/>
              <w:tl2br w:val="nil"/>
              <w:tr2bl w:val="nil"/>
            </w:tcBorders>
            <w:vAlign w:val="center"/>
          </w:tcPr>
          <w:p w14:paraId="5D312660">
            <w:pPr>
              <w:numPr>
                <w:ilvl w:val="0"/>
                <w:numId w:val="5"/>
              </w:numPr>
              <w:tabs>
                <w:tab w:val="left" w:pos="176"/>
                <w:tab w:val="left" w:pos="612"/>
              </w:tabs>
              <w:jc w:val="center"/>
              <w:rPr>
                <w:rFonts w:ascii="宋体" w:hAnsi="宋体" w:cs="宋体"/>
                <w:szCs w:val="21"/>
              </w:rPr>
            </w:pP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14:paraId="6893CDF5">
            <w:pPr>
              <w:textAlignment w:val="center"/>
              <w:rPr>
                <w:rFonts w:ascii="宋体" w:hAnsi="宋体" w:cs="宋体"/>
                <w:szCs w:val="21"/>
                <w:lang w:bidi="ar"/>
              </w:rPr>
            </w:pPr>
            <w:r>
              <w:rPr>
                <w:rFonts w:hint="eastAsia" w:ascii="宋体" w:hAnsi="宋体" w:cs="宋体"/>
                <w:szCs w:val="21"/>
                <w:lang w:bidi="ar"/>
              </w:rPr>
              <w:t>投标人按照采购文件要求提交投标保证金；</w:t>
            </w:r>
          </w:p>
        </w:tc>
      </w:tr>
      <w:tr w14:paraId="7B7DE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tcBorders>
              <w:top w:val="single" w:color="auto" w:sz="4" w:space="0"/>
              <w:left w:val="single" w:color="auto" w:sz="4" w:space="0"/>
              <w:bottom w:val="single" w:color="auto" w:sz="4" w:space="0"/>
              <w:right w:val="single" w:color="auto" w:sz="4" w:space="0"/>
              <w:tl2br w:val="nil"/>
              <w:tr2bl w:val="nil"/>
            </w:tcBorders>
            <w:vAlign w:val="center"/>
          </w:tcPr>
          <w:p w14:paraId="59205354">
            <w:pPr>
              <w:numPr>
                <w:ilvl w:val="0"/>
                <w:numId w:val="5"/>
              </w:numPr>
              <w:tabs>
                <w:tab w:val="left" w:pos="176"/>
                <w:tab w:val="left" w:pos="612"/>
              </w:tabs>
              <w:jc w:val="center"/>
              <w:rPr>
                <w:rFonts w:ascii="宋体" w:hAnsi="宋体" w:cs="宋体"/>
                <w:szCs w:val="21"/>
              </w:rPr>
            </w:pP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14:paraId="37061CD0">
            <w:pPr>
              <w:textAlignment w:val="center"/>
              <w:rPr>
                <w:rFonts w:ascii="宋体" w:hAnsi="宋体" w:cs="宋体"/>
                <w:szCs w:val="21"/>
              </w:rPr>
            </w:pPr>
            <w:r>
              <w:rPr>
                <w:rFonts w:hint="eastAsia" w:ascii="宋体" w:hAnsi="宋体" w:cs="宋体"/>
                <w:szCs w:val="21"/>
                <w:lang w:bidi="ar"/>
              </w:rPr>
              <w:t>投标文件按照采购文件要求签署盖章；</w:t>
            </w:r>
          </w:p>
        </w:tc>
      </w:tr>
      <w:tr w14:paraId="71D96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tcBorders>
              <w:top w:val="single" w:color="auto" w:sz="4" w:space="0"/>
              <w:left w:val="single" w:color="auto" w:sz="4" w:space="0"/>
              <w:bottom w:val="single" w:color="auto" w:sz="4" w:space="0"/>
              <w:right w:val="single" w:color="auto" w:sz="4" w:space="0"/>
              <w:tl2br w:val="nil"/>
              <w:tr2bl w:val="nil"/>
            </w:tcBorders>
            <w:vAlign w:val="center"/>
          </w:tcPr>
          <w:p w14:paraId="382937C8">
            <w:pPr>
              <w:numPr>
                <w:ilvl w:val="0"/>
                <w:numId w:val="5"/>
              </w:numPr>
              <w:tabs>
                <w:tab w:val="left" w:pos="176"/>
                <w:tab w:val="left" w:pos="612"/>
              </w:tabs>
              <w:jc w:val="center"/>
              <w:rPr>
                <w:rFonts w:ascii="宋体" w:hAnsi="宋体" w:cs="宋体"/>
                <w:szCs w:val="21"/>
              </w:rPr>
            </w:pP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14:paraId="29AEBE42">
            <w:pPr>
              <w:textAlignment w:val="center"/>
              <w:rPr>
                <w:rFonts w:ascii="宋体" w:hAnsi="宋体" w:cs="宋体"/>
                <w:szCs w:val="21"/>
              </w:rPr>
            </w:pPr>
            <w:r>
              <w:rPr>
                <w:rFonts w:hint="eastAsia" w:ascii="宋体" w:hAnsi="宋体" w:cs="宋体"/>
                <w:szCs w:val="21"/>
                <w:lang w:bidi="ar"/>
              </w:rPr>
              <w:t>投标总价未超出采购预算或最高限价；</w:t>
            </w:r>
          </w:p>
        </w:tc>
      </w:tr>
      <w:tr w14:paraId="3B602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tcBorders>
              <w:top w:val="single" w:color="auto" w:sz="4" w:space="0"/>
              <w:left w:val="single" w:color="auto" w:sz="4" w:space="0"/>
              <w:bottom w:val="single" w:color="auto" w:sz="4" w:space="0"/>
              <w:right w:val="single" w:color="auto" w:sz="4" w:space="0"/>
              <w:tl2br w:val="nil"/>
              <w:tr2bl w:val="nil"/>
            </w:tcBorders>
            <w:vAlign w:val="center"/>
          </w:tcPr>
          <w:p w14:paraId="43CF9E68">
            <w:pPr>
              <w:tabs>
                <w:tab w:val="left" w:pos="176"/>
                <w:tab w:val="left" w:pos="612"/>
              </w:tabs>
              <w:ind w:firstLine="210" w:firstLineChars="100"/>
              <w:jc w:val="both"/>
              <w:rPr>
                <w:rFonts w:ascii="宋体" w:hAnsi="宋体" w:cs="宋体"/>
                <w:szCs w:val="21"/>
              </w:rPr>
            </w:pPr>
            <w:r>
              <w:rPr>
                <w:rFonts w:hint="eastAsia" w:ascii="宋体" w:hAnsi="宋体" w:cs="宋体"/>
                <w:szCs w:val="21"/>
              </w:rPr>
              <w:t>5</w:t>
            </w: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14:paraId="2466994E">
            <w:pPr>
              <w:textAlignment w:val="center"/>
              <w:rPr>
                <w:rFonts w:ascii="宋体" w:hAnsi="宋体" w:cs="宋体"/>
                <w:szCs w:val="21"/>
                <w:lang w:bidi="ar"/>
              </w:rPr>
            </w:pPr>
            <w:r>
              <w:rPr>
                <w:rFonts w:hint="eastAsia" w:ascii="宋体" w:hAnsi="宋体" w:cs="宋体"/>
                <w:szCs w:val="21"/>
                <w:lang w:bidi="ar"/>
              </w:rPr>
              <w:t>投标文件未含有采购人不能接受的附加条件；</w:t>
            </w:r>
          </w:p>
        </w:tc>
      </w:tr>
      <w:tr w14:paraId="1DB06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tcBorders>
              <w:top w:val="single" w:color="auto" w:sz="4" w:space="0"/>
              <w:left w:val="single" w:color="auto" w:sz="4" w:space="0"/>
              <w:bottom w:val="single" w:color="auto" w:sz="4" w:space="0"/>
              <w:right w:val="single" w:color="auto" w:sz="4" w:space="0"/>
              <w:tl2br w:val="nil"/>
              <w:tr2bl w:val="nil"/>
            </w:tcBorders>
            <w:vAlign w:val="center"/>
          </w:tcPr>
          <w:p w14:paraId="51E40814">
            <w:pPr>
              <w:tabs>
                <w:tab w:val="left" w:pos="176"/>
                <w:tab w:val="left" w:pos="612"/>
              </w:tabs>
              <w:ind w:firstLine="210" w:firstLineChars="100"/>
              <w:jc w:val="both"/>
              <w:rPr>
                <w:rFonts w:ascii="宋体" w:hAnsi="宋体" w:cs="宋体"/>
                <w:szCs w:val="21"/>
              </w:rPr>
            </w:pPr>
            <w:r>
              <w:rPr>
                <w:rFonts w:hint="eastAsia" w:ascii="宋体" w:hAnsi="宋体" w:cs="宋体"/>
                <w:szCs w:val="21"/>
              </w:rPr>
              <w:t>6</w:t>
            </w: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14:paraId="66B43F5A">
            <w:pPr>
              <w:textAlignment w:val="center"/>
              <w:rPr>
                <w:rFonts w:ascii="宋体" w:hAnsi="宋体" w:cs="宋体"/>
                <w:szCs w:val="21"/>
              </w:rPr>
            </w:pPr>
            <w:r>
              <w:rPr>
                <w:rFonts w:hint="eastAsia" w:ascii="宋体" w:hAnsi="宋体" w:cs="宋体"/>
                <w:szCs w:val="21"/>
                <w:lang w:bidi="ar"/>
              </w:rPr>
              <w:t>无负偏离标注“★”符号的条款。</w:t>
            </w:r>
          </w:p>
        </w:tc>
      </w:tr>
      <w:tr w14:paraId="708CD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0" w:type="pct"/>
            <w:tcBorders>
              <w:top w:val="single" w:color="auto" w:sz="4" w:space="0"/>
              <w:left w:val="single" w:color="auto" w:sz="4" w:space="0"/>
              <w:bottom w:val="single" w:color="auto" w:sz="4" w:space="0"/>
              <w:right w:val="single" w:color="auto" w:sz="4" w:space="0"/>
              <w:tl2br w:val="nil"/>
              <w:tr2bl w:val="nil"/>
            </w:tcBorders>
            <w:vAlign w:val="center"/>
          </w:tcPr>
          <w:p w14:paraId="5F6D406E">
            <w:pPr>
              <w:tabs>
                <w:tab w:val="left" w:pos="176"/>
                <w:tab w:val="left" w:pos="612"/>
              </w:tabs>
              <w:ind w:firstLine="210" w:firstLineChars="100"/>
              <w:jc w:val="both"/>
              <w:rPr>
                <w:rFonts w:ascii="宋体" w:hAnsi="宋体" w:cs="宋体"/>
                <w:szCs w:val="21"/>
              </w:rPr>
            </w:pPr>
            <w:r>
              <w:rPr>
                <w:rFonts w:hint="eastAsia" w:ascii="宋体" w:hAnsi="宋体" w:cs="宋体"/>
                <w:szCs w:val="21"/>
              </w:rPr>
              <w:t>7</w:t>
            </w:r>
          </w:p>
        </w:tc>
        <w:tc>
          <w:tcPr>
            <w:tcW w:w="4589" w:type="pct"/>
            <w:tcBorders>
              <w:top w:val="single" w:color="auto" w:sz="4" w:space="0"/>
              <w:left w:val="single" w:color="auto" w:sz="4" w:space="0"/>
              <w:bottom w:val="single" w:color="auto" w:sz="4" w:space="0"/>
              <w:right w:val="single" w:color="auto" w:sz="4" w:space="0"/>
              <w:tl2br w:val="nil"/>
              <w:tr2bl w:val="nil"/>
            </w:tcBorders>
            <w:vAlign w:val="center"/>
          </w:tcPr>
          <w:p w14:paraId="5D602EED">
            <w:pPr>
              <w:textAlignment w:val="center"/>
              <w:rPr>
                <w:rFonts w:ascii="宋体" w:hAnsi="宋体" w:cs="宋体"/>
                <w:szCs w:val="21"/>
                <w:lang w:bidi="ar"/>
              </w:rPr>
            </w:pPr>
            <w:r>
              <w:rPr>
                <w:rFonts w:hint="eastAsia" w:ascii="宋体" w:hAnsi="宋体" w:cs="宋体"/>
                <w:szCs w:val="21"/>
              </w:rPr>
              <w:t>未出现</w:t>
            </w:r>
            <w:r>
              <w:rPr>
                <w:rFonts w:hint="eastAsia" w:ascii="宋体" w:hAnsi="宋体" w:cs="宋体"/>
                <w:szCs w:val="21"/>
                <w:lang w:bidi="ar"/>
              </w:rPr>
              <w:t>法律、法规和招标文件规定的其他无效情形。</w:t>
            </w:r>
          </w:p>
        </w:tc>
      </w:tr>
    </w:tbl>
    <w:p w14:paraId="0C486B49">
      <w:pPr>
        <w:widowControl w:val="0"/>
        <w:overflowPunct w:val="0"/>
        <w:ind w:firstLine="420" w:firstLineChars="200"/>
        <w:rPr>
          <w:rFonts w:ascii="宋体" w:hAnsi="宋体"/>
          <w:szCs w:val="21"/>
        </w:rPr>
      </w:pPr>
      <w:r>
        <w:rPr>
          <w:rFonts w:hint="eastAsia" w:ascii="宋体" w:hAnsi="宋体"/>
          <w:szCs w:val="21"/>
        </w:rPr>
        <w:t>以上资格性、符合性审查中带有不合格分项的投标文件，将作无效标处理。经评标委员会确认的无效投标文件，采购人和采购代理机构将予以拒绝，并且不允许通过修正或撤消其不符合要求的差异，使之成为具有符合性的投标文件。经评标委员会资格性、符合性审查确认具有有效投标文件的投标人不足三家时将重新组织采购</w:t>
      </w:r>
    </w:p>
    <w:p w14:paraId="60EA48D9">
      <w:pPr>
        <w:widowControl w:val="0"/>
        <w:numPr>
          <w:ilvl w:val="1"/>
          <w:numId w:val="0"/>
        </w:numPr>
        <w:overflowPunct w:val="0"/>
        <w:ind w:left="567" w:leftChars="0" w:hanging="567" w:firstLineChars="0"/>
        <w:rPr>
          <w:rFonts w:ascii="宋体" w:hAnsi="宋体" w:cs="宋体"/>
          <w:b/>
          <w:bCs/>
          <w:szCs w:val="21"/>
        </w:rPr>
      </w:pPr>
      <w:r>
        <w:rPr>
          <w:rFonts w:hint="default" w:ascii="宋体" w:hAnsi="宋体" w:eastAsia="宋体" w:cs="宋体"/>
          <w:b/>
          <w:bCs/>
          <w:sz w:val="21"/>
          <w:szCs w:val="21"/>
          <w:lang w:val="en-US" w:eastAsia="zh-CN" w:bidi="ar-SA"/>
        </w:rPr>
        <w:t>26.2.</w:t>
      </w:r>
      <w:r>
        <w:rPr>
          <w:rFonts w:hint="eastAsia" w:ascii="宋体" w:hAnsi="宋体" w:cs="宋体"/>
          <w:b/>
          <w:bCs/>
          <w:szCs w:val="21"/>
        </w:rPr>
        <w:t>投标文件报价出现前后不一致的，评标委员会按照下列规定修正：</w:t>
      </w:r>
    </w:p>
    <w:p w14:paraId="7360EFF3">
      <w:pPr>
        <w:widowControl w:val="0"/>
        <w:numPr>
          <w:ilvl w:val="0"/>
          <w:numId w:val="6"/>
        </w:numPr>
        <w:overflowPunct w:val="0"/>
        <w:rPr>
          <w:rFonts w:ascii="宋体" w:hAnsi="宋体" w:cs="宋体"/>
          <w:szCs w:val="21"/>
        </w:rPr>
      </w:pPr>
      <w:r>
        <w:rPr>
          <w:rFonts w:hint="eastAsia" w:ascii="宋体" w:hAnsi="宋体" w:cs="宋体"/>
          <w:szCs w:val="21"/>
        </w:rPr>
        <w:t>投标文件中开标一览表（报价表）内容与投标文件中相应内容不一致的，以开标一览表（报价表）为准；</w:t>
      </w:r>
    </w:p>
    <w:p w14:paraId="0FAB316C">
      <w:pPr>
        <w:widowControl w:val="0"/>
        <w:numPr>
          <w:ilvl w:val="0"/>
          <w:numId w:val="6"/>
        </w:numPr>
        <w:overflowPunct w:val="0"/>
        <w:rPr>
          <w:rFonts w:ascii="宋体" w:hAnsi="宋体" w:cs="宋体"/>
          <w:szCs w:val="21"/>
        </w:rPr>
      </w:pPr>
      <w:r>
        <w:rPr>
          <w:rFonts w:hint="eastAsia" w:ascii="宋体" w:hAnsi="宋体" w:cs="宋体"/>
          <w:szCs w:val="21"/>
        </w:rPr>
        <w:t>大写金额和小写金额不一致的，以大写金额为准；</w:t>
      </w:r>
    </w:p>
    <w:p w14:paraId="43FE2223">
      <w:pPr>
        <w:widowControl w:val="0"/>
        <w:numPr>
          <w:ilvl w:val="0"/>
          <w:numId w:val="6"/>
        </w:numPr>
        <w:overflowPunct w:val="0"/>
        <w:rPr>
          <w:rFonts w:ascii="宋体" w:hAnsi="宋体" w:cs="宋体"/>
          <w:szCs w:val="21"/>
        </w:rPr>
      </w:pPr>
      <w:r>
        <w:rPr>
          <w:rFonts w:hint="eastAsia" w:ascii="宋体" w:hAnsi="宋体" w:cs="宋体"/>
          <w:szCs w:val="21"/>
        </w:rPr>
        <w:t>单价金额小数点或者百分比有明显错位的，以开标一览表的总价为准，并修改单价；</w:t>
      </w:r>
    </w:p>
    <w:p w14:paraId="4042724E">
      <w:pPr>
        <w:widowControl w:val="0"/>
        <w:numPr>
          <w:ilvl w:val="0"/>
          <w:numId w:val="6"/>
        </w:numPr>
        <w:overflowPunct w:val="0"/>
        <w:rPr>
          <w:rFonts w:ascii="宋体" w:hAnsi="宋体" w:cs="宋体"/>
          <w:szCs w:val="21"/>
        </w:rPr>
      </w:pPr>
      <w:r>
        <w:rPr>
          <w:rFonts w:hint="eastAsia" w:ascii="宋体" w:hAnsi="宋体" w:cs="宋体"/>
          <w:szCs w:val="21"/>
        </w:rPr>
        <w:t>总价金额与按单价汇总金额不一致的，以单价金额计算结果为准。</w:t>
      </w:r>
    </w:p>
    <w:p w14:paraId="4CA94836">
      <w:pPr>
        <w:widowControl w:val="0"/>
        <w:numPr>
          <w:ilvl w:val="0"/>
          <w:numId w:val="6"/>
        </w:numPr>
        <w:overflowPunct w:val="0"/>
        <w:rPr>
          <w:rFonts w:ascii="宋体" w:hAnsi="宋体" w:cs="宋体"/>
          <w:szCs w:val="21"/>
        </w:rPr>
      </w:pPr>
      <w:r>
        <w:rPr>
          <w:rFonts w:hint="eastAsia" w:ascii="宋体" w:hAnsi="宋体" w:cs="宋体"/>
          <w:szCs w:val="21"/>
        </w:rPr>
        <w:t>同时出现两种以上不一致的，按照前款规定的顺序修正。修正后的报价按照经投标人确认后产生约束力，投标人不确认的，其投标无效。</w:t>
      </w:r>
    </w:p>
    <w:p w14:paraId="7531B34A">
      <w:pPr>
        <w:widowControl w:val="0"/>
        <w:overflowPunct w:val="0"/>
        <w:ind w:left="630" w:hanging="630" w:hangingChars="300"/>
        <w:rPr>
          <w:rFonts w:ascii="宋体" w:hAnsi="宋体" w:cs="宋体"/>
          <w:szCs w:val="21"/>
        </w:rPr>
      </w:pPr>
      <w:r>
        <w:rPr>
          <w:rFonts w:hint="eastAsia" w:ascii="宋体" w:hAnsi="宋体" w:cs="宋体"/>
          <w:szCs w:val="21"/>
        </w:rPr>
        <w:t>26.3  评标委员会认为投标人的报价明显低于其他通过符合性审查投标人的报价，有可能影响产品质量或者不能诚信履约的，应当要求其在评标现场合理的时间内提供书面说明（以现场通知时间为准），必要时提交相关证明材料；投标人不能证明其报价合理性的，评标委员会应当将其作为无效投标处理。</w:t>
      </w:r>
    </w:p>
    <w:p w14:paraId="0421E744">
      <w:pPr>
        <w:widowControl w:val="0"/>
        <w:overflowPunct w:val="0"/>
        <w:ind w:left="630" w:hanging="630" w:hangingChars="300"/>
        <w:rPr>
          <w:rFonts w:ascii="宋体" w:hAnsi="宋体" w:cs="宋体"/>
          <w:szCs w:val="21"/>
        </w:rPr>
      </w:pPr>
      <w:r>
        <w:rPr>
          <w:rFonts w:hint="eastAsia" w:ascii="宋体" w:hAnsi="宋体" w:cs="宋体"/>
          <w:szCs w:val="21"/>
        </w:rPr>
        <w:t>26.4  对于投标文件中不构成实质性偏差的不正规、不一致或不规则，评标委员会可以接受，但这种接受不能损害或影响任何投标人的相对排序。</w:t>
      </w:r>
    </w:p>
    <w:p w14:paraId="2569E3A2">
      <w:pPr>
        <w:widowControl w:val="0"/>
        <w:overflowPunct w:val="0"/>
        <w:ind w:left="630" w:hanging="630" w:hangingChars="300"/>
      </w:pPr>
      <w:r>
        <w:rPr>
          <w:rFonts w:hint="eastAsia" w:ascii="宋体" w:hAnsi="宋体" w:cs="宋体"/>
          <w:szCs w:val="21"/>
        </w:rPr>
        <w:t>26.5  在详细评标之前，评标委员会要审查每份投标文件是否实质上响应了采购文件的要求。实质上响应的投标应该是与采购文件要求的全部主要条款（加“★”号）、条件和规格相符，没有重大偏离的投标。对关键条文的偏离、保留或反对，例如关于投标保证金、合同条款的重大偏离将被认为是实质上的偏离。评标委员会决定投标文件的响应性只根据投标文件本身的内容，而不寻求外部的证据。</w:t>
      </w:r>
    </w:p>
    <w:p w14:paraId="7550A385">
      <w:pPr>
        <w:pStyle w:val="8"/>
        <w:widowControl w:val="0"/>
        <w:numPr>
          <w:ilvl w:val="0"/>
          <w:numId w:val="0"/>
        </w:numPr>
        <w:overflowPunct w:val="0"/>
        <w:ind w:left="425" w:leftChars="0" w:hanging="425" w:firstLineChars="0"/>
        <w:rPr>
          <w:rFonts w:ascii="宋体" w:hAnsi="宋体" w:cs="宋体"/>
          <w:sz w:val="21"/>
          <w:szCs w:val="21"/>
        </w:rPr>
      </w:pPr>
      <w:bookmarkStart w:id="183" w:name="_Toc4799"/>
      <w:bookmarkStart w:id="184" w:name="_Toc1291"/>
      <w:r>
        <w:rPr>
          <w:rFonts w:hint="default" w:ascii="宋体" w:hAnsi="宋体" w:eastAsia="宋体" w:cs="宋体"/>
          <w:b/>
          <w:sz w:val="21"/>
          <w:szCs w:val="21"/>
          <w:lang w:val="en-US" w:eastAsia="zh-CN" w:bidi="ar-SA"/>
        </w:rPr>
        <w:t>27.</w:t>
      </w:r>
      <w:r>
        <w:rPr>
          <w:rFonts w:hint="eastAsia" w:ascii="宋体" w:hAnsi="宋体" w:cs="宋体"/>
          <w:sz w:val="21"/>
          <w:szCs w:val="21"/>
        </w:rPr>
        <w:t>商务、技术、价格评审（具体评审项目详见投标资料表）</w:t>
      </w:r>
      <w:bookmarkEnd w:id="183"/>
      <w:bookmarkEnd w:id="184"/>
    </w:p>
    <w:p w14:paraId="0D93CCE0">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27.1.</w:t>
      </w:r>
      <w:r>
        <w:rPr>
          <w:rFonts w:hint="eastAsia" w:ascii="宋体" w:hAnsi="宋体" w:cs="宋体"/>
          <w:szCs w:val="21"/>
        </w:rPr>
        <w:t xml:space="preserve">对通过资格性、符合性审查的有效供应商方有资格进入综合评审。采购文件中要求投标人提供的相关资质证书证明材料因国家政策变动导致新旧证书名称不一致，旧证书未取消且新旧证书具有同等效力的，投标人提供新证书与提供在有效期内的旧证书给予同等认可。 </w:t>
      </w:r>
    </w:p>
    <w:p w14:paraId="1871CC8F">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27.2.</w:t>
      </w:r>
      <w:r>
        <w:rPr>
          <w:rFonts w:hint="eastAsia" w:ascii="宋体" w:hAnsi="宋体" w:cs="宋体"/>
          <w:szCs w:val="21"/>
        </w:rPr>
        <w:t>评标委员会对通过资格性、符合性审查的投标文件进行详细评审。评标委员会对每一投标文件进行详细的商务评审、技术评审。按照评审程序的规定和依据评分标准，各位评委就每个投标人的技术、商务状况及其对采购文件要求的响应情况进行评议和比较，评出其技术评分和商务评分。根据采购文件规定评出得分，将价格得分、商务得分、技术得分相加得出最终评标得分。</w:t>
      </w:r>
    </w:p>
    <w:p w14:paraId="60FF6FB3">
      <w:pPr>
        <w:widowControl w:val="0"/>
        <w:numPr>
          <w:ilvl w:val="1"/>
          <w:numId w:val="0"/>
        </w:numPr>
        <w:overflowPunct w:val="0"/>
        <w:ind w:left="567" w:leftChars="0" w:hanging="567" w:firstLineChars="0"/>
        <w:rPr>
          <w:rFonts w:ascii="宋体" w:hAnsi="宋体" w:cs="宋体"/>
          <w:szCs w:val="21"/>
          <w:highlight w:val="none"/>
        </w:rPr>
      </w:pPr>
      <w:r>
        <w:rPr>
          <w:rFonts w:hint="default" w:ascii="宋体" w:hAnsi="宋体" w:eastAsia="宋体" w:cs="宋体"/>
          <w:sz w:val="21"/>
          <w:szCs w:val="21"/>
          <w:lang w:val="en-US" w:eastAsia="zh-CN" w:bidi="ar-SA"/>
        </w:rPr>
        <w:t>27.3.</w:t>
      </w:r>
      <w:r>
        <w:rPr>
          <w:rFonts w:hint="eastAsia" w:ascii="宋体" w:hAnsi="宋体" w:cs="宋体"/>
          <w:szCs w:val="21"/>
        </w:rPr>
        <w:t>采用综合评</w:t>
      </w:r>
      <w:r>
        <w:rPr>
          <w:rFonts w:hint="eastAsia" w:ascii="宋体" w:hAnsi="宋体" w:cs="宋体"/>
          <w:szCs w:val="21"/>
          <w:highlight w:val="none"/>
        </w:rPr>
        <w:t>分法的，评标结果按评审后得分由高到低顺序排列。综合得分相同的，按价格评分由高到低顺序排列。综合</w:t>
      </w:r>
      <w:r>
        <w:rPr>
          <w:rFonts w:hint="eastAsia" w:ascii="宋体" w:hAnsi="宋体"/>
          <w:szCs w:val="21"/>
          <w:highlight w:val="none"/>
        </w:rPr>
        <w:t>得分相同且价格评分相同的，按商务评分由高到低顺序排列，得分高的排前，得分低的排后；按上述环节依然存在同分情形而不能确认排名顺序时，由评标委员会进行投票，得票多的排名在先。当第一轮投票结果为投标人得票数相同时，再次进行投票，如此类推，直到能确定排序次序为止</w:t>
      </w:r>
      <w:r>
        <w:rPr>
          <w:rFonts w:hint="eastAsia" w:ascii="宋体" w:hAnsi="宋体" w:cs="宋体"/>
          <w:szCs w:val="21"/>
          <w:highlight w:val="none"/>
        </w:rPr>
        <w:t>。</w:t>
      </w:r>
    </w:p>
    <w:p w14:paraId="50BD4E05">
      <w:pPr>
        <w:pStyle w:val="8"/>
        <w:widowControl w:val="0"/>
        <w:numPr>
          <w:ilvl w:val="0"/>
          <w:numId w:val="0"/>
        </w:numPr>
        <w:overflowPunct w:val="0"/>
        <w:ind w:left="425" w:leftChars="0" w:hanging="425" w:firstLineChars="0"/>
        <w:rPr>
          <w:rFonts w:ascii="宋体" w:hAnsi="宋体" w:cs="宋体"/>
          <w:sz w:val="21"/>
          <w:szCs w:val="21"/>
          <w:highlight w:val="none"/>
        </w:rPr>
      </w:pPr>
      <w:bookmarkStart w:id="185" w:name="_Toc316375620"/>
      <w:bookmarkStart w:id="186" w:name="_Toc21663"/>
      <w:bookmarkStart w:id="187" w:name="_Toc382049120"/>
      <w:bookmarkStart w:id="188" w:name="_Toc22958"/>
      <w:bookmarkStart w:id="189" w:name="_Toc20328"/>
      <w:r>
        <w:rPr>
          <w:rFonts w:hint="default" w:ascii="宋体" w:hAnsi="宋体" w:eastAsia="宋体" w:cs="宋体"/>
          <w:b/>
          <w:sz w:val="21"/>
          <w:szCs w:val="21"/>
          <w:lang w:val="en-US" w:eastAsia="zh-CN" w:bidi="ar-SA"/>
        </w:rPr>
        <w:t>28.</w:t>
      </w:r>
      <w:r>
        <w:rPr>
          <w:rFonts w:hint="eastAsia" w:ascii="宋体" w:hAnsi="宋体" w:cs="宋体"/>
          <w:sz w:val="21"/>
          <w:szCs w:val="21"/>
          <w:highlight w:val="none"/>
        </w:rPr>
        <w:t>纪律和保密</w:t>
      </w:r>
      <w:bookmarkEnd w:id="185"/>
      <w:r>
        <w:rPr>
          <w:rFonts w:hint="eastAsia" w:ascii="宋体" w:hAnsi="宋体" w:cs="宋体"/>
          <w:sz w:val="21"/>
          <w:szCs w:val="21"/>
          <w:highlight w:val="none"/>
        </w:rPr>
        <w:t>事项</w:t>
      </w:r>
      <w:bookmarkEnd w:id="186"/>
      <w:bookmarkEnd w:id="187"/>
      <w:bookmarkEnd w:id="188"/>
      <w:bookmarkEnd w:id="189"/>
    </w:p>
    <w:p w14:paraId="488B3899">
      <w:pPr>
        <w:widowControl w:val="0"/>
        <w:numPr>
          <w:ilvl w:val="1"/>
          <w:numId w:val="0"/>
        </w:numPr>
        <w:overflowPunct w:val="0"/>
        <w:ind w:left="567" w:leftChars="0" w:hanging="567" w:firstLineChars="0"/>
        <w:rPr>
          <w:rFonts w:ascii="宋体" w:hAnsi="宋体" w:cs="宋体"/>
          <w:szCs w:val="21"/>
          <w:highlight w:val="none"/>
        </w:rPr>
      </w:pPr>
      <w:r>
        <w:rPr>
          <w:rFonts w:hint="default" w:ascii="宋体" w:hAnsi="宋体" w:eastAsia="宋体" w:cs="宋体"/>
          <w:sz w:val="21"/>
          <w:szCs w:val="21"/>
          <w:lang w:val="en-US" w:eastAsia="zh-CN" w:bidi="ar-SA"/>
        </w:rPr>
        <w:t>28.1.</w:t>
      </w:r>
      <w:r>
        <w:rPr>
          <w:rFonts w:hint="eastAsia" w:ascii="宋体" w:hAnsi="宋体" w:cs="宋体"/>
          <w:szCs w:val="21"/>
          <w:highlight w:val="none"/>
        </w:rPr>
        <w:t>从开标之日起至授予合同期间，在投标文件的审查、澄清、比较和评价阶段，投标人试图对评标委员会和采购代理机构施加任何影响或对采购人的比较及授予合同的决定产生影响，都可能导致其投标文件被拒绝。</w:t>
      </w:r>
    </w:p>
    <w:p w14:paraId="2CC1FAA5">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28.2.</w:t>
      </w:r>
      <w:r>
        <w:rPr>
          <w:rFonts w:hint="eastAsia" w:ascii="宋体" w:hAnsi="宋体" w:cs="宋体"/>
          <w:szCs w:val="21"/>
        </w:rPr>
        <w:t>投标人不得串通作弊，以不正当的手段妨碍、排挤其他投标人，扰乱采购市场，破坏公平竞争原则。否则将按相关法律规定严肃处理。</w:t>
      </w:r>
    </w:p>
    <w:p w14:paraId="59F8EEE5">
      <w:pPr>
        <w:widowControl w:val="0"/>
        <w:numPr>
          <w:ilvl w:val="1"/>
          <w:numId w:val="0"/>
        </w:numPr>
        <w:overflowPunct w:val="0"/>
        <w:ind w:left="567" w:leftChars="0" w:hanging="567" w:firstLineChars="0"/>
        <w:rPr>
          <w:rFonts w:ascii="宋体" w:hAnsi="宋体" w:cs="宋体"/>
        </w:rPr>
      </w:pPr>
      <w:r>
        <w:rPr>
          <w:rFonts w:hint="default" w:ascii="宋体" w:hAnsi="宋体" w:eastAsia="宋体" w:cs="宋体"/>
          <w:sz w:val="21"/>
          <w:szCs w:val="21"/>
          <w:lang w:val="en-US" w:eastAsia="zh-CN" w:bidi="ar-SA"/>
        </w:rPr>
        <w:t>28.3.</w:t>
      </w:r>
      <w:r>
        <w:rPr>
          <w:rFonts w:hint="eastAsia" w:ascii="宋体" w:hAnsi="宋体" w:cs="宋体"/>
          <w:szCs w:val="21"/>
        </w:rPr>
        <w:t>获得本采购文件的投标人，应对文件进行保密，不得用作本次投标以外的任何用途。开标后，投标人应归还采购文件中要求保密的文件和资料。</w:t>
      </w:r>
    </w:p>
    <w:p w14:paraId="242FE625">
      <w:pPr>
        <w:pStyle w:val="7"/>
        <w:numPr>
          <w:ilvl w:val="0"/>
          <w:numId w:val="2"/>
        </w:numPr>
        <w:spacing w:before="0" w:after="0" w:line="360" w:lineRule="auto"/>
        <w:jc w:val="center"/>
        <w:rPr>
          <w:rFonts w:ascii="宋体" w:hAnsi="宋体" w:cs="宋体"/>
        </w:rPr>
      </w:pPr>
      <w:bookmarkStart w:id="190" w:name="_Toc1109"/>
      <w:bookmarkStart w:id="191" w:name="_Toc6405"/>
      <w:bookmarkStart w:id="192" w:name="_Toc25325"/>
      <w:r>
        <w:rPr>
          <w:rFonts w:hint="eastAsia" w:ascii="宋体" w:hAnsi="宋体" w:cs="宋体"/>
        </w:rPr>
        <w:t>授予合同</w:t>
      </w:r>
      <w:bookmarkEnd w:id="190"/>
      <w:bookmarkEnd w:id="191"/>
      <w:bookmarkEnd w:id="192"/>
    </w:p>
    <w:p w14:paraId="038F5F71">
      <w:pPr>
        <w:pStyle w:val="8"/>
        <w:widowControl w:val="0"/>
        <w:numPr>
          <w:ilvl w:val="0"/>
          <w:numId w:val="0"/>
        </w:numPr>
        <w:overflowPunct w:val="0"/>
        <w:ind w:left="425" w:leftChars="0" w:hanging="425" w:firstLineChars="0"/>
        <w:rPr>
          <w:rFonts w:ascii="宋体" w:hAnsi="宋体" w:cs="宋体"/>
          <w:sz w:val="21"/>
          <w:szCs w:val="21"/>
        </w:rPr>
      </w:pPr>
      <w:bookmarkStart w:id="193" w:name="_Toc508284011"/>
      <w:bookmarkStart w:id="194" w:name="_Toc28267"/>
      <w:bookmarkStart w:id="195" w:name="_Toc22623"/>
      <w:r>
        <w:rPr>
          <w:rFonts w:hint="default" w:ascii="宋体" w:hAnsi="宋体" w:eastAsia="宋体" w:cs="宋体"/>
          <w:b/>
          <w:sz w:val="21"/>
          <w:szCs w:val="21"/>
          <w:lang w:val="en-US" w:eastAsia="zh-CN" w:bidi="ar-SA"/>
        </w:rPr>
        <w:t>29.</w:t>
      </w:r>
      <w:r>
        <w:rPr>
          <w:rFonts w:hint="eastAsia" w:ascii="宋体" w:hAnsi="宋体" w:cs="宋体"/>
          <w:sz w:val="21"/>
          <w:szCs w:val="21"/>
        </w:rPr>
        <w:t>合同授予标准</w:t>
      </w:r>
      <w:bookmarkEnd w:id="193"/>
      <w:bookmarkEnd w:id="194"/>
      <w:bookmarkEnd w:id="195"/>
    </w:p>
    <w:p w14:paraId="22996A5E">
      <w:pPr>
        <w:widowControl w:val="0"/>
        <w:numPr>
          <w:ilvl w:val="1"/>
          <w:numId w:val="0"/>
        </w:numPr>
        <w:overflowPunct w:val="0"/>
        <w:ind w:left="567" w:leftChars="0" w:hanging="567" w:firstLineChars="0"/>
        <w:rPr>
          <w:rFonts w:ascii="宋体" w:hAnsi="宋体" w:cs="宋体"/>
        </w:rPr>
      </w:pPr>
      <w:r>
        <w:rPr>
          <w:rFonts w:hint="default" w:ascii="宋体" w:hAnsi="宋体" w:eastAsia="宋体" w:cs="宋体"/>
          <w:sz w:val="21"/>
          <w:szCs w:val="21"/>
          <w:lang w:val="en-US" w:eastAsia="zh-CN" w:bidi="ar-SA"/>
        </w:rPr>
        <w:t>29.1.</w:t>
      </w:r>
      <w:r>
        <w:rPr>
          <w:rFonts w:hint="eastAsia" w:ascii="宋体" w:hAnsi="宋体" w:cs="宋体"/>
          <w:szCs w:val="21"/>
        </w:rPr>
        <w:t>根据评标委员会的评审结果，采购人按照评审报告推荐的中标候选人中按顺序依法确定中标人。</w:t>
      </w:r>
    </w:p>
    <w:p w14:paraId="13904E95">
      <w:pPr>
        <w:pStyle w:val="8"/>
        <w:widowControl w:val="0"/>
        <w:numPr>
          <w:ilvl w:val="0"/>
          <w:numId w:val="0"/>
        </w:numPr>
        <w:overflowPunct w:val="0"/>
        <w:ind w:left="425" w:leftChars="0" w:hanging="425" w:firstLineChars="0"/>
        <w:rPr>
          <w:rFonts w:ascii="宋体" w:hAnsi="宋体" w:cs="宋体"/>
          <w:sz w:val="21"/>
          <w:szCs w:val="21"/>
        </w:rPr>
      </w:pPr>
      <w:bookmarkStart w:id="196" w:name="_Toc10545"/>
      <w:bookmarkStart w:id="197" w:name="_Toc24628"/>
      <w:bookmarkStart w:id="198" w:name="_Toc508284013"/>
      <w:r>
        <w:rPr>
          <w:rFonts w:hint="default" w:ascii="宋体" w:hAnsi="宋体" w:eastAsia="宋体" w:cs="宋体"/>
          <w:b/>
          <w:sz w:val="21"/>
          <w:szCs w:val="21"/>
          <w:lang w:val="en-US" w:eastAsia="zh-CN" w:bidi="ar-SA"/>
        </w:rPr>
        <w:t>30.</w:t>
      </w:r>
      <w:r>
        <w:rPr>
          <w:rFonts w:hint="eastAsia" w:ascii="宋体" w:hAnsi="宋体" w:cs="宋体"/>
          <w:sz w:val="21"/>
          <w:szCs w:val="21"/>
        </w:rPr>
        <w:t>发布中标结果</w:t>
      </w:r>
      <w:bookmarkEnd w:id="196"/>
      <w:bookmarkEnd w:id="197"/>
      <w:bookmarkEnd w:id="198"/>
    </w:p>
    <w:p w14:paraId="35CC0AF3">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30.1.</w:t>
      </w:r>
      <w:r>
        <w:rPr>
          <w:rFonts w:hint="eastAsia" w:ascii="宋体" w:hAnsi="宋体" w:cs="宋体"/>
          <w:szCs w:val="21"/>
        </w:rPr>
        <w:t>评标委员会提出评标书面报告和推荐中标意见报采购人确认后，采购代理机构将在指定的信息发布媒体上发布公告。</w:t>
      </w:r>
    </w:p>
    <w:p w14:paraId="256E119A">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30.2.</w:t>
      </w:r>
      <w:r>
        <w:rPr>
          <w:rFonts w:hint="eastAsia" w:ascii="宋体" w:hAnsi="宋体" w:cs="宋体"/>
          <w:szCs w:val="21"/>
        </w:rPr>
        <w:t>中标公告期限为3个日历日。</w:t>
      </w:r>
    </w:p>
    <w:p w14:paraId="7BD23A77">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30.3.</w:t>
      </w:r>
      <w:r>
        <w:rPr>
          <w:rFonts w:hint="eastAsia" w:ascii="宋体" w:hAnsi="宋体" w:cs="宋体"/>
          <w:szCs w:val="21"/>
        </w:rPr>
        <w:t>《中标通知书》是合同的一个组成部分，《中标通知书》对采购人和中标人均具有同等法律效力。</w:t>
      </w:r>
    </w:p>
    <w:p w14:paraId="2CE6D0AA">
      <w:pPr>
        <w:pStyle w:val="8"/>
        <w:widowControl w:val="0"/>
        <w:numPr>
          <w:ilvl w:val="0"/>
          <w:numId w:val="0"/>
        </w:numPr>
        <w:overflowPunct w:val="0"/>
        <w:ind w:left="425" w:leftChars="0" w:hanging="425" w:firstLineChars="0"/>
        <w:rPr>
          <w:rFonts w:ascii="宋体" w:hAnsi="宋体" w:cs="宋体"/>
          <w:sz w:val="21"/>
          <w:szCs w:val="21"/>
        </w:rPr>
      </w:pPr>
      <w:bookmarkStart w:id="199" w:name="_Toc11420"/>
      <w:bookmarkStart w:id="200" w:name="_Toc28735"/>
      <w:r>
        <w:rPr>
          <w:rFonts w:hint="default" w:ascii="宋体" w:hAnsi="宋体" w:eastAsia="宋体" w:cs="宋体"/>
          <w:b/>
          <w:sz w:val="21"/>
          <w:szCs w:val="21"/>
          <w:lang w:val="en-US" w:eastAsia="zh-CN" w:bidi="ar-SA"/>
        </w:rPr>
        <w:t>31.</w:t>
      </w:r>
      <w:r>
        <w:rPr>
          <w:rFonts w:hint="eastAsia" w:ascii="宋体" w:hAnsi="宋体" w:cs="宋体"/>
          <w:sz w:val="21"/>
          <w:szCs w:val="21"/>
        </w:rPr>
        <w:t>资格后审</w:t>
      </w:r>
      <w:bookmarkEnd w:id="199"/>
      <w:bookmarkEnd w:id="200"/>
    </w:p>
    <w:p w14:paraId="3A4BF488">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31.1.</w:t>
      </w:r>
      <w:r>
        <w:rPr>
          <w:rFonts w:hint="eastAsia" w:ascii="宋体" w:hAnsi="宋体" w:cs="宋体"/>
          <w:szCs w:val="21"/>
        </w:rPr>
        <w:t>采购人将有权根据本文件中的要求，对评委会推荐的中标候选人进行资格后审。</w:t>
      </w:r>
    </w:p>
    <w:p w14:paraId="6B0D040C">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31.2.</w:t>
      </w:r>
      <w:r>
        <w:rPr>
          <w:rFonts w:hint="eastAsia" w:ascii="宋体" w:hAnsi="宋体" w:cs="宋体"/>
          <w:szCs w:val="21"/>
        </w:rPr>
        <w:t>中标候选人须无条件配合资格后审，否则采购人有权取消其中标资格，且投标保证金可不予退还。</w:t>
      </w:r>
    </w:p>
    <w:p w14:paraId="01283D27">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31.3.</w:t>
      </w:r>
      <w:r>
        <w:rPr>
          <w:rFonts w:hint="eastAsia" w:ascii="宋体" w:hAnsi="宋体" w:cs="宋体"/>
          <w:szCs w:val="21"/>
        </w:rPr>
        <w:t>资格后审须提供包括但不限于营业执照、税务登记证和在投标文件中提供的资质证明文件、业绩等重要证明文件的原件进行核对，综合考察中标人的履约能力。如采购人要求还须提供业绩证明的其他材料,中标候选人须配合提供。如授权其分支机构进行项目实施或提供售后服务的，亦应提供其与分支机构关系的法律证明材料。</w:t>
      </w:r>
    </w:p>
    <w:p w14:paraId="445C33BA">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31.4.</w:t>
      </w:r>
      <w:r>
        <w:rPr>
          <w:rFonts w:hint="eastAsia" w:ascii="宋体" w:hAnsi="宋体" w:cs="宋体"/>
          <w:szCs w:val="21"/>
        </w:rPr>
        <w:t>如发现中标候选人以他人名义投标或者以其他方式弄虚作假，骗取中标的，采购人有权取消其中标资格，且投标保证金可不予退还；给采购人造成损失的，应依法承担赔偿责任。</w:t>
      </w:r>
    </w:p>
    <w:p w14:paraId="56A4EA89">
      <w:pPr>
        <w:widowControl w:val="0"/>
        <w:numPr>
          <w:ilvl w:val="1"/>
          <w:numId w:val="0"/>
        </w:numPr>
        <w:overflowPunct w:val="0"/>
        <w:ind w:left="567" w:leftChars="0" w:hanging="567" w:firstLineChars="0"/>
        <w:rPr>
          <w:rFonts w:ascii="宋体" w:hAnsi="宋体" w:cs="宋体"/>
        </w:rPr>
      </w:pPr>
      <w:r>
        <w:rPr>
          <w:rFonts w:hint="default" w:ascii="宋体" w:hAnsi="宋体" w:eastAsia="宋体" w:cs="宋体"/>
          <w:sz w:val="21"/>
          <w:szCs w:val="21"/>
          <w:lang w:val="en-US" w:eastAsia="zh-CN" w:bidi="ar-SA"/>
        </w:rPr>
        <w:t>31.5.</w:t>
      </w:r>
      <w:r>
        <w:rPr>
          <w:rFonts w:hint="eastAsia" w:ascii="宋体" w:hAnsi="宋体" w:cs="宋体"/>
          <w:szCs w:val="21"/>
        </w:rPr>
        <w:t>采购人有权审查中标候选人是否具备履行合同的能力，包括但不限于对其规模、人员、场地、生产能力、供货能力等方面的核实或现场考察。如果审查通过，采购人将把合同授予该中标人；如果审查没有通过，采购人有权取消其中标资格，且投标保证金可不予退还，并依次审查下一名中标候选人是否具备履行合同的能力或重新采购。</w:t>
      </w:r>
    </w:p>
    <w:p w14:paraId="67CE126D">
      <w:pPr>
        <w:pStyle w:val="8"/>
        <w:widowControl w:val="0"/>
        <w:numPr>
          <w:ilvl w:val="0"/>
          <w:numId w:val="0"/>
        </w:numPr>
        <w:overflowPunct w:val="0"/>
        <w:ind w:left="425" w:leftChars="0" w:hanging="425" w:firstLineChars="0"/>
        <w:rPr>
          <w:rFonts w:ascii="宋体" w:hAnsi="宋体" w:cs="宋体"/>
          <w:sz w:val="21"/>
          <w:szCs w:val="21"/>
        </w:rPr>
      </w:pPr>
      <w:bookmarkStart w:id="201" w:name="_Toc27302"/>
      <w:bookmarkStart w:id="202" w:name="_Toc26968"/>
      <w:r>
        <w:rPr>
          <w:rFonts w:hint="default" w:ascii="宋体" w:hAnsi="宋体" w:eastAsia="宋体" w:cs="宋体"/>
          <w:b/>
          <w:sz w:val="21"/>
          <w:szCs w:val="21"/>
          <w:lang w:val="en-US" w:eastAsia="zh-CN" w:bidi="ar-SA"/>
        </w:rPr>
        <w:t>32.</w:t>
      </w:r>
      <w:r>
        <w:rPr>
          <w:rFonts w:hint="eastAsia" w:ascii="宋体" w:hAnsi="宋体" w:cs="宋体"/>
          <w:sz w:val="21"/>
          <w:szCs w:val="21"/>
        </w:rPr>
        <w:t>合同的签订与履行</w:t>
      </w:r>
      <w:bookmarkEnd w:id="201"/>
      <w:bookmarkEnd w:id="202"/>
    </w:p>
    <w:p w14:paraId="5CCFD96A">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32.1.</w:t>
      </w:r>
      <w:r>
        <w:rPr>
          <w:rFonts w:hint="eastAsia" w:ascii="宋体" w:hAnsi="宋体" w:cs="宋体"/>
          <w:szCs w:val="21"/>
        </w:rPr>
        <w:t>中标人应当自采购人发出中标通知书之日起30日内，按照采购文件和中标人投标文件的规定，与采购人签订书面合同，否则采购人有权取消其中标资格。所签订的合同不得对采购文件确定的事项和中标人投标文件作实质性修改。在合同签订时，应注意合同中约定的工期开始时间不得早于合同签订时间。</w:t>
      </w:r>
    </w:p>
    <w:p w14:paraId="538A768B">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32.2.</w:t>
      </w:r>
      <w:r>
        <w:rPr>
          <w:rFonts w:hint="eastAsia" w:ascii="宋体" w:hAnsi="宋体" w:cs="宋体"/>
          <w:szCs w:val="21"/>
        </w:rPr>
        <w:t>采购人与中标人应当根据合同的约定依法履行合同义务。</w:t>
      </w:r>
    </w:p>
    <w:p w14:paraId="6DF59BAC">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32.3.</w:t>
      </w:r>
      <w:r>
        <w:rPr>
          <w:rFonts w:hint="eastAsia" w:ascii="宋体" w:hAnsi="宋体" w:cs="宋体"/>
          <w:szCs w:val="21"/>
        </w:rPr>
        <w:t>采购合同的履行、违约责任和解决争议的方法等适用《中华人民共和国民法典》。</w:t>
      </w:r>
    </w:p>
    <w:p w14:paraId="656CD416">
      <w:pPr>
        <w:widowControl w:val="0"/>
        <w:numPr>
          <w:ilvl w:val="1"/>
          <w:numId w:val="0"/>
        </w:numPr>
        <w:overflowPunct w:val="0"/>
        <w:ind w:left="567" w:leftChars="0" w:hanging="567" w:firstLineChars="0"/>
        <w:rPr>
          <w:rFonts w:ascii="宋体" w:hAnsi="宋体" w:cs="宋体"/>
        </w:rPr>
      </w:pPr>
      <w:r>
        <w:rPr>
          <w:rFonts w:hint="default" w:ascii="宋体" w:hAnsi="宋体" w:eastAsia="宋体" w:cs="宋体"/>
          <w:sz w:val="21"/>
          <w:szCs w:val="21"/>
          <w:lang w:val="en-US" w:eastAsia="zh-CN" w:bidi="ar-SA"/>
        </w:rPr>
        <w:t>32.4.</w:t>
      </w:r>
      <w:r>
        <w:rPr>
          <w:rFonts w:hint="eastAsia" w:ascii="宋体" w:hAnsi="宋体" w:cs="宋体"/>
          <w:szCs w:val="21"/>
        </w:rPr>
        <w:t>中标人在评审结束当天至合同履行结束，若因不可抗力的因素（如国家出台新法律法规等）造成投标人资质的变动，投标人应以纸质版形式通知采购人。若资质变动导致中标人不再具备履行合同资质要求，采购人有权中止合同。</w:t>
      </w:r>
    </w:p>
    <w:p w14:paraId="52F8F79D">
      <w:pPr>
        <w:pStyle w:val="8"/>
        <w:widowControl w:val="0"/>
        <w:numPr>
          <w:ilvl w:val="0"/>
          <w:numId w:val="0"/>
        </w:numPr>
        <w:overflowPunct w:val="0"/>
        <w:ind w:left="425" w:leftChars="0" w:hanging="425" w:firstLineChars="0"/>
        <w:rPr>
          <w:rFonts w:ascii="宋体" w:hAnsi="宋体" w:cs="宋体"/>
          <w:sz w:val="21"/>
          <w:szCs w:val="21"/>
        </w:rPr>
      </w:pPr>
      <w:bookmarkStart w:id="203" w:name="_Toc303084277"/>
      <w:bookmarkStart w:id="204" w:name="_Toc29009"/>
      <w:bookmarkStart w:id="205" w:name="_Toc382049124"/>
      <w:bookmarkStart w:id="206" w:name="_Toc6617"/>
      <w:bookmarkStart w:id="207" w:name="_Toc13842"/>
      <w:r>
        <w:rPr>
          <w:rFonts w:hint="default" w:ascii="宋体" w:hAnsi="宋体" w:eastAsia="宋体" w:cs="宋体"/>
          <w:b/>
          <w:sz w:val="21"/>
          <w:szCs w:val="21"/>
          <w:lang w:val="en-US" w:eastAsia="zh-CN" w:bidi="ar-SA"/>
        </w:rPr>
        <w:t>33.</w:t>
      </w:r>
      <w:r>
        <w:rPr>
          <w:rFonts w:hint="eastAsia" w:ascii="宋体" w:hAnsi="宋体" w:cs="宋体"/>
          <w:sz w:val="21"/>
          <w:szCs w:val="21"/>
        </w:rPr>
        <w:t>履约</w:t>
      </w:r>
      <w:bookmarkEnd w:id="203"/>
      <w:bookmarkEnd w:id="204"/>
      <w:bookmarkEnd w:id="205"/>
      <w:r>
        <w:rPr>
          <w:rFonts w:hint="eastAsia" w:ascii="宋体" w:hAnsi="宋体" w:cs="宋体"/>
          <w:sz w:val="21"/>
          <w:szCs w:val="21"/>
        </w:rPr>
        <w:t>担保</w:t>
      </w:r>
      <w:bookmarkEnd w:id="206"/>
      <w:bookmarkEnd w:id="207"/>
    </w:p>
    <w:p w14:paraId="63C29FD4">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33.1.</w:t>
      </w:r>
      <w:r>
        <w:rPr>
          <w:rFonts w:hint="eastAsia" w:ascii="宋体" w:hAnsi="宋体" w:cs="宋体"/>
          <w:szCs w:val="21"/>
        </w:rPr>
        <w:t>中标人在采购（合同签署）时提交履约担保，履约担保金额不超过中标合同金额的10%，如果中标人提交的履约保函的有效期先于合同要求的履约保函有效期到达，中标人应在原提交的履约保函有效期满前15天，无条件办理保函延期手续。否则，视中标人违约，采购人可在保函到期前将保函金额转为现金存入履约保证金账户。</w:t>
      </w:r>
    </w:p>
    <w:p w14:paraId="76E70318">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33.2.</w:t>
      </w:r>
      <w:r>
        <w:rPr>
          <w:rFonts w:hint="eastAsia" w:ascii="宋体" w:hAnsi="宋体" w:cs="宋体"/>
          <w:szCs w:val="21"/>
        </w:rPr>
        <w:t>履约担保期限从合同签订之日起至项目服务期结束验收合格并结算完毕后，经双方签字7天内保持有效。</w:t>
      </w:r>
    </w:p>
    <w:p w14:paraId="78B4DAB4">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33.3.</w:t>
      </w:r>
      <w:r>
        <w:rPr>
          <w:rFonts w:hint="eastAsia" w:ascii="宋体" w:hAnsi="宋体" w:cs="宋体"/>
          <w:szCs w:val="21"/>
        </w:rPr>
        <w:t>履约担保可以采用下列任何一种形式：</w:t>
      </w:r>
    </w:p>
    <w:p w14:paraId="2C494D7F">
      <w:pPr>
        <w:widowControl w:val="0"/>
        <w:numPr>
          <w:ilvl w:val="1"/>
          <w:numId w:val="0"/>
        </w:numPr>
        <w:overflowPunct w:val="0"/>
        <w:ind w:left="0" w:leftChars="0" w:firstLine="640" w:firstLineChars="0"/>
        <w:rPr>
          <w:rFonts w:ascii="宋体" w:hAnsi="宋体" w:cs="宋体"/>
          <w:szCs w:val="21"/>
        </w:rPr>
      </w:pPr>
      <w:r>
        <w:rPr>
          <w:rFonts w:hint="eastAsia" w:ascii="宋体" w:hAnsi="宋体" w:cs="宋体"/>
          <w:szCs w:val="21"/>
        </w:rPr>
        <w:t>（1）履约保函。如果中标人的履约担保是以银行保函形式提供的，则该银行保函应：</w:t>
      </w:r>
    </w:p>
    <w:p w14:paraId="368DFE4D">
      <w:pPr>
        <w:widowControl w:val="0"/>
        <w:numPr>
          <w:ilvl w:val="1"/>
          <w:numId w:val="0"/>
        </w:numPr>
        <w:overflowPunct w:val="0"/>
        <w:ind w:left="0" w:leftChars="0" w:firstLine="640" w:firstLineChars="0"/>
        <w:rPr>
          <w:rFonts w:ascii="宋体" w:hAnsi="宋体" w:cs="宋体"/>
          <w:szCs w:val="21"/>
        </w:rPr>
      </w:pPr>
      <w:r>
        <w:rPr>
          <w:rFonts w:hint="eastAsia" w:ascii="宋体" w:hAnsi="宋体" w:cs="宋体"/>
          <w:szCs w:val="21"/>
        </w:rPr>
        <w:t>①保函应由银行支行或以上银行机构开具，非东莞市行政区内的银行开具的保函要由银行所在地公证部门出具的公证书。</w:t>
      </w:r>
    </w:p>
    <w:p w14:paraId="5DE43B92">
      <w:pPr>
        <w:widowControl w:val="0"/>
        <w:numPr>
          <w:ilvl w:val="1"/>
          <w:numId w:val="0"/>
        </w:numPr>
        <w:overflowPunct w:val="0"/>
        <w:ind w:left="0" w:leftChars="0" w:firstLine="640" w:firstLineChars="0"/>
        <w:rPr>
          <w:rFonts w:ascii="宋体" w:hAnsi="宋体" w:cs="宋体"/>
          <w:szCs w:val="21"/>
        </w:rPr>
      </w:pPr>
      <w:r>
        <w:rPr>
          <w:rFonts w:hint="eastAsia" w:ascii="宋体" w:hAnsi="宋体" w:cs="宋体"/>
          <w:szCs w:val="21"/>
        </w:rPr>
        <w:t>②保函的格式参考投标文件附件中提供的无条件不可撤销履约保函格式，保函担保期内若项目未能按期竣工，保函必须延期，办理延期手续时在银行方面所产生费用由中标人负责。</w:t>
      </w:r>
    </w:p>
    <w:p w14:paraId="3E89A546">
      <w:pPr>
        <w:widowControl w:val="0"/>
        <w:numPr>
          <w:ilvl w:val="1"/>
          <w:numId w:val="0"/>
        </w:numPr>
        <w:overflowPunct w:val="0"/>
        <w:ind w:left="0" w:leftChars="0" w:firstLine="640" w:firstLineChars="0"/>
        <w:rPr>
          <w:rFonts w:ascii="宋体" w:hAnsi="宋体" w:cs="宋体"/>
          <w:szCs w:val="21"/>
        </w:rPr>
      </w:pPr>
      <w:r>
        <w:rPr>
          <w:rFonts w:hint="eastAsia" w:ascii="宋体" w:hAnsi="宋体" w:cs="宋体"/>
          <w:szCs w:val="21"/>
        </w:rPr>
        <w:t>③履约保函必须打印，手写、涂改无效。</w:t>
      </w:r>
    </w:p>
    <w:p w14:paraId="70E2E91C">
      <w:pPr>
        <w:widowControl w:val="0"/>
        <w:numPr>
          <w:ilvl w:val="1"/>
          <w:numId w:val="0"/>
        </w:numPr>
        <w:overflowPunct w:val="0"/>
        <w:ind w:left="0" w:leftChars="0" w:firstLine="640" w:firstLineChars="0"/>
        <w:rPr>
          <w:rFonts w:ascii="宋体" w:hAnsi="宋体" w:cs="宋体"/>
          <w:szCs w:val="21"/>
        </w:rPr>
      </w:pPr>
      <w:r>
        <w:rPr>
          <w:rFonts w:hint="eastAsia" w:ascii="宋体" w:hAnsi="宋体" w:cs="宋体"/>
          <w:szCs w:val="21"/>
        </w:rPr>
        <w:t>（2）履约保证金。可采用电汇、银行汇票等银行转账方式提交，但不可以采用现金方式提交。履约保证金金额为中标价的10%。中标人人必须保证履约保证金以中标人的名称在（合同约定的日期）前提交至采购人指定账户。</w:t>
      </w:r>
    </w:p>
    <w:p w14:paraId="50CDEE2A">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33.</w:t>
      </w:r>
      <w:r>
        <w:rPr>
          <w:rFonts w:hint="eastAsia" w:ascii="宋体" w:hAnsi="宋体" w:cs="宋体"/>
          <w:sz w:val="21"/>
          <w:szCs w:val="21"/>
          <w:lang w:val="en-US" w:eastAsia="zh-CN" w:bidi="ar-SA"/>
        </w:rPr>
        <w:t>4</w:t>
      </w:r>
      <w:r>
        <w:rPr>
          <w:rFonts w:hint="default" w:ascii="宋体" w:hAnsi="宋体" w:eastAsia="宋体" w:cs="宋体"/>
          <w:sz w:val="21"/>
          <w:szCs w:val="21"/>
          <w:lang w:val="en-US" w:eastAsia="zh-CN" w:bidi="ar-SA"/>
        </w:rPr>
        <w:t>.</w:t>
      </w:r>
      <w:r>
        <w:rPr>
          <w:rFonts w:hint="eastAsia" w:ascii="宋体" w:hAnsi="宋体" w:cs="宋体"/>
          <w:szCs w:val="21"/>
        </w:rPr>
        <w:t>若中标人不能按本采购文件（33.1至33.3）的规定提交履约保证金的，采购人将有权取消中标人的中标资格（采购人可以按照评标委员会提出的中标候选人名单排序依次确定其他中标候选人为中标人，也可以重新采购），投标保证金不予退还，给采购人造成的损失如果超过投标保证金数额的，还应当对超过部分予以赔偿。</w:t>
      </w:r>
    </w:p>
    <w:p w14:paraId="1A6BF981">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33.</w:t>
      </w:r>
      <w:r>
        <w:rPr>
          <w:rFonts w:hint="eastAsia" w:ascii="宋体" w:hAnsi="宋体" w:cs="宋体"/>
          <w:sz w:val="21"/>
          <w:szCs w:val="21"/>
          <w:lang w:val="en-US" w:eastAsia="zh-CN" w:bidi="ar-SA"/>
        </w:rPr>
        <w:t>5</w:t>
      </w:r>
      <w:r>
        <w:rPr>
          <w:rFonts w:hint="default" w:ascii="宋体" w:hAnsi="宋体" w:eastAsia="宋体" w:cs="宋体"/>
          <w:sz w:val="21"/>
          <w:szCs w:val="21"/>
          <w:lang w:val="en-US" w:eastAsia="zh-CN" w:bidi="ar-SA"/>
        </w:rPr>
        <w:t>.</w:t>
      </w:r>
      <w:r>
        <w:rPr>
          <w:rFonts w:hint="eastAsia" w:ascii="宋体" w:hAnsi="宋体" w:cs="宋体"/>
          <w:szCs w:val="21"/>
        </w:rPr>
        <w:t>为取得履约担保所需的费用，由中标人承担；若工期延误，履约担保时间延长，延长费用由中标人承担。</w:t>
      </w:r>
    </w:p>
    <w:p w14:paraId="4867CC38">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33.</w:t>
      </w:r>
      <w:r>
        <w:rPr>
          <w:rFonts w:hint="eastAsia" w:ascii="宋体" w:hAnsi="宋体" w:cs="宋体"/>
          <w:sz w:val="21"/>
          <w:szCs w:val="21"/>
          <w:lang w:val="en-US" w:eastAsia="zh-CN" w:bidi="ar-SA"/>
        </w:rPr>
        <w:t>6</w:t>
      </w:r>
      <w:r>
        <w:rPr>
          <w:rFonts w:hint="default" w:ascii="宋体" w:hAnsi="宋体" w:eastAsia="宋体" w:cs="宋体"/>
          <w:sz w:val="21"/>
          <w:szCs w:val="21"/>
          <w:lang w:val="en-US" w:eastAsia="zh-CN" w:bidi="ar-SA"/>
        </w:rPr>
        <w:t>.</w:t>
      </w:r>
      <w:r>
        <w:rPr>
          <w:rFonts w:hint="eastAsia" w:ascii="宋体" w:hAnsi="宋体" w:cs="宋体"/>
          <w:szCs w:val="21"/>
        </w:rPr>
        <w:t>若中标人在合同履行过程中出现项目质量事故、工期拖延、欠付工人工资、欠付材料款等情况，采购人在经核查属实后，有权将履约保函金额转为现金存入履约保证金账户；中标人造成采购人损失的，采购人有权立即没收其履约担保，若造成损失超过履约担保的，还应当对超过部分予以赔偿。</w:t>
      </w:r>
    </w:p>
    <w:p w14:paraId="5EA90734">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33.</w:t>
      </w:r>
      <w:r>
        <w:rPr>
          <w:rFonts w:hint="eastAsia" w:ascii="宋体" w:hAnsi="宋体" w:cs="宋体"/>
          <w:sz w:val="21"/>
          <w:szCs w:val="21"/>
          <w:lang w:val="en-US" w:eastAsia="zh-CN" w:bidi="ar-SA"/>
        </w:rPr>
        <w:t>7</w:t>
      </w:r>
      <w:r>
        <w:rPr>
          <w:rFonts w:hint="default" w:ascii="宋体" w:hAnsi="宋体" w:eastAsia="宋体" w:cs="宋体"/>
          <w:sz w:val="21"/>
          <w:szCs w:val="21"/>
          <w:lang w:val="en-US" w:eastAsia="zh-CN" w:bidi="ar-SA"/>
        </w:rPr>
        <w:t>.</w:t>
      </w:r>
      <w:r>
        <w:rPr>
          <w:rFonts w:hint="eastAsia" w:ascii="宋体" w:hAnsi="宋体" w:cs="宋体"/>
          <w:szCs w:val="21"/>
        </w:rPr>
        <w:t>下列任何情况发生时，采购人有权行使享有的担保权利：</w:t>
      </w:r>
    </w:p>
    <w:p w14:paraId="1BAC3BB7">
      <w:pPr>
        <w:widowControl w:val="0"/>
        <w:tabs>
          <w:tab w:val="left" w:pos="907"/>
        </w:tabs>
        <w:adjustRightInd/>
        <w:snapToGrid/>
        <w:ind w:left="567"/>
        <w:jc w:val="both"/>
        <w:rPr>
          <w:rFonts w:ascii="宋体" w:hAnsi="宋体" w:cs="宋体"/>
          <w:szCs w:val="21"/>
        </w:rPr>
      </w:pPr>
      <w:r>
        <w:rPr>
          <w:rFonts w:hint="eastAsia" w:ascii="宋体" w:hAnsi="宋体" w:cs="宋体"/>
          <w:szCs w:val="21"/>
        </w:rPr>
        <w:t>（1）中标人将本项目转让给他人，或者在投标文件中未说明，且未经采购人同意，将中标项目分包给他人的；</w:t>
      </w:r>
    </w:p>
    <w:p w14:paraId="3150327D">
      <w:pPr>
        <w:widowControl w:val="0"/>
        <w:tabs>
          <w:tab w:val="left" w:pos="907"/>
        </w:tabs>
        <w:adjustRightInd/>
        <w:snapToGrid/>
        <w:ind w:left="567"/>
        <w:jc w:val="both"/>
        <w:rPr>
          <w:rFonts w:ascii="宋体" w:hAnsi="宋体" w:cs="宋体"/>
          <w:szCs w:val="21"/>
        </w:rPr>
      </w:pPr>
      <w:r>
        <w:rPr>
          <w:rFonts w:hint="eastAsia" w:ascii="宋体" w:hAnsi="宋体" w:cs="宋体"/>
          <w:szCs w:val="21"/>
        </w:rPr>
        <w:t>（2）中标人在履行采购合同期间，违反有关法律法规的规定及合同约定的条款，损害了采购人的利益。</w:t>
      </w:r>
    </w:p>
    <w:p w14:paraId="600E2DA5">
      <w:pPr>
        <w:widowControl w:val="0"/>
        <w:numPr>
          <w:ilvl w:val="1"/>
          <w:numId w:val="0"/>
        </w:numPr>
        <w:overflowPunct w:val="0"/>
        <w:ind w:left="567" w:leftChars="0" w:hanging="567" w:firstLineChars="0"/>
        <w:rPr>
          <w:rFonts w:ascii="宋体" w:hAnsi="宋体" w:cs="宋体"/>
        </w:rPr>
      </w:pPr>
      <w:r>
        <w:rPr>
          <w:rFonts w:hint="default" w:ascii="宋体" w:hAnsi="宋体" w:eastAsia="宋体" w:cs="宋体"/>
          <w:sz w:val="21"/>
          <w:szCs w:val="21"/>
          <w:lang w:val="en-US" w:eastAsia="zh-CN" w:bidi="ar-SA"/>
        </w:rPr>
        <w:t>33.</w:t>
      </w:r>
      <w:r>
        <w:rPr>
          <w:rFonts w:hint="eastAsia" w:ascii="宋体" w:hAnsi="宋体" w:cs="宋体"/>
          <w:sz w:val="21"/>
          <w:szCs w:val="21"/>
          <w:lang w:val="en-US" w:eastAsia="zh-CN" w:bidi="ar-SA"/>
        </w:rPr>
        <w:t>8</w:t>
      </w:r>
      <w:r>
        <w:rPr>
          <w:rFonts w:hint="default" w:ascii="宋体" w:hAnsi="宋体" w:eastAsia="宋体" w:cs="宋体"/>
          <w:sz w:val="21"/>
          <w:szCs w:val="21"/>
          <w:lang w:val="en-US" w:eastAsia="zh-CN" w:bidi="ar-SA"/>
        </w:rPr>
        <w:t>.</w:t>
      </w:r>
      <w:r>
        <w:rPr>
          <w:rFonts w:hint="eastAsia" w:ascii="宋体" w:hAnsi="宋体" w:cs="宋体"/>
          <w:szCs w:val="21"/>
        </w:rPr>
        <w:t>在整个项目验收合格后，中标人向采购人提交退回履约担保的申请，采购人办理履约担保退还手续。</w:t>
      </w:r>
    </w:p>
    <w:p w14:paraId="2ECFAF15">
      <w:pPr>
        <w:pStyle w:val="8"/>
        <w:widowControl w:val="0"/>
        <w:numPr>
          <w:ilvl w:val="0"/>
          <w:numId w:val="0"/>
        </w:numPr>
        <w:overflowPunct w:val="0"/>
        <w:ind w:left="425" w:leftChars="0" w:hanging="425" w:firstLineChars="0"/>
        <w:rPr>
          <w:rFonts w:ascii="宋体" w:hAnsi="宋体" w:cs="宋体"/>
          <w:sz w:val="21"/>
          <w:szCs w:val="21"/>
        </w:rPr>
      </w:pPr>
      <w:bookmarkStart w:id="208" w:name="_Toc19655"/>
      <w:bookmarkStart w:id="209" w:name="_Toc18880"/>
      <w:r>
        <w:rPr>
          <w:rFonts w:hint="default" w:ascii="宋体" w:hAnsi="宋体" w:eastAsia="宋体" w:cs="宋体"/>
          <w:b/>
          <w:sz w:val="21"/>
          <w:szCs w:val="21"/>
          <w:lang w:val="en-US" w:eastAsia="zh-CN" w:bidi="ar-SA"/>
        </w:rPr>
        <w:t>34.</w:t>
      </w:r>
      <w:r>
        <w:rPr>
          <w:rFonts w:hint="eastAsia" w:ascii="宋体" w:hAnsi="宋体" w:cs="宋体"/>
          <w:sz w:val="21"/>
          <w:szCs w:val="21"/>
        </w:rPr>
        <w:t>预付款保函（适用于预付款支付）</w:t>
      </w:r>
      <w:bookmarkEnd w:id="208"/>
      <w:bookmarkEnd w:id="209"/>
    </w:p>
    <w:p w14:paraId="12D330D1">
      <w:pPr>
        <w:widowControl w:val="0"/>
        <w:numPr>
          <w:ilvl w:val="1"/>
          <w:numId w:val="0"/>
        </w:numPr>
        <w:overflowPunct w:val="0"/>
        <w:ind w:left="567" w:leftChars="0" w:hanging="567" w:firstLineChars="0"/>
        <w:rPr>
          <w:rFonts w:ascii="宋体" w:hAnsi="宋体" w:cs="宋体"/>
          <w:szCs w:val="21"/>
          <w:highlight w:val="none"/>
        </w:rPr>
      </w:pPr>
      <w:r>
        <w:rPr>
          <w:rFonts w:hint="default" w:ascii="宋体" w:hAnsi="宋体" w:eastAsia="宋体" w:cs="宋体"/>
          <w:sz w:val="21"/>
          <w:szCs w:val="21"/>
          <w:lang w:val="en-US" w:eastAsia="zh-CN" w:bidi="ar-SA"/>
        </w:rPr>
        <w:t>34.1.</w:t>
      </w:r>
      <w:r>
        <w:rPr>
          <w:rFonts w:hint="eastAsia" w:ascii="宋体" w:hAnsi="宋体" w:cs="宋体"/>
          <w:szCs w:val="21"/>
        </w:rPr>
        <w:t>在签订合同时，中标人应按本须知规定向</w:t>
      </w:r>
      <w:r>
        <w:rPr>
          <w:rFonts w:hint="eastAsia" w:ascii="宋体" w:hAnsi="宋体" w:cs="宋体"/>
          <w:szCs w:val="21"/>
          <w:highlight w:val="none"/>
        </w:rPr>
        <w:t>采购人提交一份合同预付款等额有效的预付款保函。预付款保函有效期从保函开立之日起至采购人向中标人抵扣完所有预付款之日止。如果中标人提交的预付款保函的有效期先于采购文件要求的预付款保函有效期到达，中标人应在原提交的预付款保函有效期前15日内，无条件办理预付款保函延期手续。否则视为中标人违约，采购人可在预付款保函到期前将未抵扣的预付款转为现金存入采购人账户</w:t>
      </w:r>
    </w:p>
    <w:p w14:paraId="76EDAD25">
      <w:pPr>
        <w:widowControl w:val="0"/>
        <w:numPr>
          <w:ilvl w:val="1"/>
          <w:numId w:val="0"/>
        </w:numPr>
        <w:overflowPunct w:val="0"/>
        <w:ind w:left="567" w:leftChars="0" w:hanging="567" w:firstLineChars="0"/>
        <w:rPr>
          <w:rFonts w:ascii="宋体" w:hAnsi="宋体" w:cs="宋体"/>
          <w:szCs w:val="21"/>
          <w:highlight w:val="none"/>
        </w:rPr>
      </w:pPr>
      <w:r>
        <w:rPr>
          <w:rFonts w:hint="default" w:ascii="宋体" w:hAnsi="宋体" w:eastAsia="宋体" w:cs="宋体"/>
          <w:sz w:val="21"/>
          <w:szCs w:val="21"/>
          <w:lang w:val="en-US" w:eastAsia="zh-CN" w:bidi="ar-SA"/>
        </w:rPr>
        <w:t>34.2.</w:t>
      </w:r>
      <w:r>
        <w:rPr>
          <w:rFonts w:hint="eastAsia" w:ascii="宋体" w:hAnsi="宋体" w:cs="宋体"/>
          <w:szCs w:val="21"/>
          <w:highlight w:val="none"/>
        </w:rPr>
        <w:t>预付款保函应：</w:t>
      </w:r>
    </w:p>
    <w:p w14:paraId="616E2B1B">
      <w:pPr>
        <w:widowControl w:val="0"/>
        <w:tabs>
          <w:tab w:val="left" w:pos="907"/>
        </w:tabs>
        <w:adjustRightInd/>
        <w:snapToGrid/>
        <w:ind w:left="567"/>
        <w:jc w:val="both"/>
        <w:rPr>
          <w:rFonts w:ascii="宋体" w:hAnsi="宋体" w:cs="宋体"/>
          <w:szCs w:val="21"/>
          <w:highlight w:val="none"/>
        </w:rPr>
      </w:pPr>
      <w:r>
        <w:rPr>
          <w:rFonts w:hint="eastAsia" w:ascii="宋体" w:hAnsi="宋体" w:cs="宋体"/>
          <w:szCs w:val="21"/>
          <w:highlight w:val="none"/>
        </w:rPr>
        <w:t>（1）由东莞市行政区域内的银行支行及以上银行机构开具。非东莞市行政区内的银行开具的保函要由银行所在地公证部门出具的公证书。</w:t>
      </w:r>
    </w:p>
    <w:p w14:paraId="4B1BE430">
      <w:pPr>
        <w:widowControl w:val="0"/>
        <w:tabs>
          <w:tab w:val="left" w:pos="907"/>
        </w:tabs>
        <w:adjustRightInd/>
        <w:snapToGrid/>
        <w:ind w:left="567"/>
        <w:jc w:val="both"/>
        <w:rPr>
          <w:rFonts w:ascii="宋体" w:hAnsi="宋体" w:cs="宋体"/>
          <w:szCs w:val="21"/>
          <w:highlight w:val="none"/>
        </w:rPr>
      </w:pPr>
      <w:r>
        <w:rPr>
          <w:rFonts w:hint="eastAsia" w:ascii="宋体" w:hAnsi="宋体" w:cs="宋体"/>
          <w:szCs w:val="21"/>
          <w:highlight w:val="none"/>
        </w:rPr>
        <w:t>（2）必须打印，手写、涂改无效</w:t>
      </w:r>
    </w:p>
    <w:p w14:paraId="2FB940B6">
      <w:pPr>
        <w:widowControl w:val="0"/>
        <w:numPr>
          <w:ilvl w:val="1"/>
          <w:numId w:val="0"/>
        </w:numPr>
        <w:overflowPunct w:val="0"/>
        <w:ind w:left="567" w:leftChars="0" w:hanging="567" w:firstLineChars="0"/>
        <w:rPr>
          <w:rFonts w:ascii="宋体" w:hAnsi="宋体" w:cs="宋体"/>
          <w:szCs w:val="21"/>
          <w:highlight w:val="none"/>
        </w:rPr>
      </w:pPr>
      <w:r>
        <w:rPr>
          <w:rFonts w:hint="default" w:ascii="宋体" w:hAnsi="宋体" w:eastAsia="宋体" w:cs="宋体"/>
          <w:sz w:val="21"/>
          <w:szCs w:val="21"/>
          <w:lang w:val="en-US" w:eastAsia="zh-CN" w:bidi="ar-SA"/>
        </w:rPr>
        <w:t>34.3.</w:t>
      </w:r>
      <w:r>
        <w:rPr>
          <w:rFonts w:hint="eastAsia" w:ascii="宋体" w:hAnsi="宋体" w:cs="宋体"/>
          <w:szCs w:val="21"/>
          <w:highlight w:val="none"/>
        </w:rPr>
        <w:t>若中标人不能按本须知（34.1至34.2）的规定执行，采购人将不予支付预付款。</w:t>
      </w:r>
    </w:p>
    <w:p w14:paraId="7E451AF0">
      <w:pPr>
        <w:widowControl w:val="0"/>
        <w:numPr>
          <w:ilvl w:val="1"/>
          <w:numId w:val="0"/>
        </w:numPr>
        <w:overflowPunct w:val="0"/>
        <w:ind w:left="567" w:leftChars="0" w:hanging="567" w:firstLineChars="0"/>
        <w:rPr>
          <w:rFonts w:ascii="宋体" w:hAnsi="宋体" w:cs="宋体"/>
        </w:rPr>
      </w:pPr>
      <w:r>
        <w:rPr>
          <w:rFonts w:hint="default" w:ascii="宋体" w:hAnsi="宋体" w:eastAsia="宋体" w:cs="宋体"/>
          <w:sz w:val="21"/>
          <w:szCs w:val="21"/>
          <w:lang w:val="en-US" w:eastAsia="zh-CN" w:bidi="ar-SA"/>
        </w:rPr>
        <w:t>34.4.</w:t>
      </w:r>
      <w:r>
        <w:rPr>
          <w:rFonts w:hint="eastAsia" w:ascii="宋体" w:hAnsi="宋体" w:cs="宋体"/>
          <w:szCs w:val="21"/>
          <w:highlight w:val="none"/>
        </w:rPr>
        <w:t>如果中标人提交的预付款保函的有效期先于采购文件要求的预付款保函有效期到达，中标人应在原提交的预付款保函有效期满前15天内，无条件办理预付款保函延期手续。否则视为中标人违约，采购人可在预付款保函到期前将未抵扣的预付</w:t>
      </w:r>
      <w:r>
        <w:rPr>
          <w:rFonts w:hint="eastAsia" w:ascii="宋体" w:hAnsi="宋体" w:cs="宋体"/>
          <w:szCs w:val="21"/>
        </w:rPr>
        <w:t>款金额转为现金存入采购人账户。</w:t>
      </w:r>
    </w:p>
    <w:p w14:paraId="3A372B9E">
      <w:pPr>
        <w:pStyle w:val="7"/>
        <w:numPr>
          <w:ilvl w:val="0"/>
          <w:numId w:val="2"/>
        </w:numPr>
        <w:spacing w:before="0" w:after="0" w:line="360" w:lineRule="auto"/>
        <w:jc w:val="center"/>
        <w:rPr>
          <w:rFonts w:ascii="宋体" w:hAnsi="宋体" w:cs="宋体"/>
        </w:rPr>
      </w:pPr>
      <w:bookmarkStart w:id="210" w:name="_Toc25392"/>
      <w:bookmarkStart w:id="211" w:name="_Toc9293"/>
      <w:bookmarkStart w:id="212" w:name="_Toc21814"/>
      <w:r>
        <w:rPr>
          <w:rFonts w:hint="eastAsia" w:ascii="宋体" w:hAnsi="宋体" w:cs="宋体"/>
        </w:rPr>
        <w:t>异议</w:t>
      </w:r>
      <w:bookmarkEnd w:id="210"/>
      <w:bookmarkEnd w:id="211"/>
      <w:bookmarkEnd w:id="212"/>
    </w:p>
    <w:p w14:paraId="1B8C5EBD">
      <w:pPr>
        <w:pStyle w:val="8"/>
        <w:widowControl w:val="0"/>
        <w:numPr>
          <w:ilvl w:val="0"/>
          <w:numId w:val="0"/>
        </w:numPr>
        <w:overflowPunct w:val="0"/>
        <w:ind w:left="425" w:leftChars="0" w:hanging="425" w:firstLineChars="0"/>
        <w:rPr>
          <w:rFonts w:ascii="宋体" w:hAnsi="宋体" w:cs="宋体"/>
          <w:sz w:val="21"/>
          <w:szCs w:val="21"/>
        </w:rPr>
      </w:pPr>
      <w:bookmarkStart w:id="213" w:name="_Toc23754"/>
      <w:bookmarkStart w:id="214" w:name="_Toc9791"/>
      <w:r>
        <w:rPr>
          <w:rFonts w:hint="default" w:ascii="宋体" w:hAnsi="宋体" w:eastAsia="宋体" w:cs="宋体"/>
          <w:b/>
          <w:sz w:val="21"/>
          <w:szCs w:val="21"/>
          <w:lang w:val="en-US" w:eastAsia="zh-CN" w:bidi="ar-SA"/>
        </w:rPr>
        <w:t>35.</w:t>
      </w:r>
      <w:r>
        <w:rPr>
          <w:rFonts w:hint="eastAsia" w:ascii="宋体" w:hAnsi="宋体" w:cs="宋体"/>
          <w:sz w:val="21"/>
          <w:szCs w:val="21"/>
        </w:rPr>
        <w:t>异议</w:t>
      </w:r>
      <w:bookmarkEnd w:id="213"/>
      <w:bookmarkEnd w:id="214"/>
    </w:p>
    <w:p w14:paraId="094DEB43">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35.1.</w:t>
      </w:r>
      <w:r>
        <w:rPr>
          <w:rFonts w:hint="eastAsia" w:ascii="宋体" w:hAnsi="宋体" w:cs="宋体"/>
          <w:szCs w:val="21"/>
          <w:lang w:val="zh-CN"/>
        </w:rPr>
        <w:t>采购文件的异议</w:t>
      </w:r>
      <w:r>
        <w:rPr>
          <w:rFonts w:hint="eastAsia" w:ascii="宋体" w:hAnsi="宋体" w:cs="宋体"/>
          <w:szCs w:val="21"/>
        </w:rPr>
        <w:t xml:space="preserve">  </w:t>
      </w:r>
    </w:p>
    <w:p w14:paraId="619EBFA9">
      <w:pPr>
        <w:widowControl w:val="0"/>
        <w:tabs>
          <w:tab w:val="left" w:pos="907"/>
        </w:tabs>
        <w:adjustRightInd/>
        <w:snapToGrid/>
        <w:ind w:firstLine="420" w:firstLineChars="200"/>
        <w:jc w:val="both"/>
        <w:rPr>
          <w:rFonts w:ascii="宋体" w:hAnsi="宋体" w:cs="宋体"/>
          <w:szCs w:val="21"/>
        </w:rPr>
      </w:pPr>
      <w:r>
        <w:rPr>
          <w:rFonts w:hint="eastAsia" w:ascii="宋体" w:hAnsi="宋体" w:cs="宋体"/>
          <w:bCs/>
          <w:kern w:val="2"/>
          <w:szCs w:val="21"/>
          <w:lang w:val="zh-CN"/>
        </w:rPr>
        <w:t>投标人或者其他利害关系人对采购文件有异议的，应当在投标截止时间10日前</w:t>
      </w:r>
      <w:r>
        <w:rPr>
          <w:rFonts w:hint="eastAsia" w:ascii="宋体" w:hAnsi="宋体" w:cs="宋体"/>
          <w:kern w:val="2"/>
          <w:szCs w:val="21"/>
          <w:lang w:val="zh-CN"/>
        </w:rPr>
        <w:t>以书面形式向采购代理机构提出，并将材料原件送达采购代理机构，逾期则视为对采购文件所有内容无异议。</w:t>
      </w:r>
      <w:r>
        <w:rPr>
          <w:rFonts w:hint="eastAsia" w:ascii="宋体" w:hAnsi="宋体" w:cs="宋体"/>
          <w:bCs/>
          <w:kern w:val="2"/>
          <w:szCs w:val="21"/>
          <w:lang w:val="zh-CN"/>
        </w:rPr>
        <w:t>异议</w:t>
      </w:r>
      <w:r>
        <w:rPr>
          <w:rFonts w:hint="eastAsia" w:ascii="宋体" w:hAnsi="宋体" w:cs="宋体"/>
          <w:kern w:val="2"/>
          <w:szCs w:val="21"/>
          <w:lang w:val="zh-CN"/>
        </w:rPr>
        <w:t>书面材料必须加盖投标人法人公章，并注明联系人、联系电话、联系地址。</w:t>
      </w:r>
      <w:r>
        <w:rPr>
          <w:rFonts w:hint="eastAsia" w:ascii="宋体" w:hAnsi="宋体" w:cs="宋体"/>
          <w:bCs/>
          <w:kern w:val="2"/>
          <w:szCs w:val="21"/>
          <w:lang w:val="zh-CN"/>
        </w:rPr>
        <w:t>超出</w:t>
      </w:r>
      <w:r>
        <w:rPr>
          <w:rFonts w:hint="eastAsia" w:ascii="宋体" w:hAnsi="宋体" w:cs="宋体"/>
          <w:kern w:val="2"/>
          <w:szCs w:val="21"/>
          <w:lang w:val="zh-CN"/>
        </w:rPr>
        <w:t>提交接收异议截止时间而</w:t>
      </w:r>
      <w:r>
        <w:rPr>
          <w:rFonts w:hint="eastAsia" w:ascii="宋体" w:hAnsi="宋体" w:cs="宋体"/>
          <w:bCs/>
          <w:kern w:val="2"/>
          <w:szCs w:val="21"/>
          <w:lang w:val="zh-CN"/>
        </w:rPr>
        <w:t>提出的任何疑问，</w:t>
      </w:r>
      <w:r>
        <w:rPr>
          <w:rFonts w:hint="eastAsia" w:ascii="宋体" w:hAnsi="宋体" w:cs="宋体"/>
          <w:bCs/>
          <w:kern w:val="2"/>
          <w:szCs w:val="21"/>
        </w:rPr>
        <w:t>采购人或</w:t>
      </w:r>
      <w:r>
        <w:rPr>
          <w:rFonts w:hint="eastAsia" w:ascii="宋体" w:hAnsi="宋体" w:cs="宋体"/>
          <w:bCs/>
          <w:kern w:val="2"/>
          <w:szCs w:val="21"/>
          <w:lang w:val="zh-CN"/>
        </w:rPr>
        <w:t>采购代理机构可不予答复。</w:t>
      </w:r>
    </w:p>
    <w:p w14:paraId="4B53DDE5">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35.2.</w:t>
      </w:r>
      <w:r>
        <w:rPr>
          <w:rFonts w:hint="eastAsia" w:ascii="宋体" w:hAnsi="宋体" w:cs="宋体"/>
          <w:szCs w:val="21"/>
          <w:lang w:val="zh-CN"/>
        </w:rPr>
        <w:t>评标结果异议</w:t>
      </w:r>
      <w:r>
        <w:rPr>
          <w:rFonts w:hint="eastAsia" w:ascii="宋体" w:hAnsi="宋体" w:cs="宋体"/>
          <w:szCs w:val="21"/>
        </w:rPr>
        <w:t xml:space="preserve">   </w:t>
      </w:r>
    </w:p>
    <w:p w14:paraId="53E79AC3">
      <w:pPr>
        <w:widowControl w:val="0"/>
        <w:tabs>
          <w:tab w:val="left" w:pos="907"/>
        </w:tabs>
        <w:adjustRightInd/>
        <w:snapToGrid/>
        <w:ind w:firstLine="420" w:firstLineChars="200"/>
        <w:jc w:val="both"/>
        <w:rPr>
          <w:rFonts w:ascii="宋体" w:hAnsi="宋体" w:cs="宋体"/>
          <w:kern w:val="2"/>
          <w:szCs w:val="21"/>
          <w:lang w:val="zh-CN"/>
        </w:rPr>
      </w:pPr>
      <w:r>
        <w:rPr>
          <w:rFonts w:hint="eastAsia" w:ascii="宋体" w:hAnsi="宋体" w:cs="宋体"/>
          <w:kern w:val="2"/>
          <w:szCs w:val="21"/>
          <w:lang w:val="zh-CN"/>
        </w:rPr>
        <w:t>投标人或者其他利害关系人对评标结果有异议的，应当在中标候选人公示期间向采购代理机构以书面的形式提出，并将完整的异议书面材料原件送达采购代理机构，逾期则视为对评标结果无异议。超出提交异议截止时间而提出的任何疑问，采购代理机构可不予答复。</w:t>
      </w:r>
    </w:p>
    <w:p w14:paraId="5637C2AA">
      <w:pPr>
        <w:widowControl w:val="0"/>
        <w:tabs>
          <w:tab w:val="left" w:pos="907"/>
        </w:tabs>
        <w:adjustRightInd/>
        <w:snapToGrid/>
        <w:ind w:firstLine="420" w:firstLineChars="200"/>
        <w:jc w:val="both"/>
        <w:rPr>
          <w:rFonts w:ascii="宋体" w:hAnsi="宋体" w:cs="宋体"/>
          <w:kern w:val="2"/>
          <w:szCs w:val="21"/>
          <w:lang w:val="zh-CN"/>
        </w:rPr>
      </w:pPr>
      <w:r>
        <w:rPr>
          <w:rFonts w:hint="eastAsia" w:ascii="宋体" w:hAnsi="宋体" w:cs="宋体"/>
          <w:kern w:val="2"/>
          <w:szCs w:val="21"/>
          <w:lang w:val="zh-CN"/>
        </w:rPr>
        <w:t>采购代理机构将拒收未能提供完整异议书面材料的异议，完整的异议书面材料必须同时包含：异议书（加盖法人公章，并注明联系人、联系电话、联系地址）、授权提交异议的法定代表人授权书原件、反映异议人主体资格的营业执照复印件（加盖法人公章）、以及合法来源的证据证明材料。</w:t>
      </w:r>
    </w:p>
    <w:p w14:paraId="6098DF70">
      <w:pPr>
        <w:widowControl w:val="0"/>
        <w:numPr>
          <w:ilvl w:val="1"/>
          <w:numId w:val="0"/>
        </w:numPr>
        <w:overflowPunct w:val="0"/>
        <w:ind w:left="567" w:leftChars="0" w:hanging="567" w:firstLineChars="0"/>
        <w:rPr>
          <w:rFonts w:ascii="宋体" w:hAnsi="宋体" w:cs="宋体"/>
        </w:rPr>
      </w:pPr>
      <w:r>
        <w:rPr>
          <w:rFonts w:hint="default" w:ascii="宋体" w:hAnsi="宋体" w:eastAsia="宋体" w:cs="宋体"/>
          <w:sz w:val="21"/>
          <w:szCs w:val="21"/>
          <w:lang w:val="en-US" w:eastAsia="zh-CN" w:bidi="ar-SA"/>
        </w:rPr>
        <w:t>35.3.</w:t>
      </w:r>
      <w:r>
        <w:rPr>
          <w:rFonts w:hint="eastAsia" w:ascii="宋体" w:hAnsi="宋体" w:cs="宋体"/>
          <w:szCs w:val="21"/>
        </w:rPr>
        <w:t>以联合体形式参加采购活动的，其异议应当由组成联合体的所有投标人共同提出。</w:t>
      </w:r>
    </w:p>
    <w:p w14:paraId="3398EC31">
      <w:pPr>
        <w:pStyle w:val="7"/>
        <w:numPr>
          <w:ilvl w:val="0"/>
          <w:numId w:val="2"/>
        </w:numPr>
        <w:spacing w:before="0" w:after="0" w:line="360" w:lineRule="auto"/>
        <w:jc w:val="center"/>
        <w:rPr>
          <w:rFonts w:ascii="宋体" w:hAnsi="宋体" w:cs="宋体"/>
        </w:rPr>
      </w:pPr>
      <w:bookmarkStart w:id="215" w:name="_Toc18965"/>
      <w:bookmarkStart w:id="216" w:name="_Toc5159"/>
      <w:bookmarkStart w:id="217" w:name="_Toc23395"/>
      <w:r>
        <w:rPr>
          <w:rFonts w:hint="eastAsia" w:ascii="宋体" w:hAnsi="宋体" w:cs="宋体"/>
        </w:rPr>
        <w:t>其他</w:t>
      </w:r>
      <w:bookmarkEnd w:id="215"/>
      <w:bookmarkEnd w:id="216"/>
      <w:bookmarkEnd w:id="217"/>
    </w:p>
    <w:p w14:paraId="4C686491">
      <w:pPr>
        <w:pStyle w:val="8"/>
        <w:widowControl w:val="0"/>
        <w:numPr>
          <w:ilvl w:val="0"/>
          <w:numId w:val="0"/>
        </w:numPr>
        <w:overflowPunct w:val="0"/>
        <w:ind w:left="425" w:leftChars="0" w:hanging="425" w:firstLineChars="0"/>
        <w:rPr>
          <w:rFonts w:ascii="宋体" w:hAnsi="宋体" w:cs="宋体"/>
          <w:vanish/>
          <w:szCs w:val="21"/>
        </w:rPr>
      </w:pPr>
      <w:bookmarkStart w:id="218" w:name="_Toc12672"/>
      <w:bookmarkStart w:id="219" w:name="_Toc1587"/>
      <w:r>
        <w:rPr>
          <w:rFonts w:hint="default" w:ascii="宋体" w:hAnsi="宋体" w:eastAsia="宋体" w:cs="宋体"/>
          <w:b/>
          <w:sz w:val="21"/>
          <w:szCs w:val="21"/>
          <w:lang w:val="en-US" w:eastAsia="zh-CN" w:bidi="ar-SA"/>
        </w:rPr>
        <w:t>36.</w:t>
      </w:r>
      <w:r>
        <w:rPr>
          <w:rFonts w:hint="eastAsia" w:ascii="宋体" w:hAnsi="宋体" w:cs="宋体"/>
          <w:sz w:val="21"/>
          <w:szCs w:val="21"/>
        </w:rPr>
        <w:t>采购文件的解释权</w:t>
      </w:r>
      <w:bookmarkEnd w:id="218"/>
      <w:bookmarkEnd w:id="219"/>
    </w:p>
    <w:p w14:paraId="1E029DF8">
      <w:pPr>
        <w:widowControl w:val="0"/>
        <w:numPr>
          <w:ilvl w:val="1"/>
          <w:numId w:val="0"/>
        </w:numPr>
        <w:overflowPunct w:val="0"/>
        <w:ind w:left="567" w:leftChars="0" w:hanging="567" w:firstLineChars="0"/>
        <w:rPr>
          <w:rFonts w:ascii="宋体" w:hAnsi="宋体" w:cs="宋体"/>
          <w:szCs w:val="21"/>
        </w:rPr>
      </w:pPr>
      <w:r>
        <w:rPr>
          <w:rFonts w:hint="default" w:ascii="宋体" w:hAnsi="宋体" w:eastAsia="宋体" w:cs="宋体"/>
          <w:sz w:val="21"/>
          <w:szCs w:val="21"/>
          <w:lang w:val="en-US" w:eastAsia="zh-CN" w:bidi="ar-SA"/>
        </w:rPr>
        <w:t>36.1.</w:t>
      </w:r>
      <w:r>
        <w:rPr>
          <w:rFonts w:hint="eastAsia" w:ascii="宋体" w:hAnsi="宋体" w:cs="宋体"/>
          <w:szCs w:val="21"/>
        </w:rPr>
        <w:t>本采购文件是根据国家有关法律、法规以及采购管理有关规定和参照国际惯例编制，解释权属本采购代理机构。</w:t>
      </w:r>
    </w:p>
    <w:p w14:paraId="0FD3CDD7">
      <w:pPr>
        <w:widowControl w:val="0"/>
        <w:numPr>
          <w:ilvl w:val="1"/>
          <w:numId w:val="7"/>
        </w:numPr>
        <w:tabs>
          <w:tab w:val="left" w:pos="907"/>
        </w:tabs>
        <w:adjustRightInd/>
        <w:snapToGrid/>
        <w:spacing w:line="360" w:lineRule="exact"/>
        <w:jc w:val="both"/>
        <w:rPr>
          <w:rFonts w:ascii="宋体" w:hAnsi="宋体"/>
          <w:szCs w:val="21"/>
        </w:rPr>
      </w:pPr>
      <w:r>
        <w:rPr>
          <w:rFonts w:hint="eastAsia" w:ascii="宋体" w:hAnsi="宋体"/>
          <w:szCs w:val="21"/>
        </w:rPr>
        <w:br w:type="page"/>
      </w:r>
    </w:p>
    <w:p w14:paraId="6A5DD650">
      <w:pPr>
        <w:pStyle w:val="5"/>
        <w:spacing w:before="0" w:after="0" w:line="240" w:lineRule="auto"/>
        <w:rPr>
          <w:sz w:val="28"/>
          <w:szCs w:val="28"/>
        </w:rPr>
      </w:pPr>
      <w:bookmarkStart w:id="220" w:name="_Toc30789"/>
      <w:bookmarkStart w:id="221" w:name="_Toc16219"/>
      <w:r>
        <w:rPr>
          <w:rFonts w:hint="eastAsia"/>
          <w:sz w:val="28"/>
          <w:szCs w:val="28"/>
        </w:rPr>
        <w:t>第五部分  合同条款格式</w:t>
      </w:r>
      <w:bookmarkEnd w:id="220"/>
      <w:bookmarkEnd w:id="221"/>
      <w:bookmarkStart w:id="222" w:name="_Toc15636"/>
    </w:p>
    <w:bookmarkEnd w:id="222"/>
    <w:p w14:paraId="5E6D8D0A">
      <w:pPr>
        <w:rPr>
          <w:lang w:bidi="zh-CN"/>
        </w:rPr>
      </w:pPr>
      <w:bookmarkStart w:id="223" w:name="_Hlt109815959"/>
      <w:bookmarkEnd w:id="223"/>
    </w:p>
    <w:p w14:paraId="46CED0F1">
      <w:pPr>
        <w:tabs>
          <w:tab w:val="left" w:pos="851"/>
          <w:tab w:val="left" w:pos="993"/>
          <w:tab w:val="left" w:pos="1276"/>
        </w:tabs>
        <w:ind w:right="418" w:rightChars="199"/>
        <w:rPr>
          <w:b/>
          <w:bCs/>
          <w:sz w:val="52"/>
          <w:szCs w:val="52"/>
        </w:rPr>
      </w:pPr>
      <w:r>
        <w:rPr>
          <w:rFonts w:hint="eastAsia"/>
          <w:b/>
          <w:bCs/>
          <w:sz w:val="28"/>
          <w:szCs w:val="28"/>
        </w:rPr>
        <w:t>合同编号：</w:t>
      </w:r>
    </w:p>
    <w:p w14:paraId="394A30CD">
      <w:pPr>
        <w:pStyle w:val="11"/>
        <w:ind w:firstLine="0" w:firstLineChars="0"/>
        <w:rPr>
          <w:rFonts w:cs="宋体"/>
          <w:b/>
          <w:bCs/>
        </w:rPr>
      </w:pPr>
    </w:p>
    <w:p w14:paraId="0FA83FC6">
      <w:pPr>
        <w:pStyle w:val="11"/>
        <w:ind w:firstLine="0" w:firstLineChars="0"/>
        <w:rPr>
          <w:rFonts w:cs="宋体"/>
          <w:b/>
          <w:bCs/>
        </w:rPr>
      </w:pPr>
    </w:p>
    <w:p w14:paraId="7EF750FA">
      <w:pPr>
        <w:pStyle w:val="11"/>
        <w:ind w:firstLine="0" w:firstLineChars="0"/>
        <w:rPr>
          <w:rFonts w:cs="宋体"/>
          <w:b/>
          <w:bCs/>
        </w:rPr>
      </w:pPr>
    </w:p>
    <w:p w14:paraId="7C075200">
      <w:pPr>
        <w:pStyle w:val="11"/>
        <w:ind w:firstLine="0" w:firstLineChars="0"/>
        <w:rPr>
          <w:rFonts w:cs="宋体"/>
          <w:b/>
          <w:bCs/>
        </w:rPr>
      </w:pPr>
    </w:p>
    <w:p w14:paraId="43353C04">
      <w:pPr>
        <w:pStyle w:val="11"/>
        <w:ind w:firstLine="0" w:firstLineChars="0"/>
        <w:rPr>
          <w:rFonts w:cs="宋体"/>
          <w:b/>
          <w:bCs/>
        </w:rPr>
      </w:pPr>
    </w:p>
    <w:p w14:paraId="5BDE88BE">
      <w:pPr>
        <w:pStyle w:val="11"/>
        <w:ind w:firstLine="0" w:firstLineChars="0"/>
        <w:rPr>
          <w:rFonts w:cs="宋体"/>
          <w:b/>
          <w:bCs/>
        </w:rPr>
      </w:pPr>
    </w:p>
    <w:p w14:paraId="08DEB2A1">
      <w:pPr>
        <w:pStyle w:val="11"/>
        <w:ind w:firstLine="0" w:firstLineChars="0"/>
        <w:rPr>
          <w:rFonts w:cs="宋体"/>
          <w:b/>
          <w:bCs/>
        </w:rPr>
      </w:pPr>
    </w:p>
    <w:p w14:paraId="09980ADE">
      <w:pPr>
        <w:pStyle w:val="11"/>
        <w:ind w:firstLine="0" w:firstLineChars="0"/>
        <w:rPr>
          <w:rFonts w:cs="宋体"/>
          <w:b/>
          <w:bCs/>
        </w:rPr>
      </w:pPr>
    </w:p>
    <w:p w14:paraId="7E88A21B">
      <w:pPr>
        <w:jc w:val="center"/>
        <w:rPr>
          <w:b/>
          <w:bCs/>
          <w:sz w:val="52"/>
          <w:szCs w:val="52"/>
        </w:rPr>
      </w:pPr>
      <w:r>
        <w:rPr>
          <w:rFonts w:hint="eastAsia"/>
          <w:b/>
          <w:bCs/>
          <w:sz w:val="52"/>
          <w:szCs w:val="52"/>
          <w:lang w:eastAsia="zh-CN"/>
        </w:rPr>
        <w:t>东莞能源集团安全信息化管理系统建设项目</w:t>
      </w:r>
      <w:r>
        <w:rPr>
          <w:rFonts w:hint="eastAsia"/>
          <w:b/>
          <w:bCs/>
          <w:sz w:val="52"/>
          <w:szCs w:val="52"/>
        </w:rPr>
        <w:t>合同</w:t>
      </w:r>
    </w:p>
    <w:p w14:paraId="06EF37A3">
      <w:pPr>
        <w:pStyle w:val="11"/>
        <w:ind w:firstLine="0" w:firstLineChars="0"/>
        <w:rPr>
          <w:rFonts w:cs="宋体"/>
          <w:b/>
          <w:bCs/>
        </w:rPr>
      </w:pPr>
    </w:p>
    <w:p w14:paraId="2B27D05A">
      <w:pPr>
        <w:pStyle w:val="11"/>
        <w:ind w:firstLine="0" w:firstLineChars="0"/>
        <w:rPr>
          <w:rFonts w:cs="宋体"/>
          <w:b/>
          <w:bCs/>
        </w:rPr>
      </w:pPr>
    </w:p>
    <w:p w14:paraId="5232E59F">
      <w:pPr>
        <w:pStyle w:val="11"/>
        <w:ind w:firstLine="0" w:firstLineChars="0"/>
        <w:rPr>
          <w:rFonts w:cs="宋体"/>
          <w:b/>
          <w:bCs/>
        </w:rPr>
      </w:pPr>
    </w:p>
    <w:p w14:paraId="57F23BA0">
      <w:pPr>
        <w:pStyle w:val="11"/>
        <w:ind w:firstLine="0" w:firstLineChars="0"/>
        <w:rPr>
          <w:rFonts w:cs="宋体"/>
          <w:b/>
          <w:bCs/>
        </w:rPr>
      </w:pPr>
    </w:p>
    <w:p w14:paraId="139817F1">
      <w:pPr>
        <w:pStyle w:val="11"/>
        <w:ind w:firstLine="0" w:firstLineChars="0"/>
        <w:rPr>
          <w:rFonts w:cs="宋体"/>
          <w:b/>
          <w:bCs/>
        </w:rPr>
      </w:pPr>
    </w:p>
    <w:p w14:paraId="0FFB1DAA">
      <w:pPr>
        <w:pStyle w:val="11"/>
        <w:ind w:firstLine="0" w:firstLineChars="0"/>
        <w:rPr>
          <w:rFonts w:cs="宋体"/>
          <w:b/>
          <w:bCs/>
        </w:rPr>
      </w:pPr>
    </w:p>
    <w:p w14:paraId="4FB5FFDE">
      <w:pPr>
        <w:pStyle w:val="11"/>
        <w:ind w:firstLine="0" w:firstLineChars="0"/>
        <w:rPr>
          <w:rFonts w:cs="宋体"/>
          <w:b/>
          <w:bCs/>
        </w:rPr>
      </w:pPr>
    </w:p>
    <w:p w14:paraId="255547FD">
      <w:pPr>
        <w:pStyle w:val="11"/>
        <w:ind w:firstLine="0" w:firstLineChars="0"/>
        <w:rPr>
          <w:rFonts w:cs="宋体"/>
          <w:b/>
          <w:bCs/>
        </w:rPr>
      </w:pPr>
    </w:p>
    <w:p w14:paraId="0C330327">
      <w:pPr>
        <w:pStyle w:val="11"/>
        <w:ind w:firstLine="0" w:firstLineChars="0"/>
        <w:rPr>
          <w:rFonts w:cs="宋体"/>
          <w:b/>
          <w:bCs/>
        </w:rPr>
      </w:pPr>
    </w:p>
    <w:p w14:paraId="7B5C9BF5">
      <w:pPr>
        <w:pStyle w:val="11"/>
        <w:ind w:firstLine="0" w:firstLineChars="0"/>
        <w:rPr>
          <w:rFonts w:cs="宋体"/>
          <w:b/>
          <w:bCs/>
        </w:rPr>
      </w:pPr>
    </w:p>
    <w:p w14:paraId="24FDD1FB">
      <w:pPr>
        <w:ind w:left="867" w:leftChars="413"/>
        <w:rPr>
          <w:b/>
          <w:sz w:val="28"/>
          <w:szCs w:val="28"/>
        </w:rPr>
      </w:pPr>
      <w:r>
        <w:rPr>
          <w:rFonts w:hint="eastAsia"/>
          <w:b/>
          <w:sz w:val="28"/>
          <w:szCs w:val="28"/>
        </w:rPr>
        <w:t>甲方：</w:t>
      </w:r>
      <w:r>
        <w:rPr>
          <w:rFonts w:hint="eastAsia"/>
          <w:b/>
          <w:sz w:val="28"/>
          <w:szCs w:val="28"/>
          <w:u w:val="single"/>
          <w:lang w:eastAsia="zh-CN"/>
        </w:rPr>
        <w:t>东莞市能源投资集团有限公司</w:t>
      </w:r>
      <w:r>
        <w:rPr>
          <w:rFonts w:hint="eastAsia"/>
          <w:b/>
          <w:sz w:val="28"/>
          <w:szCs w:val="28"/>
        </w:rPr>
        <w:t>（公章）</w:t>
      </w:r>
    </w:p>
    <w:p w14:paraId="05BB5895">
      <w:pPr>
        <w:ind w:left="867" w:leftChars="413"/>
        <w:rPr>
          <w:b/>
          <w:sz w:val="28"/>
          <w:szCs w:val="28"/>
        </w:rPr>
      </w:pPr>
      <w:r>
        <w:rPr>
          <w:rFonts w:hint="eastAsia"/>
          <w:b/>
          <w:sz w:val="28"/>
          <w:szCs w:val="28"/>
        </w:rPr>
        <w:t>乙方：</w:t>
      </w:r>
      <w:r>
        <w:rPr>
          <w:rFonts w:hint="eastAsia"/>
          <w:b/>
          <w:sz w:val="28"/>
          <w:szCs w:val="28"/>
          <w:u w:val="single"/>
        </w:rPr>
        <w:t xml:space="preserve">                           </w:t>
      </w:r>
      <w:r>
        <w:rPr>
          <w:rFonts w:hint="eastAsia"/>
          <w:b/>
          <w:sz w:val="28"/>
          <w:szCs w:val="28"/>
        </w:rPr>
        <w:t>（公章）</w:t>
      </w:r>
    </w:p>
    <w:p w14:paraId="3BBD36DE">
      <w:pPr>
        <w:ind w:left="867" w:leftChars="413"/>
        <w:rPr>
          <w:b/>
          <w:sz w:val="28"/>
          <w:szCs w:val="28"/>
          <w:u w:val="single"/>
        </w:rPr>
      </w:pPr>
      <w:r>
        <w:rPr>
          <w:rFonts w:hint="eastAsia"/>
          <w:b/>
          <w:sz w:val="28"/>
          <w:szCs w:val="28"/>
        </w:rPr>
        <w:t>签订日期：</w:t>
      </w:r>
      <w:r>
        <w:rPr>
          <w:b/>
          <w:sz w:val="28"/>
          <w:szCs w:val="28"/>
          <w:u w:val="single"/>
        </w:rPr>
        <w:t>202</w:t>
      </w:r>
      <w:r>
        <w:rPr>
          <w:rFonts w:hint="eastAsia"/>
          <w:b/>
          <w:sz w:val="28"/>
          <w:szCs w:val="28"/>
          <w:u w:val="single"/>
          <w:lang w:val="en-US" w:eastAsia="zh-CN"/>
        </w:rPr>
        <w:t>6</w:t>
      </w:r>
      <w:r>
        <w:rPr>
          <w:rFonts w:hint="eastAsia"/>
          <w:b/>
          <w:sz w:val="28"/>
          <w:szCs w:val="28"/>
          <w:u w:val="single"/>
        </w:rPr>
        <w:t xml:space="preserve">年  </w:t>
      </w:r>
      <w:r>
        <w:rPr>
          <w:b/>
          <w:sz w:val="28"/>
          <w:szCs w:val="28"/>
          <w:u w:val="single"/>
        </w:rPr>
        <w:t xml:space="preserve"> </w:t>
      </w:r>
      <w:r>
        <w:rPr>
          <w:rFonts w:hint="eastAsia"/>
          <w:b/>
          <w:sz w:val="28"/>
          <w:szCs w:val="28"/>
          <w:u w:val="single"/>
        </w:rPr>
        <w:t>月   日</w:t>
      </w:r>
    </w:p>
    <w:p w14:paraId="046B4AF9">
      <w:pPr>
        <w:ind w:left="867" w:leftChars="413"/>
        <w:rPr>
          <w:b/>
          <w:sz w:val="28"/>
          <w:szCs w:val="28"/>
        </w:rPr>
      </w:pPr>
      <w:r>
        <w:rPr>
          <w:rFonts w:hint="eastAsia"/>
          <w:b/>
          <w:sz w:val="28"/>
          <w:szCs w:val="28"/>
        </w:rPr>
        <w:t>签订地点：</w:t>
      </w:r>
      <w:r>
        <w:rPr>
          <w:rFonts w:hint="eastAsia"/>
          <w:b/>
          <w:sz w:val="28"/>
          <w:szCs w:val="28"/>
          <w:u w:val="single"/>
        </w:rPr>
        <w:t>东莞市</w:t>
      </w:r>
    </w:p>
    <w:p w14:paraId="6FA4476B"/>
    <w:p w14:paraId="784A667A">
      <w:pPr>
        <w:jc w:val="center"/>
        <w:rPr>
          <w:b/>
          <w:bCs/>
          <w:sz w:val="36"/>
          <w:szCs w:val="36"/>
        </w:rPr>
      </w:pPr>
      <w:r>
        <w:rPr>
          <w:b/>
          <w:bCs/>
          <w:sz w:val="36"/>
          <w:szCs w:val="36"/>
        </w:rPr>
        <w:br w:type="page"/>
      </w:r>
      <w:r>
        <w:rPr>
          <w:rFonts w:hint="eastAsia"/>
          <w:b/>
          <w:bCs/>
          <w:sz w:val="36"/>
          <w:szCs w:val="36"/>
          <w:lang w:eastAsia="zh-CN"/>
        </w:rPr>
        <w:t>东莞能源集团安全信息化管理系统建设项目</w:t>
      </w:r>
      <w:r>
        <w:rPr>
          <w:rFonts w:hint="eastAsia"/>
          <w:b/>
          <w:bCs/>
          <w:sz w:val="36"/>
          <w:szCs w:val="36"/>
        </w:rPr>
        <w:t>合同</w:t>
      </w:r>
    </w:p>
    <w:p w14:paraId="550950F7">
      <w:pPr>
        <w:spacing w:line="440" w:lineRule="exact"/>
        <w:ind w:firstLine="420" w:firstLineChars="200"/>
        <w:rPr>
          <w:szCs w:val="21"/>
        </w:rPr>
      </w:pPr>
    </w:p>
    <w:p w14:paraId="06CED2DC">
      <w:pPr>
        <w:rPr>
          <w:rFonts w:hint="eastAsia" w:ascii="宋体" w:hAnsi="宋体" w:eastAsia="宋体" w:cs="宋体"/>
          <w:szCs w:val="21"/>
          <w:u w:val="single"/>
          <w:lang w:eastAsia="zh-CN"/>
        </w:rPr>
      </w:pPr>
      <w:r>
        <w:rPr>
          <w:rFonts w:hint="eastAsia" w:ascii="宋体" w:hAnsi="宋体" w:cs="宋体"/>
          <w:szCs w:val="21"/>
          <w:lang w:bidi="ar"/>
        </w:rPr>
        <w:t>甲方（采购人）：</w:t>
      </w:r>
      <w:r>
        <w:rPr>
          <w:rFonts w:hint="eastAsia" w:ascii="宋体" w:hAnsi="宋体" w:cs="宋体"/>
          <w:szCs w:val="21"/>
          <w:u w:val="single"/>
          <w:lang w:eastAsia="zh-CN" w:bidi="ar"/>
        </w:rPr>
        <w:t>东莞市能源投资集团有限公司</w:t>
      </w:r>
    </w:p>
    <w:p w14:paraId="5E5C9AFE">
      <w:pPr>
        <w:rPr>
          <w:rFonts w:ascii="宋体" w:hAnsi="宋体" w:cs="宋体"/>
          <w:szCs w:val="21"/>
        </w:rPr>
      </w:pPr>
      <w:r>
        <w:rPr>
          <w:rFonts w:hint="eastAsia" w:ascii="宋体" w:hAnsi="宋体" w:cs="宋体"/>
          <w:szCs w:val="21"/>
          <w:lang w:bidi="ar"/>
        </w:rPr>
        <w:t xml:space="preserve">乙方（中标人）：                             </w:t>
      </w:r>
    </w:p>
    <w:p w14:paraId="17ED82C9">
      <w:pPr>
        <w:rPr>
          <w:rFonts w:ascii="宋体" w:hAnsi="宋体" w:cs="宋体"/>
          <w:szCs w:val="21"/>
        </w:rPr>
      </w:pPr>
    </w:p>
    <w:p w14:paraId="546A4D99">
      <w:pPr>
        <w:ind w:firstLine="525"/>
        <w:rPr>
          <w:rFonts w:ascii="宋体" w:hAnsi="宋体" w:cs="宋体"/>
          <w:szCs w:val="21"/>
        </w:rPr>
      </w:pPr>
      <w:r>
        <w:rPr>
          <w:rFonts w:hint="eastAsia" w:ascii="宋体" w:hAnsi="宋体" w:cs="宋体"/>
          <w:szCs w:val="21"/>
        </w:rPr>
        <w:t>根据《中华人民共和国民法典》及其他法律法规的有关规定，</w:t>
      </w:r>
      <w:r>
        <w:rPr>
          <w:rFonts w:hint="eastAsia" w:ascii="宋体" w:hAnsi="宋体" w:cs="宋体"/>
          <w:szCs w:val="21"/>
          <w:lang w:bidi="ar"/>
        </w:rPr>
        <w:t>甲乙双方就乙方向甲方提供</w:t>
      </w:r>
      <w:r>
        <w:rPr>
          <w:rFonts w:hint="eastAsia" w:ascii="宋体" w:hAnsi="宋体" w:cs="宋体"/>
          <w:szCs w:val="21"/>
          <w:lang w:eastAsia="zh-CN" w:bidi="ar"/>
        </w:rPr>
        <w:t>东莞能源集团安全信息化管理系统建设项目</w:t>
      </w:r>
      <w:r>
        <w:rPr>
          <w:rFonts w:hint="eastAsia" w:ascii="宋体" w:hAnsi="宋体" w:cs="宋体"/>
          <w:szCs w:val="21"/>
          <w:lang w:bidi="ar"/>
        </w:rPr>
        <w:t>事项，经协商一致，本着公平，公正的原则签订本合同，并由双方共同遵守。</w:t>
      </w:r>
    </w:p>
    <w:p w14:paraId="77F9208B">
      <w:pPr>
        <w:rPr>
          <w:rFonts w:ascii="宋体" w:hAnsi="宋体" w:cs="宋体"/>
          <w:szCs w:val="21"/>
        </w:rPr>
      </w:pPr>
      <w:r>
        <w:rPr>
          <w:rFonts w:hint="eastAsia" w:ascii="宋体" w:hAnsi="宋体" w:cs="宋体"/>
          <w:b/>
          <w:szCs w:val="21"/>
        </w:rPr>
        <w:t>一、合同金额</w:t>
      </w:r>
    </w:p>
    <w:p w14:paraId="11C354C0">
      <w:pPr>
        <w:ind w:firstLine="420"/>
        <w:rPr>
          <w:rFonts w:ascii="宋体" w:hAnsi="宋体" w:cs="宋体"/>
          <w:szCs w:val="21"/>
        </w:rPr>
      </w:pPr>
      <w:r>
        <w:rPr>
          <w:rFonts w:hint="eastAsia" w:ascii="宋体" w:hAnsi="宋体" w:cs="宋体"/>
          <w:szCs w:val="21"/>
        </w:rPr>
        <w:t>合同金额（含税）为（大写）：_____________元（￥_________元），其中：增值税率为</w:t>
      </w:r>
      <w:r>
        <w:rPr>
          <w:rFonts w:hint="eastAsia" w:ascii="宋体" w:hAnsi="宋体" w:cs="宋体"/>
          <w:szCs w:val="21"/>
          <w:u w:val="single"/>
        </w:rPr>
        <w:t xml:space="preserve">     </w:t>
      </w:r>
      <w:r>
        <w:rPr>
          <w:rFonts w:hint="eastAsia" w:ascii="宋体" w:hAnsi="宋体" w:cs="宋体"/>
          <w:szCs w:val="21"/>
        </w:rPr>
        <w:t>%，税金金额¥</w:t>
      </w:r>
      <w:r>
        <w:rPr>
          <w:rFonts w:hint="eastAsia" w:ascii="宋体" w:hAnsi="宋体" w:cs="宋体"/>
          <w:szCs w:val="21"/>
          <w:u w:val="single"/>
        </w:rPr>
        <w:t xml:space="preserve">     </w:t>
      </w:r>
      <w:r>
        <w:rPr>
          <w:rFonts w:hint="eastAsia" w:ascii="宋体" w:hAnsi="宋体" w:cs="宋体"/>
          <w:szCs w:val="21"/>
        </w:rPr>
        <w:t>元，不含税暂定合同总价款为¥</w:t>
      </w:r>
      <w:r>
        <w:rPr>
          <w:rFonts w:hint="eastAsia" w:ascii="宋体" w:hAnsi="宋体" w:cs="宋体"/>
          <w:szCs w:val="21"/>
          <w:u w:val="single"/>
        </w:rPr>
        <w:t xml:space="preserve">     </w:t>
      </w:r>
      <w:r>
        <w:rPr>
          <w:rFonts w:hint="eastAsia" w:ascii="宋体" w:hAnsi="宋体" w:cs="宋体"/>
          <w:szCs w:val="21"/>
        </w:rPr>
        <w:t>元。</w:t>
      </w:r>
    </w:p>
    <w:p w14:paraId="108B301F">
      <w:pPr>
        <w:bidi w:val="0"/>
        <w:ind w:firstLine="420" w:firstLineChars="200"/>
        <w:rPr>
          <w:rFonts w:ascii="宋体" w:hAnsi="宋体" w:cs="宋体"/>
          <w:szCs w:val="21"/>
        </w:rPr>
      </w:pPr>
      <w:r>
        <w:rPr>
          <w:rFonts w:hint="eastAsia" w:ascii="宋体" w:hAnsi="宋体" w:cs="宋体"/>
          <w:szCs w:val="21"/>
        </w:rPr>
        <w:t>合同金额为全包价，以人民币为结算单位，</w:t>
      </w:r>
      <w:r>
        <w:t>包含完成本次采购所有标的内容的费用，包含服务费用、人工费、材料费、调试费、各种税务费及合同实施过程中的不可预见费用等全部费用（含采购文件所要求的必要的辅助材料费用)和售后服务费等。包含所有应支付的对专利权和版权、设计或其他知识产权而需要向其他方支付的版税</w:t>
      </w:r>
      <w:r>
        <w:rPr>
          <w:rFonts w:hint="eastAsia"/>
          <w:lang w:eastAsia="zh-CN"/>
        </w:rPr>
        <w:t>。</w:t>
      </w:r>
    </w:p>
    <w:p w14:paraId="3129EB67">
      <w:pPr>
        <w:rPr>
          <w:rFonts w:ascii="宋体" w:hAnsi="宋体" w:cs="宋体"/>
          <w:szCs w:val="21"/>
        </w:rPr>
      </w:pPr>
      <w:r>
        <w:rPr>
          <w:rFonts w:hint="eastAsia" w:ascii="宋体" w:hAnsi="宋体" w:cs="宋体"/>
          <w:b/>
          <w:szCs w:val="21"/>
        </w:rPr>
        <w:t>二、服务内容及要求</w:t>
      </w:r>
    </w:p>
    <w:p w14:paraId="7BA947BA">
      <w:pPr>
        <w:ind w:firstLine="420"/>
        <w:rPr>
          <w:rFonts w:ascii="宋体" w:hAnsi="宋体" w:cs="宋体"/>
          <w:szCs w:val="21"/>
        </w:rPr>
      </w:pPr>
      <w:r>
        <w:rPr>
          <w:rFonts w:hint="eastAsia" w:ascii="宋体" w:hAnsi="宋体" w:cs="宋体"/>
          <w:szCs w:val="21"/>
        </w:rPr>
        <w:t>乙方为甲方提供以下服务内容及要求：</w:t>
      </w:r>
    </w:p>
    <w:p w14:paraId="65CB709B">
      <w:pPr>
        <w:ind w:firstLine="420"/>
        <w:rPr>
          <w:rFonts w:ascii="宋体" w:hAnsi="宋体" w:cs="宋体"/>
          <w:szCs w:val="21"/>
        </w:rPr>
      </w:pPr>
      <w:r>
        <w:rPr>
          <w:rFonts w:hint="eastAsia" w:ascii="宋体" w:hAnsi="宋体" w:cs="宋体"/>
          <w:szCs w:val="21"/>
        </w:rPr>
        <w:t>具体服务内容及要求详见采购文件，按照采购文件和投标文件执行。</w:t>
      </w:r>
    </w:p>
    <w:p w14:paraId="3C95D40B">
      <w:pPr>
        <w:rPr>
          <w:rFonts w:ascii="宋体" w:hAnsi="宋体" w:cs="宋体"/>
          <w:szCs w:val="21"/>
        </w:rPr>
      </w:pPr>
      <w:r>
        <w:rPr>
          <w:rFonts w:hint="eastAsia" w:ascii="宋体" w:hAnsi="宋体" w:cs="宋体"/>
          <w:b/>
          <w:szCs w:val="21"/>
        </w:rPr>
        <w:t>三、服务期</w:t>
      </w:r>
    </w:p>
    <w:p w14:paraId="479B95A6">
      <w:pPr>
        <w:ind w:firstLine="420"/>
        <w:rPr>
          <w:rFonts w:ascii="宋体" w:hAnsi="宋体" w:cs="宋体"/>
          <w:szCs w:val="21"/>
        </w:rPr>
      </w:pPr>
      <w:r>
        <w:rPr>
          <w:rFonts w:hint="eastAsia"/>
        </w:rPr>
        <w:t>自合同签订之日起至2026年12月31日（不含二期）</w:t>
      </w:r>
      <w:r>
        <w:rPr>
          <w:rFonts w:hint="eastAsia" w:asciiTheme="minorEastAsia" w:hAnsiTheme="minorEastAsia" w:cstheme="minorEastAsia"/>
          <w:szCs w:val="21"/>
        </w:rPr>
        <w:t>完成整个项目的建设及上线试运行，系统整体稳定试运行1个月后进行系统初验工作，初验通过即进入为期6个月的系统迭代优化阶段</w:t>
      </w:r>
      <w:r>
        <w:rPr>
          <w:rFonts w:hint="eastAsia"/>
          <w:lang w:eastAsia="zh-CN"/>
        </w:rPr>
        <w:t>。</w:t>
      </w:r>
      <w:r>
        <w:rPr>
          <w:rFonts w:hint="eastAsia" w:asciiTheme="minorEastAsia" w:hAnsiTheme="minorEastAsia" w:cstheme="minorEastAsia"/>
          <w:szCs w:val="21"/>
        </w:rPr>
        <w:t>完成系统建设、上线试运行、初验以及6个月的迭代优化并运行稳定，即具备终验条件，进行终验工作。</w:t>
      </w:r>
    </w:p>
    <w:p w14:paraId="094BDE3A">
      <w:pPr>
        <w:rPr>
          <w:rFonts w:ascii="宋体" w:hAnsi="宋体" w:cs="宋体"/>
          <w:szCs w:val="21"/>
        </w:rPr>
      </w:pPr>
      <w:r>
        <w:rPr>
          <w:rFonts w:hint="eastAsia" w:ascii="宋体" w:hAnsi="宋体" w:cs="宋体"/>
          <w:b/>
          <w:szCs w:val="21"/>
        </w:rPr>
        <w:t>四、付款方式</w:t>
      </w:r>
    </w:p>
    <w:p w14:paraId="0409891C">
      <w:pPr>
        <w:bidi w:val="0"/>
        <w:ind w:firstLine="420" w:firstLineChars="200"/>
        <w:rPr>
          <w:rFonts w:hint="eastAsia" w:eastAsia="宋体"/>
          <w:lang w:eastAsia="zh-CN"/>
        </w:rPr>
      </w:pPr>
      <w:r>
        <w:rPr>
          <w:rFonts w:hint="eastAsia"/>
          <w:lang w:val="en-US" w:eastAsia="zh-CN"/>
        </w:rPr>
        <w:t>第一期：合同签订后，甲方收到合格的付款发票及请款报告等资料之日起5个工作日内支付合同金额的</w:t>
      </w:r>
      <w:r>
        <w:rPr>
          <w:rFonts w:hint="eastAsia"/>
        </w:rPr>
        <w:t>30%预付款</w:t>
      </w:r>
      <w:r>
        <w:rPr>
          <w:rFonts w:hint="eastAsia"/>
          <w:lang w:eastAsia="zh-CN"/>
        </w:rPr>
        <w:t>；</w:t>
      </w:r>
    </w:p>
    <w:p w14:paraId="2A030040">
      <w:pPr>
        <w:bidi w:val="0"/>
        <w:ind w:firstLine="420" w:firstLineChars="200"/>
        <w:rPr>
          <w:rFonts w:hint="eastAsia" w:eastAsia="宋体"/>
          <w:lang w:eastAsia="zh-CN"/>
        </w:rPr>
      </w:pPr>
      <w:r>
        <w:rPr>
          <w:rFonts w:hint="eastAsia"/>
          <w:lang w:val="en-US" w:eastAsia="zh-CN"/>
        </w:rPr>
        <w:t>第二期：</w:t>
      </w:r>
      <w:r>
        <w:rPr>
          <w:rFonts w:hint="eastAsia"/>
        </w:rPr>
        <w:t>完成开发、单元测试、系统集成部署后</w:t>
      </w:r>
      <w:r>
        <w:rPr>
          <w:rFonts w:hint="eastAsia" w:asciiTheme="minorEastAsia" w:hAnsiTheme="minorEastAsia" w:cstheme="minorEastAsia"/>
          <w:szCs w:val="21"/>
          <w:lang w:eastAsia="zh-CN"/>
        </w:rPr>
        <w:t>甲方</w:t>
      </w:r>
      <w:r>
        <w:rPr>
          <w:rFonts w:hint="eastAsia" w:asciiTheme="minorEastAsia" w:hAnsiTheme="minorEastAsia" w:cstheme="minorEastAsia"/>
          <w:szCs w:val="21"/>
        </w:rPr>
        <w:t>收到合格的付款发票及试运行报告等资料之日起</w:t>
      </w:r>
      <w:r>
        <w:rPr>
          <w:rFonts w:hint="eastAsia" w:asciiTheme="minorEastAsia" w:hAnsiTheme="minorEastAsia" w:cstheme="minorEastAsia"/>
          <w:szCs w:val="21"/>
          <w:lang w:val="zh-CN"/>
        </w:rPr>
        <w:t>15</w:t>
      </w:r>
      <w:r>
        <w:rPr>
          <w:rFonts w:hint="eastAsia" w:asciiTheme="minorEastAsia" w:hAnsiTheme="minorEastAsia" w:cstheme="minorEastAsia"/>
          <w:szCs w:val="21"/>
        </w:rPr>
        <w:t>个工作日支付合同金额的</w:t>
      </w:r>
      <w:r>
        <w:rPr>
          <w:rFonts w:hint="eastAsia"/>
        </w:rPr>
        <w:t>40%进度款</w:t>
      </w:r>
      <w:r>
        <w:rPr>
          <w:rFonts w:hint="eastAsia"/>
          <w:lang w:eastAsia="zh-CN"/>
        </w:rPr>
        <w:t>；</w:t>
      </w:r>
    </w:p>
    <w:p w14:paraId="71E0557B">
      <w:pPr>
        <w:bidi w:val="0"/>
        <w:ind w:firstLine="420" w:firstLineChars="200"/>
        <w:rPr>
          <w:rFonts w:hint="eastAsia" w:eastAsia="宋体"/>
          <w:lang w:eastAsia="zh-CN"/>
        </w:rPr>
      </w:pPr>
      <w:r>
        <w:rPr>
          <w:rFonts w:hint="eastAsia"/>
          <w:lang w:val="en-US" w:eastAsia="zh-CN"/>
        </w:rPr>
        <w:t>第三期：</w:t>
      </w:r>
      <w:r>
        <w:rPr>
          <w:rFonts w:hint="eastAsia"/>
        </w:rPr>
        <w:t>全集团上线、培训完成、验收合格后支付</w:t>
      </w:r>
      <w:r>
        <w:rPr>
          <w:rFonts w:hint="eastAsia"/>
          <w:lang w:eastAsia="zh-CN"/>
        </w:rPr>
        <w:t>甲方</w:t>
      </w:r>
      <w:r>
        <w:rPr>
          <w:rFonts w:hint="eastAsia"/>
        </w:rPr>
        <w:t>收到合格的付款发票及终验报告等资料之日起15个工作日支付合同金额的25%验收款</w:t>
      </w:r>
      <w:r>
        <w:rPr>
          <w:rFonts w:hint="eastAsia"/>
          <w:lang w:eastAsia="zh-CN"/>
        </w:rPr>
        <w:t>；</w:t>
      </w:r>
    </w:p>
    <w:p w14:paraId="5EBB6ACE">
      <w:pPr>
        <w:ind w:firstLine="420" w:firstLineChars="200"/>
      </w:pPr>
      <w:r>
        <w:rPr>
          <w:rFonts w:hint="eastAsia"/>
          <w:lang w:val="en-US" w:eastAsia="zh-CN"/>
        </w:rPr>
        <w:t>第四期：项目维护期满后，甲方收到合格的付款发票及验收证明等资料之日起15个工作日内支付合同金额的5%。乙方应在每次申请付款前，向甲方提供相应金额的增值税专用发票，具体开票信息以合同约定为准。</w:t>
      </w:r>
    </w:p>
    <w:p w14:paraId="1EC827C6">
      <w:pPr>
        <w:rPr>
          <w:rFonts w:ascii="宋体" w:hAnsi="宋体" w:cs="宋体"/>
          <w:szCs w:val="21"/>
        </w:rPr>
      </w:pPr>
      <w:r>
        <w:rPr>
          <w:rFonts w:hint="eastAsia" w:ascii="宋体" w:hAnsi="宋体" w:cs="宋体"/>
          <w:b/>
          <w:szCs w:val="21"/>
        </w:rPr>
        <w:t>五、验收要求</w:t>
      </w:r>
    </w:p>
    <w:p w14:paraId="3D017173">
      <w:pPr>
        <w:widowControl w:val="0"/>
        <w:adjustRightInd/>
        <w:snapToGrid/>
        <w:ind w:left="0" w:leftChars="0" w:firstLine="420" w:firstLineChars="0"/>
        <w:rPr>
          <w:rFonts w:hint="eastAsia" w:asciiTheme="minorEastAsia" w:hAnsiTheme="minorEastAsia" w:cstheme="minorEastAsia"/>
          <w:szCs w:val="21"/>
          <w:lang w:val="en-US" w:eastAsia="zh-CN"/>
        </w:rPr>
      </w:pPr>
      <w:r>
        <w:rPr>
          <w:rFonts w:hint="eastAsia" w:asciiTheme="minorEastAsia" w:hAnsiTheme="minorEastAsia" w:cstheme="minorEastAsia"/>
          <w:szCs w:val="21"/>
          <w:lang w:val="en-US" w:eastAsia="zh-CN"/>
        </w:rPr>
        <w:t>1.功能验收</w:t>
      </w:r>
    </w:p>
    <w:p w14:paraId="6FB36A3F">
      <w:pPr>
        <w:widowControl w:val="0"/>
        <w:adjustRightInd/>
        <w:snapToGrid/>
        <w:ind w:left="0" w:leftChars="0" w:firstLine="420" w:firstLineChars="0"/>
        <w:rPr>
          <w:rFonts w:hint="eastAsia" w:asciiTheme="minorEastAsia" w:hAnsiTheme="minorEastAsia" w:cstheme="minorEastAsia"/>
          <w:szCs w:val="21"/>
          <w:lang w:val="en-US" w:eastAsia="zh-CN"/>
        </w:rPr>
      </w:pPr>
      <w:r>
        <w:rPr>
          <w:rFonts w:hint="eastAsia" w:asciiTheme="minorEastAsia" w:hAnsiTheme="minorEastAsia" w:cstheme="minorEastAsia"/>
          <w:szCs w:val="21"/>
          <w:lang w:val="en-US" w:eastAsia="zh-CN"/>
        </w:rPr>
        <w:t>所有本期规划建设模块完整落地，业务流程完整闭环，物联设备数据采集展示正常，台账报表、导出打印、消息提醒、权限管控功能全部正常使用，满足企业日常安全管理业务需求。</w:t>
      </w:r>
    </w:p>
    <w:p w14:paraId="1D80541E">
      <w:pPr>
        <w:widowControl w:val="0"/>
        <w:adjustRightInd/>
        <w:snapToGrid/>
        <w:ind w:left="0" w:leftChars="0" w:firstLine="420" w:firstLineChars="0"/>
        <w:rPr>
          <w:rFonts w:hint="eastAsia" w:asciiTheme="minorEastAsia" w:hAnsiTheme="minorEastAsia" w:cstheme="minorEastAsia"/>
          <w:szCs w:val="21"/>
          <w:lang w:val="en-US" w:eastAsia="zh-CN"/>
        </w:rPr>
      </w:pPr>
      <w:r>
        <w:rPr>
          <w:rFonts w:hint="eastAsia" w:asciiTheme="minorEastAsia" w:hAnsiTheme="minorEastAsia" w:cstheme="minorEastAsia"/>
          <w:szCs w:val="21"/>
          <w:lang w:val="en-US" w:eastAsia="zh-CN"/>
        </w:rPr>
        <w:t>2.性能验收</w:t>
      </w:r>
    </w:p>
    <w:p w14:paraId="18DEA5E5">
      <w:pPr>
        <w:widowControl w:val="0"/>
        <w:adjustRightInd/>
        <w:snapToGrid/>
        <w:ind w:left="0" w:leftChars="0" w:firstLine="420" w:firstLineChars="0"/>
        <w:rPr>
          <w:rFonts w:hint="eastAsia" w:asciiTheme="minorEastAsia" w:hAnsiTheme="minorEastAsia" w:cstheme="minorEastAsia"/>
          <w:szCs w:val="21"/>
          <w:lang w:val="en-US" w:eastAsia="zh-CN"/>
        </w:rPr>
      </w:pPr>
      <w:r>
        <w:rPr>
          <w:rFonts w:hint="eastAsia" w:asciiTheme="minorEastAsia" w:hAnsiTheme="minorEastAsia" w:cstheme="minorEastAsia"/>
          <w:szCs w:val="21"/>
          <w:lang w:val="en-US" w:eastAsia="zh-CN"/>
        </w:rPr>
        <w:t>系统响应速度、并发承载、视频预览、数据采集等性能指标达到设计要求，长时间连续运行稳定无异常。</w:t>
      </w:r>
    </w:p>
    <w:p w14:paraId="6875424E">
      <w:pPr>
        <w:widowControl w:val="0"/>
        <w:adjustRightInd/>
        <w:snapToGrid/>
        <w:ind w:left="0" w:leftChars="0" w:firstLine="420" w:firstLineChars="0"/>
        <w:rPr>
          <w:rFonts w:hint="eastAsia" w:asciiTheme="minorEastAsia" w:hAnsiTheme="minorEastAsia" w:cstheme="minorEastAsia"/>
          <w:szCs w:val="21"/>
          <w:lang w:val="en-US" w:eastAsia="zh-CN"/>
        </w:rPr>
      </w:pPr>
      <w:r>
        <w:rPr>
          <w:rFonts w:hint="eastAsia" w:asciiTheme="minorEastAsia" w:hAnsiTheme="minorEastAsia" w:cstheme="minorEastAsia"/>
          <w:szCs w:val="21"/>
          <w:lang w:val="en-US" w:eastAsia="zh-CN"/>
        </w:rPr>
        <w:t>3.接口验收</w:t>
      </w:r>
    </w:p>
    <w:p w14:paraId="5E7766F9">
      <w:pPr>
        <w:widowControl w:val="0"/>
        <w:adjustRightInd/>
        <w:snapToGrid/>
        <w:ind w:left="0" w:leftChars="0" w:firstLine="420" w:firstLineChars="0"/>
        <w:rPr>
          <w:rFonts w:hint="eastAsia" w:asciiTheme="minorEastAsia" w:hAnsiTheme="minorEastAsia" w:cstheme="minorEastAsia"/>
          <w:szCs w:val="21"/>
          <w:lang w:val="en-US" w:eastAsia="zh-CN"/>
        </w:rPr>
      </w:pPr>
      <w:r>
        <w:rPr>
          <w:rFonts w:hint="eastAsia" w:asciiTheme="minorEastAsia" w:hAnsiTheme="minorEastAsia" w:cstheme="minorEastAsia"/>
          <w:szCs w:val="21"/>
          <w:lang w:val="en-US" w:eastAsia="zh-CN"/>
        </w:rPr>
        <w:t>各类硬件对接接口、内部交互接口运行稳定，数据传输实时准确，接口文档完整规范。</w:t>
      </w:r>
    </w:p>
    <w:p w14:paraId="12EE62B8">
      <w:pPr>
        <w:widowControl w:val="0"/>
        <w:adjustRightInd/>
        <w:snapToGrid/>
        <w:ind w:left="0" w:leftChars="0" w:firstLine="420" w:firstLineChars="0"/>
        <w:rPr>
          <w:rFonts w:hint="eastAsia" w:asciiTheme="minorEastAsia" w:hAnsiTheme="minorEastAsia" w:cstheme="minorEastAsia"/>
          <w:szCs w:val="21"/>
          <w:lang w:val="en-US" w:eastAsia="zh-CN"/>
        </w:rPr>
      </w:pPr>
      <w:r>
        <w:rPr>
          <w:rFonts w:hint="eastAsia" w:asciiTheme="minorEastAsia" w:hAnsiTheme="minorEastAsia" w:cstheme="minorEastAsia"/>
          <w:szCs w:val="21"/>
          <w:lang w:val="en-US" w:eastAsia="zh-CN"/>
        </w:rPr>
        <w:t>4.安全验收</w:t>
      </w:r>
    </w:p>
    <w:p w14:paraId="120BC80D">
      <w:pPr>
        <w:widowControl w:val="0"/>
        <w:adjustRightInd/>
        <w:snapToGrid/>
        <w:ind w:left="0" w:leftChars="0" w:firstLine="420" w:firstLineChars="0"/>
        <w:rPr>
          <w:rFonts w:hint="eastAsia" w:asciiTheme="minorEastAsia" w:hAnsiTheme="minorEastAsia" w:cstheme="minorEastAsia"/>
          <w:szCs w:val="21"/>
          <w:lang w:val="en-US" w:eastAsia="zh-CN"/>
        </w:rPr>
      </w:pPr>
      <w:r>
        <w:rPr>
          <w:rFonts w:hint="eastAsia" w:asciiTheme="minorEastAsia" w:hAnsiTheme="minorEastAsia" w:cstheme="minorEastAsia"/>
          <w:szCs w:val="21"/>
          <w:lang w:val="en-US" w:eastAsia="zh-CN"/>
        </w:rPr>
        <w:t>权限隔离、数据备份、操作日志、网络防护等安全措施落实到位，无安全漏洞与数据风险。</w:t>
      </w:r>
    </w:p>
    <w:p w14:paraId="0383836A">
      <w:pPr>
        <w:widowControl w:val="0"/>
        <w:adjustRightInd/>
        <w:snapToGrid/>
        <w:ind w:left="0" w:leftChars="0" w:firstLine="420" w:firstLineChars="0"/>
        <w:rPr>
          <w:rFonts w:hint="eastAsia" w:asciiTheme="minorEastAsia" w:hAnsiTheme="minorEastAsia" w:cstheme="minorEastAsia"/>
          <w:szCs w:val="21"/>
          <w:lang w:val="en-US" w:eastAsia="zh-CN"/>
        </w:rPr>
      </w:pPr>
      <w:r>
        <w:rPr>
          <w:rFonts w:hint="eastAsia" w:asciiTheme="minorEastAsia" w:hAnsiTheme="minorEastAsia" w:cstheme="minorEastAsia"/>
          <w:szCs w:val="21"/>
          <w:lang w:val="en-US" w:eastAsia="zh-CN"/>
        </w:rPr>
        <w:t>5.文档验收</w:t>
      </w:r>
    </w:p>
    <w:p w14:paraId="0F9DC22A">
      <w:pPr>
        <w:widowControl w:val="0"/>
        <w:adjustRightInd/>
        <w:snapToGrid/>
        <w:ind w:left="0" w:leftChars="0" w:firstLine="420" w:firstLineChars="0"/>
        <w:rPr>
          <w:rFonts w:hint="eastAsia" w:asciiTheme="minorEastAsia" w:hAnsiTheme="minorEastAsia" w:cstheme="minorEastAsia"/>
          <w:szCs w:val="21"/>
          <w:lang w:val="en-US" w:eastAsia="zh-CN"/>
        </w:rPr>
      </w:pPr>
      <w:r>
        <w:rPr>
          <w:rFonts w:hint="eastAsia" w:asciiTheme="minorEastAsia" w:hAnsiTheme="minorEastAsia" w:cstheme="minorEastAsia"/>
          <w:szCs w:val="21"/>
          <w:lang w:val="en-US" w:eastAsia="zh-CN"/>
        </w:rPr>
        <w:t>完整交付需求报告、设计方案、接口文档、操作手册、运维手册、测试报告等全套资料，统一归档交付。</w:t>
      </w:r>
    </w:p>
    <w:p w14:paraId="050B65D3">
      <w:pPr>
        <w:jc w:val="both"/>
        <w:rPr>
          <w:rFonts w:ascii="宋体" w:hAnsi="宋体" w:cs="宋体"/>
          <w:szCs w:val="21"/>
        </w:rPr>
      </w:pPr>
      <w:r>
        <w:rPr>
          <w:rFonts w:hint="eastAsia" w:ascii="宋体" w:hAnsi="宋体" w:cs="宋体"/>
          <w:b/>
          <w:szCs w:val="21"/>
        </w:rPr>
        <w:t>六、项目</w:t>
      </w:r>
      <w:r>
        <w:rPr>
          <w:rFonts w:hint="eastAsia" w:ascii="宋体" w:hAnsi="宋体" w:cs="宋体"/>
          <w:b/>
          <w:szCs w:val="21"/>
          <w:lang w:val="en-US" w:eastAsia="zh-CN"/>
        </w:rPr>
        <w:t>维护</w:t>
      </w:r>
      <w:r>
        <w:rPr>
          <w:rFonts w:hint="eastAsia" w:ascii="宋体" w:hAnsi="宋体" w:cs="宋体"/>
          <w:b/>
          <w:szCs w:val="21"/>
        </w:rPr>
        <w:t>要求</w:t>
      </w:r>
    </w:p>
    <w:p w14:paraId="7D9E0403">
      <w:pPr>
        <w:widowControl w:val="0"/>
        <w:adjustRightInd/>
        <w:snapToGrid/>
        <w:ind w:left="0" w:leftChars="0" w:firstLine="420" w:firstLineChars="0"/>
        <w:rPr>
          <w:rFonts w:hint="eastAsia" w:asciiTheme="minorEastAsia" w:hAnsiTheme="minorEastAsia" w:cstheme="minorEastAsia"/>
          <w:szCs w:val="21"/>
          <w:lang w:val="en-US" w:eastAsia="zh-CN"/>
        </w:rPr>
      </w:pPr>
      <w:r>
        <w:rPr>
          <w:rFonts w:hint="eastAsia" w:asciiTheme="minorEastAsia" w:hAnsiTheme="minorEastAsia" w:cstheme="minorEastAsia"/>
          <w:szCs w:val="21"/>
        </w:rPr>
        <w:t>乙方</w:t>
      </w:r>
      <w:r>
        <w:rPr>
          <w:rFonts w:asciiTheme="minorEastAsia" w:hAnsiTheme="minorEastAsia" w:cstheme="minorEastAsia"/>
          <w:szCs w:val="21"/>
        </w:rPr>
        <w:t>必须对合同中规定的</w:t>
      </w:r>
      <w:r>
        <w:rPr>
          <w:rFonts w:hint="eastAsia" w:asciiTheme="minorEastAsia" w:hAnsiTheme="minorEastAsia" w:cstheme="minorEastAsia"/>
          <w:szCs w:val="21"/>
          <w:lang w:val="en-US" w:eastAsia="zh-CN"/>
        </w:rPr>
        <w:t>服务</w:t>
      </w:r>
      <w:r>
        <w:rPr>
          <w:rFonts w:asciiTheme="minorEastAsia" w:hAnsiTheme="minorEastAsia" w:cstheme="minorEastAsia"/>
          <w:szCs w:val="21"/>
        </w:rPr>
        <w:t>提供1年的</w:t>
      </w:r>
      <w:r>
        <w:rPr>
          <w:rFonts w:hint="eastAsia" w:asciiTheme="minorEastAsia" w:hAnsiTheme="minorEastAsia" w:cstheme="minorEastAsia"/>
          <w:szCs w:val="21"/>
          <w:lang w:val="en-US" w:eastAsia="zh-CN"/>
        </w:rPr>
        <w:t>维护</w:t>
      </w:r>
      <w:r>
        <w:rPr>
          <w:rFonts w:asciiTheme="minorEastAsia" w:hAnsiTheme="minorEastAsia" w:cstheme="minorEastAsia"/>
          <w:szCs w:val="21"/>
        </w:rPr>
        <w:t>期（货物另有规定的按原规定执行）</w:t>
      </w:r>
      <w:r>
        <w:rPr>
          <w:rFonts w:hint="eastAsia" w:asciiTheme="minorEastAsia" w:hAnsiTheme="minorEastAsia" w:cstheme="minorEastAsia"/>
          <w:szCs w:val="21"/>
        </w:rPr>
        <w:t>，</w:t>
      </w:r>
      <w:r>
        <w:rPr>
          <w:rFonts w:asciiTheme="minorEastAsia" w:hAnsiTheme="minorEastAsia" w:cstheme="minorEastAsia"/>
          <w:szCs w:val="21"/>
        </w:rPr>
        <w:t>时间从完成项目验收合格移交手续之日起计算。</w:t>
      </w:r>
    </w:p>
    <w:p w14:paraId="10D11648">
      <w:pPr>
        <w:rPr>
          <w:rFonts w:ascii="宋体" w:hAnsi="宋体" w:cs="宋体"/>
          <w:szCs w:val="21"/>
        </w:rPr>
      </w:pPr>
      <w:r>
        <w:rPr>
          <w:rFonts w:hint="eastAsia" w:ascii="宋体" w:hAnsi="宋体" w:cs="宋体"/>
          <w:b/>
          <w:szCs w:val="21"/>
          <w:lang w:val="en-US" w:eastAsia="zh-CN"/>
        </w:rPr>
        <w:t>七</w:t>
      </w:r>
      <w:r>
        <w:rPr>
          <w:rFonts w:hint="eastAsia" w:ascii="宋体" w:hAnsi="宋体" w:cs="宋体"/>
          <w:b/>
          <w:szCs w:val="21"/>
        </w:rPr>
        <w:t>、知识产权及保密要求</w:t>
      </w:r>
    </w:p>
    <w:p w14:paraId="4E6155FD">
      <w:pPr>
        <w:ind w:firstLine="420" w:firstLineChars="200"/>
        <w:jc w:val="both"/>
        <w:rPr>
          <w:rFonts w:ascii="宋体" w:hAnsi="宋体" w:cs="宋体"/>
          <w:szCs w:val="21"/>
        </w:rPr>
      </w:pPr>
      <w:r>
        <w:rPr>
          <w:rFonts w:hint="eastAsia" w:asciiTheme="minorEastAsia" w:hAnsiTheme="minorEastAsia" w:eastAsiaTheme="minorEastAsia" w:cstheme="minorEastAsia"/>
          <w:szCs w:val="21"/>
        </w:rPr>
        <w:t>乙方针对本项目开发完成的项目成果所有权和知识产权由甲方单独享有</w:t>
      </w:r>
      <w:r>
        <w:rPr>
          <w:rFonts w:hint="eastAsia" w:asciiTheme="minorEastAsia" w:hAnsiTheme="minorEastAsia" w:cstheme="minorEastAsia"/>
          <w:szCs w:val="21"/>
        </w:rPr>
        <w:t>，</w:t>
      </w:r>
      <w:r>
        <w:rPr>
          <w:rFonts w:hint="eastAsia" w:asciiTheme="minorEastAsia" w:hAnsiTheme="minorEastAsia" w:eastAsiaTheme="minorEastAsia" w:cstheme="minorEastAsia"/>
          <w:szCs w:val="21"/>
        </w:rPr>
        <w:t>乙方必须按甲方的要求及时提供知识产权申请所需的相关技术文件并协助甲方完成申请工作。如项目成果中已包含乙方原有的知识产权</w:t>
      </w:r>
      <w:r>
        <w:rPr>
          <w:rFonts w:hint="eastAsia" w:asciiTheme="minorEastAsia" w:hAnsiTheme="minorEastAsia" w:cstheme="minorEastAsia"/>
          <w:szCs w:val="21"/>
        </w:rPr>
        <w:t>，</w:t>
      </w:r>
      <w:r>
        <w:rPr>
          <w:rFonts w:hint="eastAsia" w:asciiTheme="minorEastAsia" w:hAnsiTheme="minorEastAsia" w:eastAsiaTheme="minorEastAsia" w:cstheme="minorEastAsia"/>
          <w:szCs w:val="21"/>
        </w:rPr>
        <w:t>则该部分的知识产权不发生任何转移</w:t>
      </w:r>
      <w:r>
        <w:rPr>
          <w:rFonts w:hint="eastAsia" w:asciiTheme="minorEastAsia" w:hAnsiTheme="minorEastAsia" w:cstheme="minorEastAsia"/>
          <w:szCs w:val="21"/>
        </w:rPr>
        <w:t>，</w:t>
      </w:r>
      <w:r>
        <w:rPr>
          <w:rFonts w:hint="eastAsia" w:asciiTheme="minorEastAsia" w:hAnsiTheme="minorEastAsia" w:eastAsiaTheme="minorEastAsia" w:cstheme="minorEastAsia"/>
          <w:szCs w:val="21"/>
        </w:rPr>
        <w:t>但甲方有权自由使用</w:t>
      </w:r>
      <w:r>
        <w:rPr>
          <w:rFonts w:hint="eastAsia" w:asciiTheme="minorEastAsia" w:hAnsiTheme="minorEastAsia" w:cstheme="minorEastAsia"/>
          <w:szCs w:val="21"/>
        </w:rPr>
        <w:t>，</w:t>
      </w:r>
      <w:r>
        <w:rPr>
          <w:rFonts w:hint="eastAsia" w:asciiTheme="minorEastAsia" w:hAnsiTheme="minorEastAsia" w:eastAsiaTheme="minorEastAsia" w:cstheme="minorEastAsia"/>
          <w:szCs w:val="21"/>
        </w:rPr>
        <w:t>且该使用也无需支付项目约定之外的任何费用。</w:t>
      </w:r>
      <w:r>
        <w:rPr>
          <w:rFonts w:hint="eastAsia" w:ascii="宋体" w:hAnsi="宋体" w:cs="宋体"/>
          <w:szCs w:val="21"/>
        </w:rPr>
        <w:t>乙方应确保其向甲方提供的系统和其他服务成果不侵犯任何第三方的知识产权或其他合法权益。</w:t>
      </w:r>
    </w:p>
    <w:p w14:paraId="235A48D1">
      <w:pPr>
        <w:ind w:firstLine="420" w:firstLineChars="200"/>
        <w:jc w:val="both"/>
        <w:rPr>
          <w:rFonts w:ascii="宋体" w:hAnsi="宋体" w:cs="宋体"/>
          <w:szCs w:val="21"/>
        </w:rPr>
      </w:pPr>
      <w:r>
        <w:rPr>
          <w:rFonts w:hint="eastAsia" w:ascii="宋体" w:hAnsi="宋体" w:cs="宋体"/>
          <w:szCs w:val="21"/>
        </w:rPr>
        <w:t>乙方在项目实施前须与甲方签署保密协议书，乙方及其工作人员应对工作过程中必须遵守甲方工作的保密纪律和廉政纪律，对在工作中知悉的甲方、甲方下属公司及甲方上级部门非对社会公开的的资料、文件、数据或其他工作资料和掌握的相关情况负有保密义务；未经甲方书面许可，乙方不得对外或对第三方提供和披露，不得用于与甲方工作无关的目的。合同终止后乙方及其工作人员仍需履行保密义务，直至相应信息对外公开时止。</w:t>
      </w:r>
    </w:p>
    <w:p w14:paraId="38CCD74D">
      <w:pPr>
        <w:rPr>
          <w:rFonts w:ascii="宋体" w:hAnsi="宋体" w:cs="宋体"/>
          <w:szCs w:val="21"/>
        </w:rPr>
      </w:pPr>
      <w:r>
        <w:rPr>
          <w:rFonts w:hint="eastAsia" w:ascii="宋体" w:hAnsi="宋体" w:cs="宋体"/>
          <w:b/>
          <w:szCs w:val="21"/>
          <w:lang w:val="en-US" w:eastAsia="zh-CN"/>
        </w:rPr>
        <w:t>八</w:t>
      </w:r>
      <w:r>
        <w:rPr>
          <w:rFonts w:hint="eastAsia" w:ascii="宋体" w:hAnsi="宋体" w:cs="宋体"/>
          <w:b/>
          <w:szCs w:val="21"/>
        </w:rPr>
        <w:t>、双方权利和义务</w:t>
      </w:r>
    </w:p>
    <w:p w14:paraId="532BFB17">
      <w:pPr>
        <w:jc w:val="both"/>
        <w:rPr>
          <w:rFonts w:ascii="宋体" w:hAnsi="宋体" w:cs="宋体"/>
          <w:szCs w:val="21"/>
        </w:rPr>
      </w:pPr>
      <w:r>
        <w:rPr>
          <w:rFonts w:hint="eastAsia" w:ascii="宋体" w:hAnsi="宋体" w:cs="宋体"/>
          <w:b/>
          <w:szCs w:val="21"/>
        </w:rPr>
        <w:t>(一)甲方的权利和义务</w:t>
      </w:r>
    </w:p>
    <w:p w14:paraId="59065589">
      <w:pPr>
        <w:ind w:firstLine="420" w:firstLineChars="200"/>
        <w:jc w:val="both"/>
        <w:rPr>
          <w:rFonts w:ascii="宋体" w:hAnsi="宋体" w:cs="宋体"/>
          <w:szCs w:val="21"/>
        </w:rPr>
      </w:pPr>
      <w:r>
        <w:rPr>
          <w:rFonts w:hint="eastAsia" w:ascii="宋体" w:hAnsi="宋体" w:cs="宋体"/>
          <w:szCs w:val="21"/>
        </w:rPr>
        <w:t>1、如果因为乙方人员、管理或技术等单方面原因造成项目进度或质量不符合采购文件和投标文件规定的要求，则视为乙方违约，甲方有权要求其在合理期限内完成或改正；如乙方未在甲方提供的合理期限内完成项目进度、拒绝改正或连续三次改正均未达到甲方要求的，甲方有权终止合同，并要求乙方返还甲方所有已支付款项。</w:t>
      </w:r>
    </w:p>
    <w:p w14:paraId="02981298">
      <w:pPr>
        <w:ind w:firstLine="420" w:firstLineChars="200"/>
        <w:jc w:val="both"/>
        <w:rPr>
          <w:rFonts w:ascii="宋体" w:hAnsi="宋体" w:cs="宋体"/>
          <w:szCs w:val="21"/>
        </w:rPr>
      </w:pPr>
      <w:r>
        <w:rPr>
          <w:rFonts w:hint="eastAsia" w:ascii="宋体" w:hAnsi="宋体" w:cs="宋体"/>
          <w:szCs w:val="21"/>
        </w:rPr>
        <w:t>2、因乙方技术人员故意或过失操作造成重大故障、蓄意破坏信息系统设施、发布非法信息或造成泄密事件的，一经查证，则视作乙方严重违约，甲方有权终止合同，并要求乙方返还甲方所有已支付款项，乙方因此造成甲方损失的须对损失全额赔偿。</w:t>
      </w:r>
    </w:p>
    <w:p w14:paraId="67376D00">
      <w:pPr>
        <w:ind w:firstLine="420" w:firstLineChars="200"/>
        <w:jc w:val="both"/>
        <w:rPr>
          <w:rFonts w:ascii="宋体" w:hAnsi="宋体" w:cs="宋体"/>
          <w:szCs w:val="21"/>
        </w:rPr>
      </w:pPr>
      <w:r>
        <w:rPr>
          <w:rFonts w:hint="eastAsia" w:ascii="宋体" w:hAnsi="宋体" w:cs="宋体"/>
          <w:szCs w:val="21"/>
        </w:rPr>
        <w:t>3、甲方未按要求履行合同义务时，或无故拖延验收、付款时，甲方须向乙方支付滞纳金，标准为每日按违约总额的3‰累计。</w:t>
      </w:r>
    </w:p>
    <w:p w14:paraId="40642B6A">
      <w:pPr>
        <w:jc w:val="both"/>
        <w:rPr>
          <w:rFonts w:ascii="宋体" w:hAnsi="宋体" w:cs="宋体"/>
          <w:szCs w:val="21"/>
        </w:rPr>
      </w:pPr>
      <w:r>
        <w:rPr>
          <w:rFonts w:hint="eastAsia" w:ascii="宋体" w:hAnsi="宋体" w:cs="宋体"/>
          <w:b/>
          <w:szCs w:val="21"/>
        </w:rPr>
        <w:t>(二)乙方的权利和义务</w:t>
      </w:r>
    </w:p>
    <w:p w14:paraId="7E699BF6">
      <w:pPr>
        <w:ind w:firstLine="420"/>
        <w:jc w:val="both"/>
        <w:rPr>
          <w:rFonts w:ascii="宋体" w:hAnsi="宋体" w:cs="宋体"/>
          <w:szCs w:val="21"/>
        </w:rPr>
      </w:pPr>
      <w:r>
        <w:rPr>
          <w:rFonts w:hint="eastAsia" w:ascii="宋体" w:hAnsi="宋体" w:cs="宋体"/>
          <w:szCs w:val="21"/>
        </w:rPr>
        <w:t>1、质保期内提供免费系统维护。期间所发生的质量问题，予以免费解决(因甲方使用不当或其他人为因素造成的故障除外)。但任何时候，均不能免除乙方因软件本身的缺陷所应负的责任。</w:t>
      </w:r>
    </w:p>
    <w:p w14:paraId="3BDDC5DE">
      <w:pPr>
        <w:ind w:firstLine="420"/>
        <w:jc w:val="both"/>
        <w:rPr>
          <w:rFonts w:ascii="宋体" w:hAnsi="宋体" w:cs="宋体"/>
          <w:szCs w:val="21"/>
        </w:rPr>
      </w:pPr>
      <w:r>
        <w:rPr>
          <w:rFonts w:hint="eastAsia" w:ascii="宋体" w:hAnsi="宋体" w:cs="宋体"/>
          <w:szCs w:val="21"/>
        </w:rPr>
        <w:t>2、乙方在履行本合同过程中应确保不侵犯任何第三方的知识产权及其他权利，如乙方存在侵权行为的须自行承担相应责任，与甲方无关；乙方侵权行为造成甲方损失的，甲方有权要求乙方对损失全额赔偿。</w:t>
      </w:r>
    </w:p>
    <w:p w14:paraId="56FF0154">
      <w:pPr>
        <w:ind w:firstLine="420"/>
        <w:jc w:val="both"/>
        <w:rPr>
          <w:rFonts w:ascii="宋体" w:hAnsi="宋体" w:cs="宋体"/>
          <w:szCs w:val="21"/>
          <w:lang w:bidi="zh-CN"/>
        </w:rPr>
      </w:pPr>
      <w:r>
        <w:rPr>
          <w:rFonts w:hint="eastAsia" w:ascii="宋体" w:hAnsi="宋体" w:cs="宋体"/>
          <w:szCs w:val="21"/>
          <w:lang w:bidi="zh-CN"/>
        </w:rPr>
        <w:t>3、乙方应采取各种措施，防范乙方为甲方开发、运维的系统，以及与该系统相连结的甲方其他信息系统，被攻击、侵入、干扰、修改、破坏、非授权使用或发生意外事故，导致信息丢失、被泄露、窃取、篡改、毁坏、控制或其他不当对待，该等数据保护措施的严格程度应当不低于乙方保护自身信息、网络的程度，并且充分满足甲方要求及相关法律法规及国家标准的要求。乙方应对自身系统采取必要的措施，防范第三方通过乙方系统对甲方信息、系统采取前述行为。乙方应就所开发或提供给甲方使用产品的漏洞提供免费修复服务。</w:t>
      </w:r>
    </w:p>
    <w:p w14:paraId="24461DE8">
      <w:pPr>
        <w:ind w:firstLine="420"/>
        <w:jc w:val="both"/>
        <w:rPr>
          <w:rFonts w:ascii="宋体" w:hAnsi="宋体" w:cs="宋体"/>
          <w:szCs w:val="21"/>
          <w:lang w:bidi="zh-CN"/>
        </w:rPr>
      </w:pPr>
      <w:r>
        <w:rPr>
          <w:rFonts w:hint="eastAsia" w:ascii="宋体" w:hAnsi="宋体" w:cs="宋体"/>
          <w:szCs w:val="21"/>
          <w:lang w:bidi="zh-CN"/>
        </w:rPr>
        <w:t>4、乙方应遵守包括但不限于《网络安全法》在内的所有适用法律法规的要求，采取与潜在风险成比例的技术和组织措施，以保护甲方信息及其他数据免受泄露及网络安全事件，确保为甲方开发、运维的系统及其网络处于稳定可靠运行的状态，保障甲方信息、网络数据的完整性、保密性、可用性、可核查性、真实性和可靠性。乙方应采取一切合理措施（包括但不限于培训、指导、签订保密协议等），确保任何处理甲方信息和业务的人员、可以访问甲方信息及其他数据的人员遵守法律规定及合同约定的保密义务。</w:t>
      </w:r>
    </w:p>
    <w:p w14:paraId="1658A121">
      <w:pPr>
        <w:ind w:firstLine="420"/>
        <w:jc w:val="both"/>
        <w:rPr>
          <w:rFonts w:ascii="宋体" w:hAnsi="宋体" w:cs="宋体"/>
          <w:szCs w:val="21"/>
          <w:lang w:bidi="zh-CN"/>
        </w:rPr>
      </w:pPr>
      <w:r>
        <w:rPr>
          <w:rFonts w:hint="eastAsia" w:ascii="宋体" w:hAnsi="宋体" w:cs="宋体"/>
          <w:szCs w:val="21"/>
          <w:lang w:bidi="zh-CN"/>
        </w:rPr>
        <w:t>5、乙方发现发生或可能发生甲方信息泄露或网络安全事件后，应在30分钟内通知甲方，并向甲方提供信息泄露或网络安全事件性质、相关信息主体种类和大约数量、相关数据种类和大约数量、预计风险和可能后果等相关信息， 配合甲方对事件的调查，提供甲方要求的记录、日志、文件、数据报告或其他信息。乙方不得在未经甲方事先批准的情况下对外发布任何涉及甲方信息泄露或网络安全事件的信息。</w:t>
      </w:r>
    </w:p>
    <w:p w14:paraId="000A055A">
      <w:pPr>
        <w:ind w:firstLine="420"/>
        <w:jc w:val="both"/>
        <w:rPr>
          <w:rFonts w:ascii="宋体" w:hAnsi="宋体" w:cs="宋体"/>
          <w:szCs w:val="21"/>
          <w:lang w:bidi="zh-CN"/>
        </w:rPr>
      </w:pPr>
      <w:r>
        <w:rPr>
          <w:rFonts w:hint="eastAsia" w:ascii="宋体" w:hAnsi="宋体" w:cs="宋体"/>
          <w:szCs w:val="21"/>
          <w:lang w:bidi="zh-CN"/>
        </w:rPr>
        <w:t>上述义务同样适用于乙方发生严重操作失误、发生疑似违反有关数据保护的法律法规或者其他不规范操作数据的情况。</w:t>
      </w:r>
    </w:p>
    <w:p w14:paraId="289B122F">
      <w:pPr>
        <w:ind w:firstLine="420"/>
        <w:jc w:val="both"/>
        <w:rPr>
          <w:rFonts w:ascii="宋体" w:hAnsi="宋体" w:cs="宋体"/>
          <w:szCs w:val="21"/>
          <w:lang w:bidi="zh-CN"/>
        </w:rPr>
      </w:pPr>
      <w:r>
        <w:rPr>
          <w:rFonts w:hint="eastAsia" w:ascii="宋体" w:hAnsi="宋体" w:cs="宋体"/>
          <w:szCs w:val="21"/>
          <w:lang w:bidi="zh-CN"/>
        </w:rPr>
        <w:t>乙方及乙方人员违反上述信息、网络安全义务的，应承担由此给甲方造成的一切损失，包括甲方因维权所产生的律师费、诉讼费、保全费、保险费、调查费等一切费用。</w:t>
      </w:r>
    </w:p>
    <w:p w14:paraId="27261CB4">
      <w:pPr>
        <w:rPr>
          <w:rFonts w:ascii="宋体" w:hAnsi="宋体" w:cs="宋体"/>
          <w:szCs w:val="21"/>
        </w:rPr>
      </w:pPr>
      <w:r>
        <w:rPr>
          <w:rFonts w:hint="eastAsia" w:ascii="宋体" w:hAnsi="宋体" w:cs="宋体"/>
          <w:b/>
          <w:szCs w:val="21"/>
          <w:lang w:val="en-US" w:eastAsia="zh-CN"/>
        </w:rPr>
        <w:t>九</w:t>
      </w:r>
      <w:r>
        <w:rPr>
          <w:rFonts w:hint="eastAsia" w:ascii="宋体" w:hAnsi="宋体" w:cs="宋体"/>
          <w:b/>
          <w:szCs w:val="21"/>
        </w:rPr>
        <w:t>、违约责任与赔偿损失</w:t>
      </w:r>
    </w:p>
    <w:p w14:paraId="0FF6EB7A">
      <w:pPr>
        <w:ind w:firstLine="424"/>
        <w:rPr>
          <w:rFonts w:ascii="宋体" w:hAnsi="宋体" w:cs="宋体"/>
          <w:szCs w:val="21"/>
        </w:rPr>
      </w:pPr>
      <w:r>
        <w:rPr>
          <w:rFonts w:hint="eastAsia" w:ascii="宋体" w:hAnsi="宋体" w:cs="宋体"/>
          <w:szCs w:val="21"/>
        </w:rPr>
        <w:t>1.乙方提供的服务不符合本合同规定的，甲方有权拒绝支付剩余款项，直至乙方整改完毕，并且乙方每次出现服务不符合合同规定的情形时，须向甲方支付本合同总价5%的违约金。</w:t>
      </w:r>
    </w:p>
    <w:p w14:paraId="3D8E862F">
      <w:pPr>
        <w:ind w:firstLine="424"/>
        <w:rPr>
          <w:rFonts w:ascii="宋体" w:hAnsi="宋体" w:cs="宋体"/>
          <w:szCs w:val="21"/>
        </w:rPr>
      </w:pPr>
      <w:r>
        <w:rPr>
          <w:rFonts w:hint="eastAsia" w:ascii="宋体" w:hAnsi="宋体" w:cs="宋体"/>
          <w:szCs w:val="21"/>
        </w:rPr>
        <w:t>2.乙方未能按本合同规定的时间完成最终验收，从逾期之日起每日按本合同总价3‰的数额向甲方支付违约金；逾期半个月以上的，甲方有权终止合同，由此造成的甲方经济损失由乙方承担。</w:t>
      </w:r>
    </w:p>
    <w:p w14:paraId="11CEDE47">
      <w:pPr>
        <w:ind w:firstLine="420"/>
        <w:rPr>
          <w:rFonts w:ascii="宋体" w:hAnsi="宋体" w:cs="宋体"/>
          <w:szCs w:val="21"/>
        </w:rPr>
      </w:pPr>
      <w:r>
        <w:rPr>
          <w:rFonts w:hint="eastAsia" w:ascii="宋体" w:hAnsi="宋体" w:cs="宋体"/>
          <w:szCs w:val="21"/>
        </w:rPr>
        <w:t>3.甲方无正当理由拒收接受服务，到期拒付服务款项的，甲方向乙方偿付本合同总的5%的违约金。甲方逾期付款，则每日按本合同总价的3‰向乙方偿付违约金。</w:t>
      </w:r>
    </w:p>
    <w:p w14:paraId="6ED3D12C">
      <w:pPr>
        <w:ind w:firstLine="420"/>
        <w:rPr>
          <w:rFonts w:ascii="宋体" w:hAnsi="宋体" w:cs="宋体"/>
          <w:szCs w:val="21"/>
        </w:rPr>
      </w:pPr>
      <w:r>
        <w:rPr>
          <w:rFonts w:hint="eastAsia" w:ascii="宋体" w:hAnsi="宋体" w:cs="宋体"/>
          <w:szCs w:val="21"/>
        </w:rPr>
        <w:t>4.甲方支付定金后非因法定或约定的事由无故解除合同的，乙方有权没收定金。乙方未按合同约定按时完成各阶段工作并通过甲方验收的，甲方有权选择要求乙方双倍返还定金或者收取本合同约定的违约金，双倍返还定金或者收取违约金后，甲方仍可按法律规定和合同约定要求乙方承担赔偿责任。</w:t>
      </w:r>
    </w:p>
    <w:p w14:paraId="2B75FB3F">
      <w:pPr>
        <w:ind w:firstLine="420"/>
        <w:rPr>
          <w:rFonts w:ascii="宋体" w:hAnsi="宋体" w:cs="宋体"/>
          <w:szCs w:val="21"/>
        </w:rPr>
      </w:pPr>
      <w:r>
        <w:rPr>
          <w:rFonts w:hint="eastAsia" w:ascii="宋体" w:hAnsi="宋体" w:cs="宋体"/>
          <w:szCs w:val="21"/>
        </w:rPr>
        <w:t>5.其它违约责任按《中华人民共和国民法典(合同编)》处理。</w:t>
      </w:r>
    </w:p>
    <w:p w14:paraId="75D7E177">
      <w:pPr>
        <w:rPr>
          <w:rFonts w:ascii="宋体" w:hAnsi="宋体" w:cs="宋体"/>
          <w:szCs w:val="21"/>
        </w:rPr>
      </w:pPr>
      <w:r>
        <w:rPr>
          <w:rFonts w:hint="eastAsia" w:ascii="宋体" w:hAnsi="宋体" w:cs="宋体"/>
          <w:b/>
          <w:szCs w:val="21"/>
          <w:lang w:val="en-US" w:eastAsia="zh-CN"/>
        </w:rPr>
        <w:t>十</w:t>
      </w:r>
      <w:r>
        <w:rPr>
          <w:rFonts w:hint="eastAsia" w:ascii="宋体" w:hAnsi="宋体" w:cs="宋体"/>
          <w:b/>
          <w:szCs w:val="21"/>
        </w:rPr>
        <w:t>、争议的解决</w:t>
      </w:r>
    </w:p>
    <w:p w14:paraId="2FE20C02">
      <w:pPr>
        <w:ind w:firstLine="420"/>
        <w:rPr>
          <w:rFonts w:ascii="宋体" w:hAnsi="宋体" w:cs="宋体"/>
          <w:szCs w:val="21"/>
        </w:rPr>
      </w:pPr>
      <w:r>
        <w:rPr>
          <w:rFonts w:hint="eastAsia" w:ascii="宋体" w:hAnsi="宋体" w:cs="宋体"/>
          <w:szCs w:val="21"/>
        </w:rPr>
        <w:t>本合同执行过程中如发生争议，双方应及时友好协商解决。经协商不能达成一致时，合同任何一方直接向甲方所在地有管辖权的人民法院提起诉讼。守约方为解决争议所支出的诉讼费、律师费、保全费、保险费等费用由违约方承担。</w:t>
      </w:r>
    </w:p>
    <w:p w14:paraId="3C01ADFE">
      <w:pPr>
        <w:rPr>
          <w:rFonts w:ascii="宋体" w:hAnsi="宋体" w:cs="宋体"/>
          <w:szCs w:val="21"/>
        </w:rPr>
      </w:pPr>
      <w:r>
        <w:rPr>
          <w:rFonts w:hint="eastAsia" w:ascii="宋体" w:hAnsi="宋体" w:cs="宋体"/>
          <w:b/>
          <w:szCs w:val="21"/>
        </w:rPr>
        <w:t>十</w:t>
      </w:r>
      <w:r>
        <w:rPr>
          <w:rFonts w:hint="eastAsia" w:ascii="宋体" w:hAnsi="宋体" w:cs="宋体"/>
          <w:b/>
          <w:szCs w:val="21"/>
          <w:lang w:val="en-US" w:eastAsia="zh-CN"/>
        </w:rPr>
        <w:t>一</w:t>
      </w:r>
      <w:r>
        <w:rPr>
          <w:rFonts w:hint="eastAsia" w:ascii="宋体" w:hAnsi="宋体" w:cs="宋体"/>
          <w:b/>
          <w:szCs w:val="21"/>
        </w:rPr>
        <w:t>、不可抗力</w:t>
      </w:r>
    </w:p>
    <w:p w14:paraId="5A1AC3D3">
      <w:pPr>
        <w:ind w:firstLine="420"/>
        <w:rPr>
          <w:rFonts w:ascii="宋体" w:hAnsi="宋体" w:cs="宋体"/>
          <w:szCs w:val="21"/>
        </w:rPr>
      </w:pPr>
      <w:r>
        <w:rPr>
          <w:rFonts w:hint="eastAsia" w:ascii="宋体" w:hAnsi="宋体" w:cs="宋体"/>
          <w:szCs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6B046785">
      <w:pPr>
        <w:rPr>
          <w:rFonts w:ascii="宋体" w:hAnsi="宋体" w:cs="宋体"/>
          <w:szCs w:val="21"/>
        </w:rPr>
      </w:pPr>
      <w:r>
        <w:rPr>
          <w:rFonts w:hint="eastAsia" w:ascii="宋体" w:hAnsi="宋体" w:cs="宋体"/>
          <w:b/>
          <w:szCs w:val="21"/>
        </w:rPr>
        <w:t>十</w:t>
      </w:r>
      <w:r>
        <w:rPr>
          <w:rFonts w:hint="eastAsia" w:ascii="宋体" w:hAnsi="宋体" w:cs="宋体"/>
          <w:b/>
          <w:szCs w:val="21"/>
          <w:lang w:val="en-US" w:eastAsia="zh-CN"/>
        </w:rPr>
        <w:t>二</w:t>
      </w:r>
      <w:r>
        <w:rPr>
          <w:rFonts w:hint="eastAsia" w:ascii="宋体" w:hAnsi="宋体" w:cs="宋体"/>
          <w:b/>
          <w:szCs w:val="21"/>
        </w:rPr>
        <w:t>、税费</w:t>
      </w:r>
    </w:p>
    <w:p w14:paraId="54E8B4BF">
      <w:pPr>
        <w:ind w:firstLine="420"/>
        <w:rPr>
          <w:rFonts w:ascii="宋体" w:hAnsi="宋体" w:cs="宋体"/>
          <w:szCs w:val="21"/>
        </w:rPr>
      </w:pPr>
      <w:r>
        <w:rPr>
          <w:rFonts w:hint="eastAsia" w:ascii="宋体" w:hAnsi="宋体" w:cs="宋体"/>
          <w:szCs w:val="21"/>
        </w:rPr>
        <w:t>在中国境内、外发生的与本合同执行有关的一切税费均由乙方负担。</w:t>
      </w:r>
    </w:p>
    <w:p w14:paraId="5D34E73D">
      <w:pPr>
        <w:rPr>
          <w:rFonts w:ascii="宋体" w:hAnsi="宋体" w:cs="宋体"/>
          <w:szCs w:val="21"/>
        </w:rPr>
      </w:pPr>
      <w:r>
        <w:rPr>
          <w:rFonts w:hint="eastAsia" w:ascii="宋体" w:hAnsi="宋体" w:cs="宋体"/>
          <w:b/>
          <w:szCs w:val="21"/>
        </w:rPr>
        <w:t>十</w:t>
      </w:r>
      <w:r>
        <w:rPr>
          <w:rFonts w:hint="eastAsia" w:ascii="宋体" w:hAnsi="宋体" w:cs="宋体"/>
          <w:b/>
          <w:szCs w:val="21"/>
          <w:lang w:val="en-US" w:eastAsia="zh-CN"/>
        </w:rPr>
        <w:t>三</w:t>
      </w:r>
      <w:r>
        <w:rPr>
          <w:rFonts w:hint="eastAsia" w:ascii="宋体" w:hAnsi="宋体" w:cs="宋体"/>
          <w:b/>
          <w:szCs w:val="21"/>
        </w:rPr>
        <w:t>、其它</w:t>
      </w:r>
    </w:p>
    <w:p w14:paraId="07C11F24">
      <w:pPr>
        <w:ind w:firstLine="420"/>
        <w:rPr>
          <w:rFonts w:ascii="宋体" w:hAnsi="宋体" w:cs="宋体"/>
          <w:szCs w:val="21"/>
        </w:rPr>
      </w:pPr>
      <w:r>
        <w:rPr>
          <w:rFonts w:hint="eastAsia" w:ascii="宋体" w:hAnsi="宋体" w:cs="宋体"/>
          <w:szCs w:val="21"/>
        </w:rPr>
        <w:t>1.本合同所有附件、采购文件、投标文件、中标通知书均为合同的有效组成部分，与本合同具有同等法律效力。</w:t>
      </w:r>
    </w:p>
    <w:p w14:paraId="140E3372">
      <w:pPr>
        <w:ind w:firstLine="420"/>
        <w:rPr>
          <w:rFonts w:ascii="宋体" w:hAnsi="宋体" w:cs="宋体"/>
          <w:szCs w:val="21"/>
        </w:rPr>
      </w:pPr>
      <w:r>
        <w:rPr>
          <w:rFonts w:hint="eastAsia" w:ascii="宋体" w:hAnsi="宋体" w:cs="宋体"/>
          <w:szCs w:val="21"/>
        </w:rPr>
        <w:t>2.在执行本合同的过程中，所有经双方签署确认的文件（包括会议纪要、补充协议、往来信函）即成为本合同的有效组成部分。</w:t>
      </w:r>
    </w:p>
    <w:p w14:paraId="01988C2B">
      <w:pPr>
        <w:ind w:firstLine="420"/>
        <w:rPr>
          <w:rFonts w:ascii="宋体" w:hAnsi="宋体" w:cs="宋体"/>
          <w:szCs w:val="21"/>
        </w:rPr>
      </w:pPr>
      <w:r>
        <w:rPr>
          <w:rFonts w:hint="eastAsia" w:ascii="宋体" w:hAnsi="宋体" w:cs="宋体"/>
          <w:szCs w:val="21"/>
        </w:rPr>
        <w:t>3.如一方地址、电话、传真号码有变更，应在变更当日内书面通知对方，否则，应承担相应责任。</w:t>
      </w:r>
    </w:p>
    <w:p w14:paraId="61C21430">
      <w:pPr>
        <w:ind w:firstLine="420"/>
        <w:rPr>
          <w:rFonts w:ascii="宋体" w:hAnsi="宋体" w:cs="宋体"/>
          <w:szCs w:val="21"/>
        </w:rPr>
      </w:pPr>
      <w:r>
        <w:rPr>
          <w:rFonts w:hint="eastAsia" w:ascii="宋体" w:hAnsi="宋体" w:cs="宋体"/>
          <w:szCs w:val="21"/>
        </w:rPr>
        <w:t>4.除甲方事先书面同意外，乙方不得部分或全部转让其应履行的合同项下的义务。</w:t>
      </w:r>
    </w:p>
    <w:p w14:paraId="11EE5DAF">
      <w:pPr>
        <w:ind w:firstLine="420"/>
        <w:rPr>
          <w:rFonts w:ascii="宋体" w:hAnsi="宋体" w:cs="宋体"/>
          <w:szCs w:val="21"/>
        </w:rPr>
      </w:pPr>
      <w:r>
        <w:rPr>
          <w:rFonts w:hint="eastAsia" w:ascii="宋体" w:hAnsi="宋体" w:cs="宋体"/>
          <w:szCs w:val="21"/>
        </w:rPr>
        <w:t>5．乙方人员在合同内发生的涉及安全相关事故由乙方全部承担。</w:t>
      </w:r>
    </w:p>
    <w:p w14:paraId="00A8CA32">
      <w:pPr>
        <w:rPr>
          <w:rFonts w:ascii="宋体" w:hAnsi="宋体" w:cs="宋体"/>
          <w:szCs w:val="21"/>
        </w:rPr>
      </w:pPr>
      <w:r>
        <w:rPr>
          <w:rFonts w:hint="eastAsia" w:ascii="宋体" w:hAnsi="宋体" w:cs="宋体"/>
          <w:b/>
          <w:szCs w:val="21"/>
        </w:rPr>
        <w:t>十四、合同生效</w:t>
      </w:r>
    </w:p>
    <w:p w14:paraId="29897F13">
      <w:pPr>
        <w:ind w:firstLine="420"/>
        <w:rPr>
          <w:rFonts w:ascii="宋体" w:hAnsi="宋体" w:cs="宋体"/>
          <w:szCs w:val="21"/>
        </w:rPr>
      </w:pPr>
      <w:r>
        <w:rPr>
          <w:rFonts w:hint="eastAsia" w:ascii="宋体" w:hAnsi="宋体" w:cs="宋体"/>
          <w:szCs w:val="21"/>
        </w:rPr>
        <w:t>1.本合同在甲乙双方法定代表人或其授权代表签字盖章后生效。</w:t>
      </w:r>
    </w:p>
    <w:p w14:paraId="6322A015">
      <w:pPr>
        <w:ind w:firstLine="420"/>
        <w:rPr>
          <w:rFonts w:ascii="宋体" w:hAnsi="宋体" w:cs="宋体"/>
          <w:szCs w:val="21"/>
        </w:rPr>
      </w:pPr>
      <w:r>
        <w:rPr>
          <w:rFonts w:hint="eastAsia" w:ascii="宋体" w:hAnsi="宋体" w:cs="宋体"/>
          <w:szCs w:val="21"/>
        </w:rPr>
        <w:t>2.本合同自双方签字盖章之日起生效：正本一式</w:t>
      </w:r>
      <w:r>
        <w:rPr>
          <w:rFonts w:hint="eastAsia" w:ascii="宋体" w:hAnsi="宋体" w:cs="宋体"/>
          <w:szCs w:val="21"/>
          <w:u w:val="single"/>
        </w:rPr>
        <w:t xml:space="preserve">   </w:t>
      </w:r>
      <w:r>
        <w:rPr>
          <w:rFonts w:hint="eastAsia" w:ascii="宋体" w:hAnsi="宋体" w:cs="宋体"/>
          <w:szCs w:val="21"/>
        </w:rPr>
        <w:t>份，双方各执</w:t>
      </w:r>
      <w:r>
        <w:rPr>
          <w:rFonts w:hint="eastAsia" w:ascii="宋体" w:hAnsi="宋体" w:cs="宋体"/>
          <w:szCs w:val="21"/>
          <w:u w:val="single"/>
        </w:rPr>
        <w:t xml:space="preserve">   </w:t>
      </w:r>
      <w:r>
        <w:rPr>
          <w:rFonts w:hint="eastAsia" w:ascii="宋体" w:hAnsi="宋体" w:cs="宋体"/>
          <w:szCs w:val="21"/>
        </w:rPr>
        <w:t>份，具同等法律效力。</w:t>
      </w:r>
    </w:p>
    <w:p w14:paraId="008DEC61">
      <w:pPr>
        <w:rPr>
          <w:rFonts w:ascii="宋体" w:hAnsi="宋体" w:cs="宋体"/>
          <w:b/>
          <w:szCs w:val="21"/>
        </w:rPr>
      </w:pPr>
      <w:r>
        <w:rPr>
          <w:rFonts w:hint="eastAsia" w:ascii="宋体" w:hAnsi="宋体" w:cs="宋体"/>
          <w:b/>
          <w:szCs w:val="21"/>
        </w:rPr>
        <w:t>十五、附件</w:t>
      </w:r>
    </w:p>
    <w:p w14:paraId="50E7DF74">
      <w:pPr>
        <w:ind w:firstLine="480"/>
        <w:jc w:val="both"/>
        <w:rPr>
          <w:rFonts w:ascii="宋体" w:hAnsi="宋体" w:cs="宋体"/>
          <w:szCs w:val="21"/>
        </w:rPr>
      </w:pPr>
      <w:r>
        <w:rPr>
          <w:rFonts w:hint="eastAsia" w:ascii="宋体" w:hAnsi="宋体" w:cs="宋体"/>
          <w:szCs w:val="21"/>
        </w:rPr>
        <w:t>附件一：《阳光合作协议》</w:t>
      </w:r>
    </w:p>
    <w:p w14:paraId="5A160695">
      <w:pPr>
        <w:ind w:firstLine="480"/>
        <w:jc w:val="both"/>
        <w:rPr>
          <w:rFonts w:ascii="宋体" w:hAnsi="宋体" w:cs="宋体"/>
          <w:szCs w:val="21"/>
        </w:rPr>
      </w:pPr>
      <w:r>
        <w:rPr>
          <w:rFonts w:hint="eastAsia" w:ascii="宋体" w:hAnsi="宋体" w:cs="宋体"/>
          <w:szCs w:val="21"/>
        </w:rPr>
        <w:t>附件二：《中标通知书》</w:t>
      </w:r>
    </w:p>
    <w:p w14:paraId="0E7AE2D3">
      <w:pPr>
        <w:ind w:firstLine="480"/>
        <w:jc w:val="both"/>
        <w:rPr>
          <w:rFonts w:ascii="宋体" w:hAnsi="宋体" w:cs="宋体"/>
          <w:szCs w:val="21"/>
        </w:rPr>
      </w:pPr>
      <w:r>
        <w:rPr>
          <w:rFonts w:hint="eastAsia" w:ascii="宋体" w:hAnsi="宋体" w:cs="宋体"/>
          <w:szCs w:val="21"/>
        </w:rPr>
        <w:t>附件三：《采购文件》</w:t>
      </w:r>
    </w:p>
    <w:p w14:paraId="01C50A85">
      <w:pPr>
        <w:ind w:firstLine="480"/>
        <w:jc w:val="both"/>
        <w:rPr>
          <w:rFonts w:ascii="宋体" w:hAnsi="宋体" w:cs="宋体"/>
          <w:szCs w:val="21"/>
        </w:rPr>
      </w:pPr>
      <w:r>
        <w:rPr>
          <w:rFonts w:hint="eastAsia" w:ascii="宋体" w:hAnsi="宋体" w:cs="宋体"/>
          <w:szCs w:val="21"/>
        </w:rPr>
        <w:t>附件四：《投标文件》.</w:t>
      </w:r>
    </w:p>
    <w:p w14:paraId="44E98AC5">
      <w:pPr>
        <w:rPr>
          <w:rFonts w:hint="eastAsia" w:ascii="宋体" w:hAnsi="宋体" w:cs="宋体"/>
          <w:szCs w:val="21"/>
          <w:lang w:bidi="ar"/>
        </w:rPr>
      </w:pPr>
      <w:bookmarkStart w:id="224" w:name="_Toc121395324"/>
      <w:bookmarkStart w:id="225" w:name="_Toc15880"/>
      <w:bookmarkStart w:id="226" w:name="_Toc29819"/>
      <w:bookmarkStart w:id="227" w:name="_Toc1766"/>
      <w:bookmarkStart w:id="228" w:name="_Toc3356"/>
      <w:bookmarkStart w:id="229" w:name="_Toc23032"/>
      <w:bookmarkStart w:id="230" w:name="_Toc15480"/>
    </w:p>
    <w:p w14:paraId="5AD647C6">
      <w:pPr>
        <w:rPr>
          <w:rFonts w:hint="eastAsia" w:ascii="宋体" w:hAnsi="宋体" w:cs="宋体"/>
          <w:szCs w:val="21"/>
          <w:lang w:bidi="ar"/>
        </w:rPr>
      </w:pPr>
    </w:p>
    <w:p w14:paraId="2408F0E1">
      <w:pPr>
        <w:rPr>
          <w:rFonts w:hint="eastAsia" w:ascii="宋体" w:hAnsi="宋体" w:cs="宋体"/>
          <w:szCs w:val="21"/>
          <w:lang w:bidi="ar"/>
        </w:rPr>
      </w:pPr>
    </w:p>
    <w:p w14:paraId="5C218DBF">
      <w:pPr>
        <w:rPr>
          <w:rFonts w:hint="eastAsia" w:ascii="宋体" w:hAnsi="宋体" w:cs="宋体"/>
          <w:szCs w:val="21"/>
          <w:lang w:bidi="ar"/>
        </w:rPr>
      </w:pPr>
    </w:p>
    <w:p w14:paraId="6D1748D0">
      <w:pPr>
        <w:rPr>
          <w:rFonts w:hint="eastAsia" w:ascii="宋体" w:hAnsi="宋体" w:cs="宋体"/>
          <w:szCs w:val="21"/>
          <w:lang w:bidi="ar"/>
        </w:rPr>
      </w:pPr>
    </w:p>
    <w:p w14:paraId="7F2A6F22">
      <w:pPr>
        <w:rPr>
          <w:rFonts w:hint="eastAsia" w:ascii="宋体" w:hAnsi="宋体" w:cs="宋体"/>
          <w:szCs w:val="21"/>
          <w:lang w:bidi="ar"/>
        </w:rPr>
      </w:pPr>
    </w:p>
    <w:p w14:paraId="77EAC33F">
      <w:pPr>
        <w:rPr>
          <w:rFonts w:ascii="宋体" w:hAnsi="宋体" w:cs="宋体"/>
          <w:szCs w:val="21"/>
        </w:rPr>
      </w:pPr>
      <w:r>
        <w:rPr>
          <w:rFonts w:hint="eastAsia" w:ascii="宋体" w:hAnsi="宋体" w:cs="宋体"/>
          <w:szCs w:val="21"/>
          <w:lang w:bidi="ar"/>
        </w:rPr>
        <w:t>甲方（盖章）：                             乙方（盖章）：</w:t>
      </w:r>
    </w:p>
    <w:p w14:paraId="2317CCAD">
      <w:pPr>
        <w:rPr>
          <w:rFonts w:ascii="宋体" w:hAnsi="宋体" w:cs="宋体"/>
          <w:szCs w:val="21"/>
        </w:rPr>
      </w:pPr>
    </w:p>
    <w:p w14:paraId="3EB37F54">
      <w:pPr>
        <w:rPr>
          <w:rFonts w:ascii="宋体" w:hAnsi="宋体" w:cs="宋体"/>
          <w:szCs w:val="21"/>
        </w:rPr>
      </w:pPr>
    </w:p>
    <w:p w14:paraId="6B7F6FA4">
      <w:pPr>
        <w:rPr>
          <w:rFonts w:ascii="宋体" w:hAnsi="宋体" w:cs="宋体"/>
          <w:szCs w:val="21"/>
        </w:rPr>
      </w:pPr>
      <w:r>
        <w:rPr>
          <w:rFonts w:hint="eastAsia" w:ascii="宋体" w:hAnsi="宋体" w:cs="宋体"/>
          <w:szCs w:val="21"/>
          <w:lang w:bidi="ar"/>
        </w:rPr>
        <w:t>法定代表人（或委托代理人）：              法定代表人（或委托代理人）：</w:t>
      </w:r>
    </w:p>
    <w:p w14:paraId="3AED9543">
      <w:pPr>
        <w:rPr>
          <w:rFonts w:ascii="宋体" w:hAnsi="宋体" w:cs="宋体"/>
          <w:szCs w:val="21"/>
        </w:rPr>
      </w:pPr>
      <w:r>
        <w:rPr>
          <w:rFonts w:hint="eastAsia" w:ascii="宋体" w:hAnsi="宋体" w:cs="宋体"/>
          <w:szCs w:val="21"/>
          <w:lang w:bidi="ar"/>
        </w:rPr>
        <w:t>地址：                                    地址：</w:t>
      </w:r>
    </w:p>
    <w:p w14:paraId="524AE3CA">
      <w:pPr>
        <w:rPr>
          <w:rFonts w:ascii="宋体" w:hAnsi="宋体" w:cs="宋体"/>
          <w:szCs w:val="21"/>
        </w:rPr>
      </w:pPr>
      <w:r>
        <w:rPr>
          <w:rFonts w:hint="eastAsia" w:ascii="宋体" w:hAnsi="宋体" w:cs="宋体"/>
          <w:szCs w:val="21"/>
          <w:lang w:bidi="ar"/>
        </w:rPr>
        <w:t>电话：                                    电话：</w:t>
      </w:r>
    </w:p>
    <w:p w14:paraId="6CACFCAB">
      <w:pPr>
        <w:rPr>
          <w:rFonts w:ascii="宋体" w:hAnsi="宋体" w:cs="宋体"/>
          <w:szCs w:val="21"/>
        </w:rPr>
      </w:pPr>
      <w:r>
        <w:rPr>
          <w:rFonts w:hint="eastAsia" w:ascii="宋体" w:hAnsi="宋体" w:cs="宋体"/>
          <w:szCs w:val="21"/>
          <w:lang w:bidi="ar"/>
        </w:rPr>
        <w:t xml:space="preserve">签约时间：                                开户银行： </w:t>
      </w:r>
    </w:p>
    <w:p w14:paraId="5F673A4D">
      <w:pPr>
        <w:rPr>
          <w:rFonts w:ascii="宋体" w:hAnsi="宋体" w:cs="宋体"/>
          <w:szCs w:val="21"/>
        </w:rPr>
      </w:pPr>
      <w:r>
        <w:rPr>
          <w:rFonts w:hint="eastAsia" w:ascii="宋体" w:hAnsi="宋体" w:cs="宋体"/>
          <w:szCs w:val="21"/>
          <w:lang w:bidi="ar"/>
        </w:rPr>
        <w:t xml:space="preserve">                                          账号： </w:t>
      </w:r>
    </w:p>
    <w:p w14:paraId="6A8822DE">
      <w:pPr>
        <w:rPr>
          <w:rFonts w:ascii="宋体" w:hAnsi="宋体" w:cs="宋体"/>
          <w:szCs w:val="21"/>
          <w:lang w:bidi="ar"/>
        </w:rPr>
      </w:pPr>
      <w:r>
        <w:rPr>
          <w:rFonts w:hint="eastAsia" w:ascii="宋体" w:hAnsi="宋体" w:cs="宋体"/>
          <w:szCs w:val="21"/>
          <w:lang w:bidi="ar"/>
        </w:rPr>
        <w:t xml:space="preserve">                                          签约时间：</w:t>
      </w:r>
    </w:p>
    <w:p w14:paraId="713B74BC">
      <w:pPr>
        <w:pStyle w:val="2"/>
      </w:pPr>
    </w:p>
    <w:p w14:paraId="3B46E92B">
      <w:pPr>
        <w:rPr>
          <w:rFonts w:ascii="宋体" w:hAnsi="宋体" w:cs="宋体"/>
          <w:b/>
          <w:szCs w:val="21"/>
        </w:rPr>
      </w:pPr>
      <w:r>
        <w:rPr>
          <w:rFonts w:hint="eastAsia" w:ascii="宋体" w:hAnsi="宋体" w:cs="宋体"/>
          <w:b/>
          <w:szCs w:val="21"/>
        </w:rPr>
        <w:br w:type="page"/>
      </w:r>
    </w:p>
    <w:p w14:paraId="10053688">
      <w:pPr>
        <w:spacing w:line="480" w:lineRule="exact"/>
        <w:outlineLvl w:val="1"/>
        <w:rPr>
          <w:rFonts w:ascii="宋体" w:hAnsi="宋体" w:cs="宋体"/>
          <w:b/>
          <w:szCs w:val="21"/>
        </w:rPr>
      </w:pPr>
      <w:bookmarkStart w:id="231" w:name="_Toc13410"/>
      <w:r>
        <w:rPr>
          <w:rFonts w:hint="eastAsia" w:ascii="宋体" w:hAnsi="宋体" w:cs="宋体"/>
          <w:b/>
          <w:szCs w:val="21"/>
        </w:rPr>
        <w:t>附件1:</w:t>
      </w:r>
      <w:bookmarkEnd w:id="224"/>
      <w:bookmarkEnd w:id="225"/>
      <w:bookmarkEnd w:id="226"/>
      <w:bookmarkEnd w:id="227"/>
      <w:bookmarkEnd w:id="228"/>
      <w:bookmarkEnd w:id="229"/>
      <w:bookmarkEnd w:id="230"/>
      <w:r>
        <w:rPr>
          <w:rFonts w:hint="eastAsia" w:ascii="宋体" w:hAnsi="宋体" w:cs="宋体"/>
          <w:b/>
          <w:szCs w:val="21"/>
        </w:rPr>
        <w:t>阳光合作协议</w:t>
      </w:r>
      <w:bookmarkEnd w:id="231"/>
    </w:p>
    <w:p w14:paraId="34231CC8">
      <w:pPr>
        <w:jc w:val="center"/>
        <w:rPr>
          <w:rFonts w:ascii="黑体" w:hAnsi="黑体" w:eastAsia="黑体"/>
          <w:b/>
          <w:sz w:val="32"/>
          <w:szCs w:val="32"/>
        </w:rPr>
      </w:pPr>
      <w:r>
        <w:rPr>
          <w:rFonts w:hint="eastAsia" w:ascii="黑体" w:hAnsi="黑体" w:eastAsia="黑体"/>
          <w:b/>
          <w:sz w:val="32"/>
          <w:szCs w:val="32"/>
        </w:rPr>
        <w:t>阳光合作协议</w:t>
      </w:r>
    </w:p>
    <w:p w14:paraId="4839361C">
      <w:pPr>
        <w:spacing w:before="120" w:beforeLines="50" w:after="120" w:afterLines="50"/>
        <w:ind w:firstLine="420" w:firstLineChars="200"/>
        <w:contextualSpacing/>
        <w:rPr>
          <w:rFonts w:ascii="宋体" w:hAnsi="宋体"/>
        </w:rPr>
      </w:pPr>
      <w:r>
        <w:rPr>
          <w:rFonts w:hint="eastAsia" w:ascii="宋体" w:hAnsi="宋体"/>
        </w:rPr>
        <w:t>甲方（采购方全称）：</w:t>
      </w:r>
    </w:p>
    <w:p w14:paraId="4D48D0B4">
      <w:pPr>
        <w:spacing w:before="120" w:beforeLines="50" w:after="120" w:afterLines="50"/>
        <w:ind w:firstLine="420" w:firstLineChars="200"/>
        <w:contextualSpacing/>
        <w:rPr>
          <w:rFonts w:ascii="宋体" w:hAnsi="宋体"/>
        </w:rPr>
      </w:pPr>
      <w:r>
        <w:rPr>
          <w:rFonts w:hint="eastAsia" w:ascii="宋体" w:hAnsi="宋体"/>
        </w:rPr>
        <w:t>乙方（供应方全称）：</w:t>
      </w:r>
    </w:p>
    <w:p w14:paraId="21A69DB5">
      <w:pPr>
        <w:spacing w:before="120" w:beforeLines="50" w:after="120" w:afterLines="50"/>
        <w:ind w:firstLine="420" w:firstLineChars="200"/>
        <w:contextualSpacing/>
        <w:rPr>
          <w:rFonts w:ascii="宋体"/>
        </w:rPr>
      </w:pPr>
      <w:r>
        <w:rPr>
          <w:rFonts w:hint="eastAsia" w:ascii="宋体" w:hAnsi="宋体"/>
        </w:rPr>
        <w:t>甲乙双方于202</w:t>
      </w:r>
      <w:r>
        <w:rPr>
          <w:rFonts w:hint="eastAsia" w:ascii="宋体" w:hAnsi="宋体"/>
          <w:lang w:val="en-US" w:eastAsia="zh-CN"/>
        </w:rPr>
        <w:t>6</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日签署了</w:t>
      </w:r>
      <w:r>
        <w:rPr>
          <w:rFonts w:hint="eastAsia" w:ascii="宋体" w:hAnsi="宋体"/>
          <w:u w:val="single"/>
        </w:rPr>
        <w:t xml:space="preserve">                  </w:t>
      </w:r>
      <w:r>
        <w:rPr>
          <w:rFonts w:hint="eastAsia" w:ascii="宋体" w:hAnsi="宋体"/>
        </w:rPr>
        <w:t>项目合同（以下简称原合同），为加强双方阳光合作，保证职员职业安全，甲乙双方经协商签订本协议并作为双方共同遵守的阳光合作行为准则。</w:t>
      </w:r>
    </w:p>
    <w:p w14:paraId="14E229EA">
      <w:pPr>
        <w:spacing w:before="120" w:beforeLines="50" w:after="120" w:afterLines="50"/>
        <w:ind w:left="420" w:leftChars="200"/>
        <w:contextualSpacing/>
        <w:rPr>
          <w:rFonts w:ascii="宋体" w:hAnsi="宋体"/>
          <w:b/>
        </w:rPr>
      </w:pPr>
      <w:r>
        <w:rPr>
          <w:rFonts w:hint="eastAsia" w:ascii="宋体" w:hAnsi="宋体"/>
          <w:b/>
        </w:rPr>
        <w:t>一、甲方责任</w:t>
      </w:r>
    </w:p>
    <w:p w14:paraId="367E5622">
      <w:pPr>
        <w:spacing w:before="120" w:beforeLines="50" w:after="120" w:afterLines="50"/>
        <w:ind w:left="105" w:leftChars="50" w:firstLine="420" w:firstLineChars="200"/>
        <w:contextualSpacing/>
        <w:rPr>
          <w:rFonts w:ascii="宋体" w:hAnsi="宋体"/>
        </w:rPr>
      </w:pPr>
      <w:r>
        <w:rPr>
          <w:rFonts w:hint="eastAsia" w:ascii="宋体" w:hAnsi="宋体"/>
        </w:rPr>
        <w:t>1.甲方有责任向乙方介绍本单位有关采购管理通用原则和本协议的规定。</w:t>
      </w:r>
    </w:p>
    <w:p w14:paraId="7FC75075">
      <w:pPr>
        <w:spacing w:before="120" w:beforeLines="50" w:after="120" w:afterLines="50"/>
        <w:ind w:left="105" w:leftChars="50" w:firstLine="420" w:firstLineChars="200"/>
        <w:contextualSpacing/>
        <w:rPr>
          <w:rFonts w:ascii="宋体" w:hAnsi="宋体"/>
        </w:rPr>
      </w:pPr>
      <w:r>
        <w:rPr>
          <w:rFonts w:hint="eastAsia" w:ascii="宋体" w:hAnsi="宋体"/>
        </w:rPr>
        <w:t>2.甲方有责任对本单位相关人员进行阳光合作教育。</w:t>
      </w:r>
    </w:p>
    <w:p w14:paraId="4DF93417">
      <w:pPr>
        <w:spacing w:before="120" w:beforeLines="50" w:after="120" w:afterLines="50"/>
        <w:ind w:left="105" w:leftChars="50" w:firstLine="420" w:firstLineChars="200"/>
        <w:contextualSpacing/>
        <w:rPr>
          <w:rFonts w:ascii="宋体" w:hAnsi="宋体"/>
        </w:rPr>
      </w:pPr>
      <w:r>
        <w:rPr>
          <w:rFonts w:hint="eastAsia" w:ascii="宋体" w:hAnsi="宋体"/>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14:paraId="1BF714C9">
      <w:pPr>
        <w:spacing w:before="120" w:beforeLines="50" w:after="120" w:afterLines="50"/>
        <w:ind w:left="105" w:leftChars="50" w:firstLine="420" w:firstLineChars="200"/>
        <w:contextualSpacing/>
        <w:rPr>
          <w:rFonts w:ascii="宋体" w:hAnsi="宋体"/>
        </w:rPr>
      </w:pPr>
      <w:r>
        <w:rPr>
          <w:rFonts w:hint="eastAsia" w:ascii="宋体" w:hAnsi="宋体"/>
        </w:rPr>
        <w:t>4.甲方人员如违反阳光合作管理制度及本协议规定，甲方视情节轻重、影响大小给予行政及经济处罚。</w:t>
      </w:r>
    </w:p>
    <w:p w14:paraId="2238A07D">
      <w:pPr>
        <w:spacing w:before="120" w:beforeLines="50" w:after="120" w:afterLines="50"/>
        <w:ind w:left="105" w:leftChars="50" w:firstLine="420" w:firstLineChars="200"/>
        <w:contextualSpacing/>
        <w:rPr>
          <w:rFonts w:ascii="宋体" w:hAnsi="宋体"/>
        </w:rPr>
      </w:pPr>
      <w:r>
        <w:rPr>
          <w:rFonts w:hint="eastAsia" w:ascii="宋体" w:hAnsi="宋体"/>
        </w:rPr>
        <w:t>5．对于乙方举报甲方人员违反阳光合作规定的情况，甲方应及时进行调查，根据调查情况进行处理，并将调查结果向乙方反馈。</w:t>
      </w:r>
    </w:p>
    <w:p w14:paraId="1FE4FB3A">
      <w:pPr>
        <w:spacing w:before="120" w:beforeLines="50" w:after="120" w:afterLines="50"/>
        <w:ind w:left="105" w:leftChars="50" w:firstLine="420" w:firstLineChars="200"/>
        <w:contextualSpacing/>
        <w:rPr>
          <w:rFonts w:ascii="宋体" w:hAnsi="宋体"/>
        </w:rPr>
      </w:pPr>
      <w:r>
        <w:rPr>
          <w:rFonts w:hint="eastAsia" w:ascii="宋体" w:hAnsi="宋体"/>
        </w:rPr>
        <w:t>6.接受举报的一方应为举报方保密，不得对举报方进行报复，对举报属实和严格遵守《阳光合作协议》的合作方，在同等条件下给予后续合作的优先权。</w:t>
      </w:r>
    </w:p>
    <w:p w14:paraId="20D7E32C">
      <w:pPr>
        <w:spacing w:before="120" w:beforeLines="50" w:after="120" w:afterLines="50"/>
        <w:ind w:left="420" w:leftChars="200"/>
        <w:contextualSpacing/>
        <w:rPr>
          <w:rFonts w:ascii="宋体" w:hAnsi="宋体"/>
          <w:b/>
        </w:rPr>
      </w:pPr>
      <w:r>
        <w:rPr>
          <w:rFonts w:hint="eastAsia" w:ascii="宋体" w:hAnsi="宋体"/>
          <w:b/>
        </w:rPr>
        <w:t>二、乙方责任</w:t>
      </w:r>
    </w:p>
    <w:p w14:paraId="227EB4C2">
      <w:pPr>
        <w:spacing w:before="120" w:beforeLines="50" w:after="120" w:afterLines="50"/>
        <w:ind w:left="105" w:leftChars="50" w:firstLine="420" w:firstLineChars="200"/>
        <w:contextualSpacing/>
        <w:rPr>
          <w:rFonts w:ascii="宋体" w:hAnsi="宋体"/>
        </w:rPr>
      </w:pPr>
      <w:r>
        <w:rPr>
          <w:rFonts w:hint="eastAsia" w:ascii="宋体" w:hAnsi="宋体"/>
        </w:rPr>
        <w:t>1.乙方应保证乙方人员了解甲方有关采购管理通用原则和及本协议的规定，并遵照执行。</w:t>
      </w:r>
    </w:p>
    <w:p w14:paraId="0683BF06">
      <w:pPr>
        <w:spacing w:before="120" w:beforeLines="50" w:after="120" w:afterLines="50"/>
        <w:ind w:left="105" w:leftChars="50" w:firstLine="420" w:firstLineChars="200"/>
        <w:contextualSpacing/>
        <w:rPr>
          <w:rFonts w:ascii="宋体" w:hAnsi="宋体"/>
        </w:rPr>
      </w:pPr>
      <w:r>
        <w:rPr>
          <w:rFonts w:hint="eastAsia" w:ascii="宋体" w:hAnsi="宋体"/>
        </w:rPr>
        <w:t>2.乙方不得以任何形式给予甲方人员回扣、赠送实物、现金、有价证券、礼券等有价物品或提供旅游等其他可能影响职务行为公正履行的活动（以下统称“财物”）。</w:t>
      </w:r>
    </w:p>
    <w:p w14:paraId="6B65EBEB">
      <w:pPr>
        <w:spacing w:before="120" w:beforeLines="50" w:after="120" w:afterLines="50"/>
        <w:ind w:left="105" w:leftChars="50" w:firstLine="420" w:firstLineChars="200"/>
        <w:contextualSpacing/>
        <w:rPr>
          <w:rFonts w:ascii="宋体" w:hAnsi="宋体"/>
        </w:rPr>
      </w:pPr>
      <w:r>
        <w:rPr>
          <w:rFonts w:hint="eastAsia" w:ascii="宋体" w:hAnsi="宋体"/>
        </w:rPr>
        <w:t>3.乙方有责任接受甲方对乙方在合作期间阳光合作管理执行情况的监督，并对甲方相关调查工作主动配合。</w:t>
      </w:r>
    </w:p>
    <w:p w14:paraId="6BEC1B3F">
      <w:pPr>
        <w:spacing w:before="120" w:beforeLines="50" w:after="120" w:afterLines="50"/>
        <w:ind w:left="105" w:leftChars="50" w:firstLine="420" w:firstLineChars="200"/>
        <w:contextualSpacing/>
        <w:rPr>
          <w:rFonts w:ascii="宋体" w:hAnsi="宋体"/>
        </w:rPr>
      </w:pPr>
      <w:r>
        <w:rPr>
          <w:rFonts w:hint="eastAsia" w:ascii="宋体" w:hAnsi="宋体"/>
        </w:rPr>
        <w:t>4.乙方有义务就甲方人员任何形式的索取或收受财物行为及时向甲方（直接联系人为</w:t>
      </w:r>
      <w:r>
        <w:rPr>
          <w:rFonts w:hint="eastAsia" w:ascii="宋体" w:hAnsi="宋体"/>
          <w:lang w:eastAsia="zh-CN"/>
        </w:rPr>
        <w:t>东莞市能源投资集团有限公司</w:t>
      </w:r>
      <w:r>
        <w:rPr>
          <w:rFonts w:hint="eastAsia" w:ascii="宋体" w:hAnsi="宋体"/>
          <w:lang w:val="en-US" w:eastAsia="zh-CN"/>
        </w:rPr>
        <w:t>企业管理</w:t>
      </w:r>
      <w:r>
        <w:rPr>
          <w:rFonts w:hint="eastAsia" w:ascii="宋体" w:hAnsi="宋体"/>
        </w:rPr>
        <w:t>部）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东实集团（</w:t>
      </w:r>
      <w:r>
        <w:rPr>
          <w:rFonts w:hint="eastAsia" w:ascii="宋体" w:hAnsi="宋体"/>
          <w:lang w:eastAsia="zh-CN"/>
        </w:rPr>
        <w:t>东莞市能源投资集团有限公司</w:t>
      </w:r>
      <w:r>
        <w:rPr>
          <w:rFonts w:hint="eastAsia" w:ascii="宋体" w:hAnsi="宋体"/>
        </w:rPr>
        <w:t>及下属子公司）合格供应商。</w:t>
      </w:r>
    </w:p>
    <w:p w14:paraId="61491553">
      <w:pPr>
        <w:spacing w:before="120" w:beforeLines="50" w:after="120" w:afterLines="50"/>
        <w:ind w:left="105" w:leftChars="50" w:firstLine="420" w:firstLineChars="200"/>
        <w:contextualSpacing/>
        <w:rPr>
          <w:rFonts w:ascii="宋体" w:hAnsi="宋体"/>
        </w:rPr>
      </w:pPr>
      <w:r>
        <w:rPr>
          <w:rFonts w:hint="eastAsia" w:ascii="宋体" w:hAnsi="宋体"/>
        </w:rPr>
        <w:t xml:space="preserve">5．甲方接受乙方实名或匿名举报，保证为举报者的信息保密，常设举报部门及电话： </w:t>
      </w:r>
    </w:p>
    <w:p w14:paraId="01B579D5">
      <w:pPr>
        <w:spacing w:before="120" w:beforeLines="50" w:after="120" w:afterLines="50"/>
        <w:ind w:left="105" w:leftChars="50" w:firstLine="420" w:firstLineChars="200"/>
        <w:contextualSpacing/>
        <w:rPr>
          <w:rFonts w:ascii="宋体" w:hAnsi="宋体"/>
        </w:rPr>
      </w:pPr>
      <w:r>
        <w:rPr>
          <w:rFonts w:hint="eastAsia" w:ascii="宋体" w:hAnsi="宋体"/>
        </w:rPr>
        <w:t>举报受理部门：</w:t>
      </w:r>
      <w:r>
        <w:rPr>
          <w:rFonts w:hint="eastAsia" w:ascii="宋体" w:hAnsi="宋体"/>
          <w:lang w:eastAsia="zh-CN"/>
        </w:rPr>
        <w:t>东莞市能源投资集团有限公司</w:t>
      </w:r>
      <w:r>
        <w:rPr>
          <w:rFonts w:hint="eastAsia" w:ascii="宋体" w:hAnsi="宋体"/>
          <w:lang w:val="en-US" w:eastAsia="zh-CN"/>
        </w:rPr>
        <w:t>企业管理</w:t>
      </w:r>
    </w:p>
    <w:p w14:paraId="1598DE31">
      <w:pPr>
        <w:spacing w:before="120" w:beforeLines="50" w:after="120" w:afterLines="50"/>
        <w:ind w:left="105" w:leftChars="50" w:firstLine="420" w:firstLineChars="200"/>
        <w:contextualSpacing/>
        <w:rPr>
          <w:rFonts w:ascii="宋体" w:hAnsi="宋体"/>
        </w:rPr>
      </w:pPr>
      <w:r>
        <w:rPr>
          <w:rFonts w:hint="eastAsia" w:ascii="宋体" w:hAnsi="宋体"/>
        </w:rPr>
        <w:t>东实集团举报邮箱：dgsyxf@163.com</w:t>
      </w:r>
    </w:p>
    <w:p w14:paraId="592CB835">
      <w:pPr>
        <w:spacing w:before="120" w:beforeLines="50" w:after="120" w:afterLines="50"/>
        <w:ind w:left="105" w:leftChars="50" w:firstLine="420" w:firstLineChars="200"/>
        <w:contextualSpacing/>
        <w:rPr>
          <w:rFonts w:ascii="宋体" w:hAnsi="宋体"/>
        </w:rPr>
      </w:pPr>
      <w:r>
        <w:rPr>
          <w:rFonts w:hint="eastAsia" w:ascii="宋体" w:hAnsi="宋体"/>
        </w:rPr>
        <w:t>东实集团举报电话：0769-28820703（周一至周五9:00-12:00和14:00-18:00）</w:t>
      </w:r>
    </w:p>
    <w:p w14:paraId="557AF065">
      <w:pPr>
        <w:spacing w:before="120" w:beforeLines="50" w:after="120" w:afterLines="50"/>
        <w:ind w:left="105" w:leftChars="50" w:firstLine="420" w:firstLineChars="200"/>
        <w:contextualSpacing/>
        <w:rPr>
          <w:rFonts w:ascii="宋体" w:hAnsi="宋体"/>
        </w:rPr>
      </w:pPr>
      <w:r>
        <w:rPr>
          <w:rFonts w:hint="eastAsia" w:ascii="宋体" w:hAnsi="宋体"/>
        </w:rPr>
        <w:t>邮寄地址：广东省东莞市松山湖园区新城路5号4栋，</w:t>
      </w:r>
      <w:r>
        <w:rPr>
          <w:rFonts w:hint="eastAsia" w:ascii="宋体" w:hAnsi="宋体"/>
          <w:lang w:eastAsia="zh-CN"/>
        </w:rPr>
        <w:t>东莞市能源投资集团有限公司</w:t>
      </w:r>
      <w:r>
        <w:rPr>
          <w:rFonts w:hint="eastAsia" w:ascii="宋体" w:hAnsi="宋体"/>
          <w:lang w:val="en-US" w:eastAsia="zh-CN"/>
        </w:rPr>
        <w:t>企业管理</w:t>
      </w:r>
      <w:r>
        <w:rPr>
          <w:rFonts w:hint="eastAsia" w:ascii="宋体" w:hAnsi="宋体"/>
        </w:rPr>
        <w:t>部收，邮编523000。</w:t>
      </w:r>
    </w:p>
    <w:p w14:paraId="10FD70A5">
      <w:pPr>
        <w:spacing w:before="120" w:beforeLines="50" w:after="120" w:afterLines="50"/>
        <w:ind w:left="420" w:leftChars="200"/>
        <w:contextualSpacing/>
        <w:rPr>
          <w:rFonts w:ascii="宋体" w:hAnsi="宋体"/>
          <w:b/>
        </w:rPr>
      </w:pPr>
      <w:r>
        <w:rPr>
          <w:rFonts w:hint="eastAsia" w:ascii="宋体" w:hAnsi="宋体"/>
          <w:b/>
        </w:rPr>
        <w:t>三、其他</w:t>
      </w:r>
    </w:p>
    <w:p w14:paraId="1EC1F40A">
      <w:pPr>
        <w:spacing w:before="120" w:beforeLines="50" w:after="120" w:afterLines="50"/>
        <w:ind w:left="105" w:leftChars="50" w:firstLine="420" w:firstLineChars="200"/>
        <w:contextualSpacing/>
        <w:rPr>
          <w:rFonts w:ascii="宋体" w:hAnsi="宋体"/>
        </w:rPr>
      </w:pPr>
      <w:r>
        <w:rPr>
          <w:rFonts w:hint="eastAsia" w:ascii="宋体" w:hAnsi="宋体"/>
        </w:rPr>
        <w:t>1.本协议是原合同的补充协议，与原合同有同等法律效力。</w:t>
      </w:r>
    </w:p>
    <w:p w14:paraId="78B775BA">
      <w:pPr>
        <w:spacing w:before="120" w:beforeLines="50" w:after="120" w:afterLines="50"/>
        <w:ind w:left="105" w:leftChars="50" w:firstLine="420" w:firstLineChars="200"/>
        <w:contextualSpacing/>
        <w:rPr>
          <w:rFonts w:ascii="宋体" w:hAnsi="宋体"/>
        </w:rPr>
      </w:pPr>
      <w:r>
        <w:rPr>
          <w:rFonts w:hint="eastAsia" w:ascii="宋体" w:hAnsi="宋体"/>
        </w:rPr>
        <w:t>2.</w:t>
      </w:r>
      <w:r>
        <w:rPr>
          <w:rFonts w:ascii="宋体" w:hAnsi="宋体"/>
        </w:rPr>
        <w:t>本</w:t>
      </w:r>
      <w:r>
        <w:rPr>
          <w:rFonts w:hint="eastAsia" w:ascii="宋体" w:hAnsi="宋体"/>
        </w:rPr>
        <w:t>协议</w:t>
      </w:r>
      <w:r>
        <w:rPr>
          <w:rFonts w:ascii="宋体" w:hAnsi="宋体"/>
        </w:rPr>
        <w:t>一式</w:t>
      </w:r>
      <w:r>
        <w:rPr>
          <w:rFonts w:hint="eastAsia" w:ascii="宋体" w:hAnsi="宋体"/>
        </w:rPr>
        <w:t>四</w:t>
      </w:r>
      <w:r>
        <w:rPr>
          <w:rFonts w:ascii="宋体" w:hAnsi="宋体"/>
        </w:rPr>
        <w:t>份，甲方执</w:t>
      </w:r>
      <w:r>
        <w:rPr>
          <w:rFonts w:hint="eastAsia" w:ascii="宋体" w:hAnsi="宋体"/>
        </w:rPr>
        <w:t>贰</w:t>
      </w:r>
      <w:r>
        <w:rPr>
          <w:rFonts w:ascii="宋体" w:hAnsi="宋体"/>
        </w:rPr>
        <w:t>份，乙方执</w:t>
      </w:r>
      <w:r>
        <w:rPr>
          <w:rFonts w:hint="eastAsia" w:ascii="宋体" w:hAnsi="宋体"/>
        </w:rPr>
        <w:t>贰</w:t>
      </w:r>
      <w:r>
        <w:rPr>
          <w:rFonts w:ascii="宋体" w:hAnsi="宋体"/>
        </w:rPr>
        <w:t>份</w:t>
      </w:r>
      <w:r>
        <w:rPr>
          <w:rFonts w:hint="eastAsia" w:ascii="宋体" w:hAnsi="宋体"/>
        </w:rPr>
        <w:t>,具有同等法律效力。</w:t>
      </w:r>
    </w:p>
    <w:p w14:paraId="722E83D8">
      <w:pPr>
        <w:spacing w:before="120" w:beforeLines="50" w:after="120" w:afterLines="50"/>
        <w:ind w:left="105" w:leftChars="50" w:firstLine="420" w:firstLineChars="200"/>
        <w:contextualSpacing/>
        <w:rPr>
          <w:rFonts w:ascii="宋体" w:hAnsi="宋体"/>
        </w:rPr>
      </w:pPr>
      <w:r>
        <w:rPr>
          <w:rFonts w:hint="eastAsia" w:ascii="宋体" w:hAnsi="宋体"/>
        </w:rPr>
        <w:t>3.本协议经双方签署后生效。</w:t>
      </w:r>
    </w:p>
    <w:p w14:paraId="61CA4C60">
      <w:pPr>
        <w:spacing w:before="120" w:beforeLines="50" w:after="120" w:afterLines="50"/>
        <w:ind w:firstLine="420" w:firstLineChars="200"/>
        <w:contextualSpacing/>
        <w:rPr>
          <w:rFonts w:ascii="宋体" w:hAnsi="宋体"/>
        </w:rPr>
      </w:pPr>
    </w:p>
    <w:p w14:paraId="543B3E62">
      <w:pPr>
        <w:spacing w:before="120" w:beforeLines="50" w:after="120" w:afterLines="50"/>
        <w:ind w:firstLine="420" w:firstLineChars="200"/>
        <w:contextualSpacing/>
        <w:rPr>
          <w:rFonts w:ascii="宋体"/>
        </w:rPr>
      </w:pPr>
      <w:r>
        <w:rPr>
          <w:rFonts w:hint="eastAsia" w:ascii="宋体" w:hAnsi="宋体"/>
        </w:rPr>
        <w:t xml:space="preserve">甲方（盖章）：                    </w:t>
      </w:r>
      <w:r>
        <w:rPr>
          <w:rFonts w:hint="eastAsia" w:ascii="宋体" w:hAnsi="宋体" w:cs="宋体"/>
          <w:szCs w:val="21"/>
        </w:rPr>
        <w:t xml:space="preserve">           </w:t>
      </w:r>
      <w:r>
        <w:rPr>
          <w:rFonts w:hint="eastAsia" w:ascii="宋体" w:hAnsi="宋体"/>
        </w:rPr>
        <w:t xml:space="preserve">  乙方（盖章）：</w:t>
      </w:r>
      <w:r>
        <w:rPr>
          <w:rFonts w:ascii="宋体"/>
        </w:rPr>
        <w:t xml:space="preserve"> </w:t>
      </w:r>
    </w:p>
    <w:p w14:paraId="4ED8CB91">
      <w:pPr>
        <w:spacing w:before="120" w:beforeLines="50" w:after="120" w:afterLines="50"/>
        <w:ind w:firstLine="420" w:firstLineChars="200"/>
        <w:contextualSpacing/>
        <w:rPr>
          <w:rFonts w:ascii="宋体" w:hAnsi="宋体"/>
        </w:rPr>
      </w:pPr>
    </w:p>
    <w:p w14:paraId="61AF1431">
      <w:pPr>
        <w:spacing w:before="120" w:beforeLines="50" w:after="120" w:afterLines="50"/>
        <w:ind w:firstLine="420" w:firstLineChars="200"/>
        <w:contextualSpacing/>
        <w:rPr>
          <w:rFonts w:ascii="宋体"/>
        </w:rPr>
      </w:pPr>
      <w:r>
        <w:rPr>
          <w:rFonts w:hint="eastAsia" w:ascii="宋体" w:hAnsi="宋体"/>
        </w:rPr>
        <w:t>法定代表人（授权代表）：</w:t>
      </w:r>
      <w:r>
        <w:rPr>
          <w:rFonts w:hint="eastAsia" w:ascii="宋体"/>
        </w:rPr>
        <w:tab/>
      </w:r>
      <w:r>
        <w:rPr>
          <w:rFonts w:hint="eastAsia" w:ascii="宋体"/>
        </w:rPr>
        <w:tab/>
      </w:r>
      <w:r>
        <w:rPr>
          <w:rFonts w:hint="eastAsia" w:ascii="宋体"/>
        </w:rPr>
        <w:t xml:space="preserve">         </w:t>
      </w:r>
      <w:r>
        <w:rPr>
          <w:rFonts w:hint="eastAsia" w:ascii="宋体" w:hAnsi="宋体"/>
        </w:rPr>
        <w:t>法定代表人（授权代表）：</w:t>
      </w:r>
    </w:p>
    <w:p w14:paraId="76A9F59A">
      <w:pPr>
        <w:spacing w:before="120" w:beforeLines="50" w:after="120" w:afterLines="50"/>
        <w:ind w:firstLine="420" w:firstLineChars="200"/>
        <w:contextualSpacing/>
        <w:rPr>
          <w:rFonts w:ascii="宋体" w:hAnsi="宋体"/>
        </w:rPr>
      </w:pPr>
    </w:p>
    <w:p w14:paraId="0D854A43">
      <w:pPr>
        <w:pStyle w:val="30"/>
        <w:ind w:left="0" w:leftChars="0"/>
        <w:rPr>
          <w:rFonts w:hAnsi="宋体" w:cs="宋体"/>
          <w:b w:val="0"/>
          <w:bCs w:val="0"/>
          <w:caps/>
          <w:spacing w:val="80"/>
          <w:sz w:val="21"/>
          <w:szCs w:val="21"/>
        </w:rPr>
      </w:pPr>
      <w:r>
        <w:rPr>
          <w:rFonts w:hint="eastAsia" w:hAnsi="宋体" w:cs="宋体"/>
          <w:b w:val="0"/>
          <w:bCs w:val="0"/>
          <w:sz w:val="21"/>
          <w:szCs w:val="21"/>
        </w:rPr>
        <w:t xml:space="preserve">签约日期：      年  月  日   </w:t>
      </w:r>
      <w:r>
        <w:rPr>
          <w:rFonts w:hint="eastAsia" w:hAnsi="宋体" w:cs="宋体"/>
          <w:b w:val="0"/>
          <w:bCs w:val="0"/>
          <w:sz w:val="21"/>
          <w:szCs w:val="21"/>
        </w:rPr>
        <w:tab/>
      </w:r>
      <w:r>
        <w:rPr>
          <w:rFonts w:hint="eastAsia" w:hAnsi="宋体" w:cs="宋体"/>
          <w:b w:val="0"/>
          <w:bCs w:val="0"/>
          <w:sz w:val="21"/>
          <w:szCs w:val="21"/>
        </w:rPr>
        <w:t xml:space="preserve">                签约日期：      年  月  日</w:t>
      </w:r>
    </w:p>
    <w:p w14:paraId="67C15F25">
      <w:r>
        <w:rPr>
          <w:lang w:bidi="zh-CN"/>
        </w:rPr>
        <w:br w:type="page"/>
      </w:r>
    </w:p>
    <w:p w14:paraId="28781AF8">
      <w:pPr>
        <w:pStyle w:val="5"/>
        <w:spacing w:before="0" w:after="0" w:line="240" w:lineRule="auto"/>
        <w:rPr>
          <w:sz w:val="28"/>
          <w:szCs w:val="28"/>
        </w:rPr>
      </w:pPr>
      <w:bookmarkStart w:id="232" w:name="_Toc5002"/>
      <w:bookmarkStart w:id="233" w:name="_Toc31795"/>
      <w:r>
        <w:rPr>
          <w:rFonts w:hint="eastAsia"/>
          <w:sz w:val="28"/>
          <w:szCs w:val="28"/>
        </w:rPr>
        <w:t>第六部分附件－投标文件格式</w:t>
      </w:r>
      <w:bookmarkEnd w:id="232"/>
      <w:bookmarkEnd w:id="233"/>
    </w:p>
    <w:p w14:paraId="49BA1E73"/>
    <w:p w14:paraId="42627C91">
      <w:pPr>
        <w:pStyle w:val="7"/>
        <w:widowControl w:val="0"/>
        <w:overflowPunct w:val="0"/>
        <w:spacing w:line="240" w:lineRule="auto"/>
        <w:rPr>
          <w:rFonts w:ascii="宋体" w:hAnsi="宋体"/>
          <w:sz w:val="21"/>
          <w:szCs w:val="21"/>
        </w:rPr>
      </w:pPr>
      <w:bookmarkStart w:id="234" w:name="_Toc20331"/>
      <w:bookmarkStart w:id="235" w:name="_Toc21237"/>
      <w:r>
        <w:rPr>
          <w:rFonts w:hint="eastAsia" w:ascii="宋体" w:hAnsi="宋体"/>
          <w:sz w:val="21"/>
          <w:szCs w:val="21"/>
        </w:rPr>
        <w:t>投标文件目录</w:t>
      </w:r>
      <w:bookmarkEnd w:id="234"/>
      <w:bookmarkEnd w:id="235"/>
    </w:p>
    <w:p w14:paraId="498ECAA1">
      <w:pPr>
        <w:jc w:val="center"/>
        <w:rPr>
          <w:rFonts w:ascii="黑体" w:eastAsia="黑体"/>
          <w:sz w:val="32"/>
          <w:szCs w:val="32"/>
        </w:rPr>
      </w:pPr>
    </w:p>
    <w:p w14:paraId="2978757F">
      <w:pPr>
        <w:jc w:val="center"/>
        <w:rPr>
          <w:rFonts w:ascii="黑体" w:eastAsia="黑体"/>
          <w:sz w:val="32"/>
          <w:szCs w:val="32"/>
        </w:rPr>
      </w:pPr>
      <w:r>
        <w:rPr>
          <w:rFonts w:hint="eastAsia" w:ascii="黑体" w:eastAsia="黑体"/>
          <w:sz w:val="32"/>
          <w:szCs w:val="32"/>
        </w:rPr>
        <w:t>目录</w:t>
      </w:r>
    </w:p>
    <w:p w14:paraId="0812EEAF">
      <w:pPr>
        <w:adjustRightInd/>
        <w:snapToGrid/>
        <w:spacing w:line="276" w:lineRule="auto"/>
        <w:rPr>
          <w:rFonts w:ascii="宋体" w:hAnsi="宋体"/>
          <w:szCs w:val="21"/>
        </w:rPr>
      </w:pPr>
      <w:r>
        <w:rPr>
          <w:rFonts w:hint="eastAsia" w:ascii="宋体" w:hAnsi="宋体"/>
          <w:szCs w:val="21"/>
        </w:rPr>
        <w:t>格式自理。</w:t>
      </w:r>
    </w:p>
    <w:p w14:paraId="5067EDAE">
      <w:pPr>
        <w:adjustRightInd/>
        <w:snapToGrid/>
        <w:spacing w:line="276" w:lineRule="auto"/>
        <w:rPr>
          <w:rFonts w:ascii="宋体" w:hAnsi="宋体"/>
          <w:szCs w:val="21"/>
        </w:rPr>
      </w:pPr>
    </w:p>
    <w:p w14:paraId="7665A849">
      <w:pPr>
        <w:adjustRightInd/>
        <w:snapToGrid/>
        <w:spacing w:line="276" w:lineRule="auto"/>
        <w:rPr>
          <w:rFonts w:ascii="宋体" w:hAnsi="宋体"/>
          <w:szCs w:val="21"/>
        </w:rPr>
      </w:pPr>
    </w:p>
    <w:p w14:paraId="01AE901A">
      <w:pPr>
        <w:adjustRightInd/>
        <w:snapToGrid/>
        <w:spacing w:line="276" w:lineRule="auto"/>
        <w:rPr>
          <w:rFonts w:ascii="宋体" w:hAnsi="宋体"/>
          <w:szCs w:val="21"/>
        </w:rPr>
      </w:pPr>
      <w:r>
        <w:rPr>
          <w:rFonts w:hint="eastAsia" w:ascii="宋体" w:hAnsi="宋体"/>
          <w:szCs w:val="21"/>
        </w:rPr>
        <w:t>注：</w:t>
      </w:r>
    </w:p>
    <w:p w14:paraId="17D19C87">
      <w:pPr>
        <w:adjustRightInd/>
        <w:snapToGrid/>
        <w:spacing w:line="276" w:lineRule="auto"/>
        <w:rPr>
          <w:rFonts w:ascii="宋体" w:hAnsi="宋体"/>
          <w:szCs w:val="21"/>
        </w:rPr>
      </w:pPr>
      <w:r>
        <w:rPr>
          <w:rFonts w:hint="eastAsia" w:ascii="宋体" w:hAnsi="宋体"/>
          <w:szCs w:val="21"/>
        </w:rPr>
        <w:t>1、投标人制作的投标文件应当具备目录。</w:t>
      </w:r>
      <w:r>
        <w:rPr>
          <w:rFonts w:ascii="宋体" w:hAnsi="宋体"/>
          <w:szCs w:val="21"/>
        </w:rPr>
        <w:br w:type="page"/>
      </w:r>
    </w:p>
    <w:p w14:paraId="37A2BB5C">
      <w:pPr>
        <w:pStyle w:val="7"/>
        <w:widowControl w:val="0"/>
        <w:overflowPunct w:val="0"/>
        <w:spacing w:line="240" w:lineRule="auto"/>
        <w:rPr>
          <w:rFonts w:ascii="宋体" w:hAnsi="宋体"/>
          <w:sz w:val="21"/>
          <w:szCs w:val="21"/>
        </w:rPr>
      </w:pPr>
      <w:bookmarkStart w:id="236" w:name="_Toc7533"/>
      <w:bookmarkStart w:id="237" w:name="_Toc7168"/>
      <w:r>
        <w:rPr>
          <w:rFonts w:hint="eastAsia" w:ascii="宋体" w:hAnsi="宋体"/>
          <w:sz w:val="21"/>
          <w:szCs w:val="21"/>
        </w:rPr>
        <w:t>附件1.评分标准索引表</w:t>
      </w:r>
      <w:bookmarkEnd w:id="236"/>
      <w:bookmarkEnd w:id="237"/>
    </w:p>
    <w:p w14:paraId="48D9D6FF">
      <w:pPr>
        <w:adjustRightInd/>
        <w:snapToGrid/>
        <w:spacing w:line="276" w:lineRule="auto"/>
        <w:rPr>
          <w:rFonts w:ascii="宋体" w:hAnsi="宋体"/>
          <w:szCs w:val="21"/>
        </w:rPr>
      </w:pPr>
    </w:p>
    <w:p w14:paraId="2DD62321">
      <w:pPr>
        <w:jc w:val="center"/>
        <w:rPr>
          <w:rFonts w:ascii="黑体" w:eastAsia="黑体"/>
          <w:sz w:val="32"/>
          <w:szCs w:val="32"/>
        </w:rPr>
      </w:pPr>
      <w:r>
        <w:rPr>
          <w:rFonts w:hint="eastAsia" w:ascii="黑体" w:eastAsia="黑体"/>
          <w:sz w:val="32"/>
          <w:szCs w:val="32"/>
        </w:rPr>
        <w:t>评分标准索引表</w:t>
      </w:r>
    </w:p>
    <w:tbl>
      <w:tblPr>
        <w:tblStyle w:val="3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14:paraId="00050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704" w:type="dxa"/>
            <w:vAlign w:val="center"/>
          </w:tcPr>
          <w:p w14:paraId="13BE7F18">
            <w:pPr>
              <w:jc w:val="center"/>
              <w:rPr>
                <w:rFonts w:ascii="宋体" w:hAnsi="宋体" w:cs="宋体"/>
              </w:rPr>
            </w:pPr>
            <w:r>
              <w:rPr>
                <w:rFonts w:hint="eastAsia" w:ascii="宋体" w:hAnsi="宋体" w:cs="宋体"/>
              </w:rPr>
              <w:t>序号</w:t>
            </w:r>
          </w:p>
        </w:tc>
        <w:tc>
          <w:tcPr>
            <w:tcW w:w="1704" w:type="dxa"/>
            <w:vAlign w:val="center"/>
          </w:tcPr>
          <w:p w14:paraId="10D32092">
            <w:pPr>
              <w:jc w:val="center"/>
              <w:rPr>
                <w:rFonts w:ascii="宋体" w:hAnsi="宋体" w:cs="宋体"/>
                <w:highlight w:val="none"/>
              </w:rPr>
            </w:pPr>
            <w:r>
              <w:rPr>
                <w:rFonts w:hint="eastAsia" w:ascii="宋体" w:hAnsi="宋体" w:cs="宋体"/>
                <w:highlight w:val="none"/>
              </w:rPr>
              <w:t>评审项目</w:t>
            </w:r>
          </w:p>
        </w:tc>
        <w:tc>
          <w:tcPr>
            <w:tcW w:w="1704" w:type="dxa"/>
            <w:vAlign w:val="center"/>
          </w:tcPr>
          <w:p w14:paraId="1BD2C96D">
            <w:pPr>
              <w:jc w:val="center"/>
              <w:rPr>
                <w:rFonts w:ascii="宋体" w:hAnsi="宋体" w:cs="宋体"/>
                <w:highlight w:val="none"/>
              </w:rPr>
            </w:pPr>
            <w:r>
              <w:rPr>
                <w:rFonts w:hint="eastAsia" w:ascii="宋体" w:hAnsi="宋体" w:cs="宋体"/>
                <w:highlight w:val="none"/>
              </w:rPr>
              <w:t>评审细则</w:t>
            </w:r>
          </w:p>
        </w:tc>
        <w:tc>
          <w:tcPr>
            <w:tcW w:w="1705" w:type="dxa"/>
            <w:vAlign w:val="center"/>
          </w:tcPr>
          <w:p w14:paraId="3E23274C">
            <w:pPr>
              <w:jc w:val="center"/>
              <w:rPr>
                <w:rFonts w:ascii="宋体" w:hAnsi="宋体" w:cs="宋体"/>
                <w:highlight w:val="none"/>
              </w:rPr>
            </w:pPr>
            <w:r>
              <w:rPr>
                <w:rFonts w:hint="eastAsia" w:ascii="宋体" w:hAnsi="宋体" w:cs="宋体"/>
                <w:highlight w:val="none"/>
              </w:rPr>
              <w:t>分值</w:t>
            </w:r>
          </w:p>
        </w:tc>
        <w:tc>
          <w:tcPr>
            <w:tcW w:w="1705" w:type="dxa"/>
            <w:vAlign w:val="center"/>
          </w:tcPr>
          <w:p w14:paraId="4B2473B8">
            <w:pPr>
              <w:jc w:val="center"/>
              <w:rPr>
                <w:rFonts w:ascii="宋体" w:hAnsi="宋体" w:cs="宋体"/>
              </w:rPr>
            </w:pPr>
            <w:r>
              <w:rPr>
                <w:rFonts w:hint="eastAsia" w:ascii="宋体" w:hAnsi="宋体" w:cs="宋体"/>
              </w:rPr>
              <w:t>页码范围</w:t>
            </w:r>
          </w:p>
        </w:tc>
      </w:tr>
      <w:tr w14:paraId="01EC0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8522" w:type="dxa"/>
            <w:gridSpan w:val="5"/>
            <w:vAlign w:val="center"/>
          </w:tcPr>
          <w:p w14:paraId="2E2F5628">
            <w:pPr>
              <w:rPr>
                <w:rFonts w:ascii="宋体" w:hAnsi="宋体" w:cs="宋体"/>
              </w:rPr>
            </w:pPr>
            <w:r>
              <w:rPr>
                <w:rFonts w:hint="eastAsia" w:ascii="宋体" w:hAnsi="宋体" w:cs="宋体"/>
              </w:rPr>
              <w:t>商务评审</w:t>
            </w:r>
          </w:p>
        </w:tc>
      </w:tr>
      <w:tr w14:paraId="6064E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704" w:type="dxa"/>
            <w:vAlign w:val="center"/>
          </w:tcPr>
          <w:p w14:paraId="0F57493F">
            <w:pPr>
              <w:jc w:val="center"/>
              <w:rPr>
                <w:rFonts w:ascii="宋体" w:hAnsi="宋体" w:cs="宋体"/>
              </w:rPr>
            </w:pPr>
          </w:p>
        </w:tc>
        <w:tc>
          <w:tcPr>
            <w:tcW w:w="1704" w:type="dxa"/>
            <w:vAlign w:val="center"/>
          </w:tcPr>
          <w:p w14:paraId="0BE07715">
            <w:pPr>
              <w:jc w:val="center"/>
              <w:rPr>
                <w:rFonts w:ascii="宋体" w:hAnsi="宋体" w:cs="宋体"/>
              </w:rPr>
            </w:pPr>
          </w:p>
        </w:tc>
        <w:tc>
          <w:tcPr>
            <w:tcW w:w="1704" w:type="dxa"/>
            <w:vAlign w:val="center"/>
          </w:tcPr>
          <w:p w14:paraId="0CDAB3C1">
            <w:pPr>
              <w:jc w:val="center"/>
              <w:rPr>
                <w:rFonts w:ascii="宋体" w:hAnsi="宋体" w:cs="宋体"/>
              </w:rPr>
            </w:pPr>
          </w:p>
        </w:tc>
        <w:tc>
          <w:tcPr>
            <w:tcW w:w="1705" w:type="dxa"/>
            <w:vAlign w:val="center"/>
          </w:tcPr>
          <w:p w14:paraId="71144D33">
            <w:pPr>
              <w:jc w:val="center"/>
              <w:rPr>
                <w:rFonts w:ascii="宋体" w:hAnsi="宋体" w:cs="宋体"/>
              </w:rPr>
            </w:pPr>
          </w:p>
        </w:tc>
        <w:tc>
          <w:tcPr>
            <w:tcW w:w="1705" w:type="dxa"/>
            <w:vAlign w:val="center"/>
          </w:tcPr>
          <w:p w14:paraId="1C0868EC">
            <w:pPr>
              <w:jc w:val="center"/>
              <w:rPr>
                <w:rFonts w:ascii="宋体" w:hAnsi="宋体" w:cs="宋体"/>
              </w:rPr>
            </w:pPr>
          </w:p>
        </w:tc>
      </w:tr>
      <w:tr w14:paraId="1C211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704" w:type="dxa"/>
            <w:vAlign w:val="center"/>
          </w:tcPr>
          <w:p w14:paraId="39085BA4">
            <w:pPr>
              <w:jc w:val="center"/>
              <w:rPr>
                <w:rFonts w:ascii="宋体" w:hAnsi="宋体" w:cs="宋体"/>
              </w:rPr>
            </w:pPr>
          </w:p>
        </w:tc>
        <w:tc>
          <w:tcPr>
            <w:tcW w:w="1704" w:type="dxa"/>
            <w:vAlign w:val="center"/>
          </w:tcPr>
          <w:p w14:paraId="6D76C98A">
            <w:pPr>
              <w:jc w:val="center"/>
              <w:rPr>
                <w:rFonts w:ascii="宋体" w:hAnsi="宋体" w:cs="宋体"/>
              </w:rPr>
            </w:pPr>
          </w:p>
        </w:tc>
        <w:tc>
          <w:tcPr>
            <w:tcW w:w="1704" w:type="dxa"/>
            <w:vAlign w:val="center"/>
          </w:tcPr>
          <w:p w14:paraId="269F4694">
            <w:pPr>
              <w:jc w:val="center"/>
              <w:rPr>
                <w:rFonts w:ascii="宋体" w:hAnsi="宋体" w:cs="宋体"/>
              </w:rPr>
            </w:pPr>
          </w:p>
        </w:tc>
        <w:tc>
          <w:tcPr>
            <w:tcW w:w="1705" w:type="dxa"/>
            <w:vAlign w:val="center"/>
          </w:tcPr>
          <w:p w14:paraId="50314A46">
            <w:pPr>
              <w:jc w:val="center"/>
              <w:rPr>
                <w:rFonts w:ascii="宋体" w:hAnsi="宋体" w:cs="宋体"/>
              </w:rPr>
            </w:pPr>
          </w:p>
        </w:tc>
        <w:tc>
          <w:tcPr>
            <w:tcW w:w="1705" w:type="dxa"/>
            <w:vAlign w:val="center"/>
          </w:tcPr>
          <w:p w14:paraId="4C383F45">
            <w:pPr>
              <w:jc w:val="center"/>
              <w:rPr>
                <w:rFonts w:ascii="宋体" w:hAnsi="宋体" w:cs="宋体"/>
              </w:rPr>
            </w:pPr>
          </w:p>
        </w:tc>
      </w:tr>
      <w:tr w14:paraId="2127B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704" w:type="dxa"/>
            <w:vAlign w:val="center"/>
          </w:tcPr>
          <w:p w14:paraId="789E8817">
            <w:pPr>
              <w:jc w:val="center"/>
              <w:rPr>
                <w:rFonts w:ascii="宋体" w:hAnsi="宋体" w:cs="宋体"/>
              </w:rPr>
            </w:pPr>
          </w:p>
        </w:tc>
        <w:tc>
          <w:tcPr>
            <w:tcW w:w="1704" w:type="dxa"/>
            <w:vAlign w:val="center"/>
          </w:tcPr>
          <w:p w14:paraId="704D604D">
            <w:pPr>
              <w:jc w:val="center"/>
              <w:rPr>
                <w:rFonts w:ascii="宋体" w:hAnsi="宋体" w:cs="宋体"/>
              </w:rPr>
            </w:pPr>
          </w:p>
        </w:tc>
        <w:tc>
          <w:tcPr>
            <w:tcW w:w="1704" w:type="dxa"/>
            <w:vAlign w:val="center"/>
          </w:tcPr>
          <w:p w14:paraId="0BE6511C">
            <w:pPr>
              <w:jc w:val="center"/>
              <w:rPr>
                <w:rFonts w:ascii="宋体" w:hAnsi="宋体" w:cs="宋体"/>
              </w:rPr>
            </w:pPr>
          </w:p>
        </w:tc>
        <w:tc>
          <w:tcPr>
            <w:tcW w:w="1705" w:type="dxa"/>
            <w:vAlign w:val="center"/>
          </w:tcPr>
          <w:p w14:paraId="618863C6">
            <w:pPr>
              <w:jc w:val="center"/>
              <w:rPr>
                <w:rFonts w:ascii="宋体" w:hAnsi="宋体" w:cs="宋体"/>
              </w:rPr>
            </w:pPr>
          </w:p>
        </w:tc>
        <w:tc>
          <w:tcPr>
            <w:tcW w:w="1705" w:type="dxa"/>
            <w:vAlign w:val="center"/>
          </w:tcPr>
          <w:p w14:paraId="3EE62E77">
            <w:pPr>
              <w:jc w:val="center"/>
              <w:rPr>
                <w:rFonts w:ascii="宋体" w:hAnsi="宋体" w:cs="宋体"/>
              </w:rPr>
            </w:pPr>
          </w:p>
        </w:tc>
      </w:tr>
      <w:tr w14:paraId="075C2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8522" w:type="dxa"/>
            <w:gridSpan w:val="5"/>
            <w:vAlign w:val="center"/>
          </w:tcPr>
          <w:p w14:paraId="032AEEEE">
            <w:pPr>
              <w:rPr>
                <w:rFonts w:ascii="宋体" w:hAnsi="宋体" w:cs="宋体"/>
              </w:rPr>
            </w:pPr>
            <w:r>
              <w:rPr>
                <w:rFonts w:hint="eastAsia" w:ascii="宋体" w:hAnsi="宋体" w:cs="宋体"/>
              </w:rPr>
              <w:t>技术评审</w:t>
            </w:r>
          </w:p>
        </w:tc>
      </w:tr>
      <w:tr w14:paraId="3D67E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704" w:type="dxa"/>
            <w:vAlign w:val="center"/>
          </w:tcPr>
          <w:p w14:paraId="6C864DBA">
            <w:pPr>
              <w:jc w:val="center"/>
              <w:rPr>
                <w:rFonts w:ascii="宋体" w:hAnsi="宋体" w:cs="宋体"/>
              </w:rPr>
            </w:pPr>
          </w:p>
        </w:tc>
        <w:tc>
          <w:tcPr>
            <w:tcW w:w="1704" w:type="dxa"/>
            <w:vAlign w:val="center"/>
          </w:tcPr>
          <w:p w14:paraId="48FCF0A1">
            <w:pPr>
              <w:jc w:val="center"/>
              <w:rPr>
                <w:rFonts w:ascii="宋体" w:hAnsi="宋体" w:cs="宋体"/>
              </w:rPr>
            </w:pPr>
          </w:p>
        </w:tc>
        <w:tc>
          <w:tcPr>
            <w:tcW w:w="1704" w:type="dxa"/>
            <w:vAlign w:val="center"/>
          </w:tcPr>
          <w:p w14:paraId="2A11FCDC">
            <w:pPr>
              <w:jc w:val="center"/>
              <w:rPr>
                <w:rFonts w:ascii="宋体" w:hAnsi="宋体" w:cs="宋体"/>
              </w:rPr>
            </w:pPr>
          </w:p>
        </w:tc>
        <w:tc>
          <w:tcPr>
            <w:tcW w:w="1705" w:type="dxa"/>
            <w:vAlign w:val="center"/>
          </w:tcPr>
          <w:p w14:paraId="02AC666A">
            <w:pPr>
              <w:jc w:val="center"/>
              <w:rPr>
                <w:rFonts w:ascii="宋体" w:hAnsi="宋体" w:cs="宋体"/>
              </w:rPr>
            </w:pPr>
          </w:p>
        </w:tc>
        <w:tc>
          <w:tcPr>
            <w:tcW w:w="1705" w:type="dxa"/>
            <w:vAlign w:val="center"/>
          </w:tcPr>
          <w:p w14:paraId="14EB91D6">
            <w:pPr>
              <w:jc w:val="center"/>
              <w:rPr>
                <w:rFonts w:ascii="宋体" w:hAnsi="宋体" w:cs="宋体"/>
              </w:rPr>
            </w:pPr>
          </w:p>
        </w:tc>
      </w:tr>
      <w:tr w14:paraId="14D64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704" w:type="dxa"/>
            <w:vAlign w:val="center"/>
          </w:tcPr>
          <w:p w14:paraId="54E1A42A">
            <w:pPr>
              <w:jc w:val="center"/>
              <w:rPr>
                <w:rFonts w:ascii="宋体" w:hAnsi="宋体" w:cs="宋体"/>
              </w:rPr>
            </w:pPr>
          </w:p>
        </w:tc>
        <w:tc>
          <w:tcPr>
            <w:tcW w:w="1704" w:type="dxa"/>
            <w:vAlign w:val="center"/>
          </w:tcPr>
          <w:p w14:paraId="027E61DB">
            <w:pPr>
              <w:jc w:val="center"/>
              <w:rPr>
                <w:rFonts w:ascii="宋体" w:hAnsi="宋体" w:cs="宋体"/>
              </w:rPr>
            </w:pPr>
          </w:p>
        </w:tc>
        <w:tc>
          <w:tcPr>
            <w:tcW w:w="1704" w:type="dxa"/>
            <w:vAlign w:val="center"/>
          </w:tcPr>
          <w:p w14:paraId="10313B37">
            <w:pPr>
              <w:jc w:val="center"/>
              <w:rPr>
                <w:rFonts w:ascii="宋体" w:hAnsi="宋体" w:cs="宋体"/>
              </w:rPr>
            </w:pPr>
          </w:p>
        </w:tc>
        <w:tc>
          <w:tcPr>
            <w:tcW w:w="1705" w:type="dxa"/>
            <w:vAlign w:val="center"/>
          </w:tcPr>
          <w:p w14:paraId="63E1889E">
            <w:pPr>
              <w:jc w:val="center"/>
              <w:rPr>
                <w:rFonts w:ascii="宋体" w:hAnsi="宋体" w:cs="宋体"/>
              </w:rPr>
            </w:pPr>
          </w:p>
        </w:tc>
        <w:tc>
          <w:tcPr>
            <w:tcW w:w="1705" w:type="dxa"/>
            <w:vAlign w:val="center"/>
          </w:tcPr>
          <w:p w14:paraId="09D5E45C">
            <w:pPr>
              <w:jc w:val="center"/>
              <w:rPr>
                <w:rFonts w:ascii="宋体" w:hAnsi="宋体" w:cs="宋体"/>
              </w:rPr>
            </w:pPr>
          </w:p>
        </w:tc>
      </w:tr>
      <w:tr w14:paraId="2E46E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704" w:type="dxa"/>
            <w:vAlign w:val="center"/>
          </w:tcPr>
          <w:p w14:paraId="686CEFA6">
            <w:pPr>
              <w:jc w:val="center"/>
              <w:rPr>
                <w:rFonts w:ascii="宋体" w:hAnsi="宋体" w:cs="宋体"/>
              </w:rPr>
            </w:pPr>
          </w:p>
        </w:tc>
        <w:tc>
          <w:tcPr>
            <w:tcW w:w="1704" w:type="dxa"/>
            <w:vAlign w:val="center"/>
          </w:tcPr>
          <w:p w14:paraId="7646000D">
            <w:pPr>
              <w:jc w:val="center"/>
              <w:rPr>
                <w:rFonts w:ascii="宋体" w:hAnsi="宋体" w:cs="宋体"/>
              </w:rPr>
            </w:pPr>
          </w:p>
        </w:tc>
        <w:tc>
          <w:tcPr>
            <w:tcW w:w="1704" w:type="dxa"/>
            <w:vAlign w:val="center"/>
          </w:tcPr>
          <w:p w14:paraId="0B10A365">
            <w:pPr>
              <w:jc w:val="center"/>
              <w:rPr>
                <w:rFonts w:ascii="宋体" w:hAnsi="宋体" w:cs="宋体"/>
              </w:rPr>
            </w:pPr>
          </w:p>
        </w:tc>
        <w:tc>
          <w:tcPr>
            <w:tcW w:w="1705" w:type="dxa"/>
            <w:vAlign w:val="center"/>
          </w:tcPr>
          <w:p w14:paraId="218112B8">
            <w:pPr>
              <w:jc w:val="center"/>
              <w:rPr>
                <w:rFonts w:ascii="宋体" w:hAnsi="宋体" w:cs="宋体"/>
              </w:rPr>
            </w:pPr>
          </w:p>
        </w:tc>
        <w:tc>
          <w:tcPr>
            <w:tcW w:w="1705" w:type="dxa"/>
            <w:vAlign w:val="center"/>
          </w:tcPr>
          <w:p w14:paraId="17D1C61E">
            <w:pPr>
              <w:jc w:val="center"/>
              <w:rPr>
                <w:rFonts w:ascii="宋体" w:hAnsi="宋体" w:cs="宋体"/>
              </w:rPr>
            </w:pPr>
          </w:p>
        </w:tc>
      </w:tr>
    </w:tbl>
    <w:p w14:paraId="63263A21">
      <w:pPr>
        <w:rPr>
          <w:rFonts w:ascii="宋体" w:hAnsi="宋体"/>
          <w:szCs w:val="21"/>
        </w:rPr>
      </w:pPr>
    </w:p>
    <w:p w14:paraId="38AD82B1">
      <w:pPr>
        <w:rPr>
          <w:rFonts w:ascii="宋体" w:hAnsi="宋体"/>
          <w:szCs w:val="21"/>
        </w:rPr>
      </w:pPr>
      <w:r>
        <w:rPr>
          <w:rFonts w:hint="eastAsia" w:ascii="宋体" w:hAnsi="宋体"/>
          <w:szCs w:val="21"/>
        </w:rPr>
        <w:t>注：</w:t>
      </w:r>
    </w:p>
    <w:p w14:paraId="465E29BD">
      <w:pPr>
        <w:numPr>
          <w:ilvl w:val="0"/>
          <w:numId w:val="8"/>
        </w:numPr>
        <w:rPr>
          <w:rFonts w:ascii="宋体" w:hAnsi="宋体"/>
          <w:szCs w:val="21"/>
        </w:rPr>
      </w:pPr>
      <w:r>
        <w:rPr>
          <w:rFonts w:hint="eastAsia" w:ascii="宋体" w:hAnsi="宋体"/>
          <w:szCs w:val="21"/>
        </w:rPr>
        <w:t>该表格为参考格式，投标人可按实际情况自行制订评分标准索引表。</w:t>
      </w:r>
    </w:p>
    <w:p w14:paraId="426193E9">
      <w:pPr>
        <w:pStyle w:val="2"/>
        <w:spacing w:before="0"/>
        <w:ind w:left="0"/>
      </w:pPr>
    </w:p>
    <w:p w14:paraId="0FE279FA">
      <w:pPr>
        <w:adjustRightInd/>
        <w:snapToGrid/>
        <w:spacing w:line="276" w:lineRule="auto"/>
        <w:rPr>
          <w:rFonts w:ascii="宋体" w:hAnsi="宋体"/>
          <w:szCs w:val="21"/>
        </w:rPr>
      </w:pPr>
    </w:p>
    <w:p w14:paraId="18FDC481">
      <w:pPr>
        <w:adjustRightInd/>
        <w:snapToGrid/>
        <w:spacing w:line="276" w:lineRule="auto"/>
        <w:rPr>
          <w:rFonts w:ascii="宋体" w:hAnsi="宋体"/>
          <w:szCs w:val="21"/>
        </w:rPr>
      </w:pPr>
    </w:p>
    <w:p w14:paraId="34D998E6">
      <w:pPr>
        <w:adjustRightInd/>
        <w:snapToGrid/>
        <w:spacing w:line="276" w:lineRule="auto"/>
        <w:rPr>
          <w:rFonts w:ascii="宋体" w:hAnsi="宋体"/>
          <w:szCs w:val="21"/>
        </w:rPr>
      </w:pPr>
    </w:p>
    <w:p w14:paraId="412F82A8">
      <w:pPr>
        <w:adjustRightInd/>
        <w:snapToGrid/>
        <w:spacing w:line="276" w:lineRule="auto"/>
        <w:rPr>
          <w:rFonts w:ascii="宋体" w:hAnsi="宋体"/>
          <w:szCs w:val="21"/>
        </w:rPr>
      </w:pPr>
    </w:p>
    <w:p w14:paraId="3937F9C5">
      <w:pPr>
        <w:adjustRightInd/>
        <w:snapToGrid/>
        <w:spacing w:line="276" w:lineRule="auto"/>
        <w:rPr>
          <w:rFonts w:ascii="宋体" w:hAnsi="宋体"/>
          <w:szCs w:val="21"/>
        </w:rPr>
      </w:pPr>
    </w:p>
    <w:p w14:paraId="362A7C04">
      <w:pPr>
        <w:adjustRightInd/>
        <w:snapToGrid/>
        <w:spacing w:line="276" w:lineRule="auto"/>
        <w:rPr>
          <w:rFonts w:ascii="宋体" w:hAnsi="宋体"/>
          <w:szCs w:val="21"/>
        </w:rPr>
      </w:pPr>
      <w:r>
        <w:rPr>
          <w:rFonts w:ascii="宋体" w:hAnsi="宋体"/>
          <w:szCs w:val="21"/>
        </w:rPr>
        <w:br w:type="page"/>
      </w:r>
    </w:p>
    <w:p w14:paraId="3B2E526F">
      <w:pPr>
        <w:jc w:val="center"/>
        <w:rPr>
          <w:rFonts w:ascii="黑体" w:eastAsia="黑体"/>
          <w:sz w:val="52"/>
          <w:szCs w:val="52"/>
        </w:rPr>
      </w:pPr>
      <w:bookmarkStart w:id="238" w:name="_Toc18450"/>
      <w:bookmarkStart w:id="239" w:name="_Toc30918"/>
      <w:bookmarkStart w:id="240" w:name="_Toc28154"/>
      <w:bookmarkStart w:id="241" w:name="_Toc20335"/>
      <w:bookmarkStart w:id="242" w:name="_Toc21746"/>
    </w:p>
    <w:p w14:paraId="487CC7CF">
      <w:pPr>
        <w:pStyle w:val="6"/>
        <w:spacing w:before="0" w:after="0" w:line="360" w:lineRule="auto"/>
        <w:jc w:val="center"/>
        <w:rPr>
          <w:sz w:val="72"/>
          <w:szCs w:val="72"/>
        </w:rPr>
      </w:pPr>
      <w:bookmarkStart w:id="243" w:name="_Toc28068"/>
      <w:bookmarkStart w:id="244" w:name="_Toc4381"/>
      <w:r>
        <w:rPr>
          <w:rFonts w:hint="eastAsia"/>
          <w:sz w:val="72"/>
          <w:szCs w:val="72"/>
        </w:rPr>
        <w:t>价格文件</w:t>
      </w:r>
      <w:bookmarkEnd w:id="238"/>
      <w:bookmarkEnd w:id="239"/>
      <w:bookmarkEnd w:id="243"/>
      <w:bookmarkEnd w:id="244"/>
      <w:bookmarkStart w:id="245" w:name="_Hlt10519799"/>
      <w:bookmarkEnd w:id="245"/>
      <w:bookmarkStart w:id="246" w:name="_Hlt10456397"/>
      <w:bookmarkEnd w:id="246"/>
    </w:p>
    <w:p w14:paraId="0F3C8C6E">
      <w:pPr>
        <w:jc w:val="center"/>
        <w:rPr>
          <w:rFonts w:ascii="黑体" w:eastAsia="黑体"/>
          <w:sz w:val="72"/>
          <w:szCs w:val="72"/>
        </w:rPr>
      </w:pPr>
      <w:r>
        <w:rPr>
          <w:rFonts w:hint="eastAsia" w:ascii="黑体" w:eastAsia="黑体"/>
          <w:sz w:val="72"/>
          <w:szCs w:val="72"/>
        </w:rPr>
        <w:t>（单独装订成册）</w:t>
      </w:r>
      <w:bookmarkEnd w:id="240"/>
      <w:bookmarkEnd w:id="241"/>
      <w:bookmarkEnd w:id="242"/>
    </w:p>
    <w:p w14:paraId="62950AFC"/>
    <w:p w14:paraId="77FEEAA5">
      <w:pPr>
        <w:pStyle w:val="2"/>
      </w:pPr>
    </w:p>
    <w:p w14:paraId="0D174DC7">
      <w:pPr>
        <w:pStyle w:val="29"/>
        <w:keepNext w:val="0"/>
        <w:keepLines w:val="0"/>
        <w:pageBreakBefore w:val="0"/>
        <w:widowControl/>
        <w:kinsoku/>
        <w:wordWrap/>
        <w:overflowPunct/>
        <w:topLinePunct w:val="0"/>
        <w:autoSpaceDE/>
        <w:autoSpaceDN/>
        <w:bidi w:val="0"/>
        <w:adjustRightInd w:val="0"/>
        <w:snapToGrid w:val="0"/>
        <w:spacing w:before="0" w:after="0" w:afterAutospacing="0" w:line="360" w:lineRule="auto"/>
        <w:ind w:left="0" w:firstLine="240"/>
        <w:textAlignment w:val="auto"/>
      </w:pPr>
    </w:p>
    <w:p w14:paraId="187F5E79">
      <w:pPr>
        <w:keepNext w:val="0"/>
        <w:keepLines w:val="0"/>
        <w:pageBreakBefore w:val="0"/>
        <w:widowControl/>
        <w:kinsoku/>
        <w:wordWrap/>
        <w:overflowPunct/>
        <w:topLinePunct w:val="0"/>
        <w:autoSpaceDE/>
        <w:autoSpaceDN/>
        <w:bidi w:val="0"/>
        <w:adjustRightInd w:val="0"/>
        <w:snapToGrid w:val="0"/>
        <w:spacing w:afterAutospacing="0" w:line="360" w:lineRule="auto"/>
        <w:ind w:left="0"/>
        <w:textAlignment w:val="auto"/>
        <w:rPr>
          <w:rFonts w:ascii="宋体" w:hAnsi="宋体" w:cs="宋体"/>
          <w:b/>
          <w:bCs/>
          <w:spacing w:val="-6"/>
          <w:sz w:val="32"/>
          <w:szCs w:val="32"/>
        </w:rPr>
      </w:pPr>
      <w:r>
        <w:rPr>
          <w:rFonts w:hint="eastAsia" w:ascii="宋体" w:hAnsi="宋体" w:cs="宋体"/>
          <w:b/>
          <w:bCs/>
          <w:spacing w:val="53"/>
          <w:kern w:val="0"/>
          <w:sz w:val="32"/>
          <w:szCs w:val="32"/>
          <w:fitText w:val="1600" w:id="1947737316"/>
        </w:rPr>
        <w:t>项目名</w:t>
      </w:r>
      <w:r>
        <w:rPr>
          <w:rFonts w:hint="eastAsia" w:ascii="宋体" w:hAnsi="宋体" w:cs="宋体"/>
          <w:b/>
          <w:bCs/>
          <w:spacing w:val="1"/>
          <w:kern w:val="0"/>
          <w:sz w:val="32"/>
          <w:szCs w:val="32"/>
          <w:fitText w:val="1600" w:id="1947737316"/>
        </w:rPr>
        <w:t>称</w:t>
      </w:r>
      <w:r>
        <w:rPr>
          <w:rFonts w:hint="eastAsia" w:ascii="宋体" w:hAnsi="宋体" w:cs="宋体"/>
          <w:b/>
          <w:bCs/>
          <w:spacing w:val="-6"/>
          <w:sz w:val="32"/>
          <w:szCs w:val="32"/>
        </w:rPr>
        <w:t>：</w:t>
      </w:r>
    </w:p>
    <w:p w14:paraId="17ECB82B">
      <w:pPr>
        <w:keepNext w:val="0"/>
        <w:keepLines w:val="0"/>
        <w:pageBreakBefore w:val="0"/>
        <w:widowControl/>
        <w:kinsoku/>
        <w:wordWrap/>
        <w:overflowPunct/>
        <w:topLinePunct w:val="0"/>
        <w:autoSpaceDE/>
        <w:autoSpaceDN/>
        <w:bidi w:val="0"/>
        <w:adjustRightInd w:val="0"/>
        <w:snapToGrid w:val="0"/>
        <w:spacing w:afterAutospacing="0" w:line="360" w:lineRule="auto"/>
        <w:ind w:left="0"/>
        <w:textAlignment w:val="auto"/>
        <w:rPr>
          <w:rFonts w:ascii="宋体" w:hAnsi="宋体" w:cs="宋体"/>
          <w:b/>
          <w:bCs/>
          <w:sz w:val="32"/>
          <w:szCs w:val="32"/>
          <w:highlight w:val="none"/>
        </w:rPr>
      </w:pPr>
      <w:r>
        <w:rPr>
          <w:rFonts w:hint="eastAsia" w:ascii="宋体" w:hAnsi="宋体" w:cs="宋体"/>
          <w:b/>
          <w:bCs/>
          <w:spacing w:val="53"/>
          <w:kern w:val="0"/>
          <w:sz w:val="32"/>
          <w:szCs w:val="32"/>
          <w:highlight w:val="none"/>
          <w:fitText w:val="1600" w:id="70211570"/>
        </w:rPr>
        <w:t>项目编</w:t>
      </w:r>
      <w:r>
        <w:rPr>
          <w:rFonts w:hint="eastAsia" w:ascii="宋体" w:hAnsi="宋体" w:cs="宋体"/>
          <w:b/>
          <w:bCs/>
          <w:spacing w:val="1"/>
          <w:kern w:val="0"/>
          <w:sz w:val="32"/>
          <w:szCs w:val="32"/>
          <w:highlight w:val="none"/>
          <w:fitText w:val="1600" w:id="70211570"/>
        </w:rPr>
        <w:t>号</w:t>
      </w:r>
      <w:r>
        <w:rPr>
          <w:rFonts w:hint="eastAsia" w:ascii="宋体" w:hAnsi="宋体" w:cs="宋体"/>
          <w:b/>
          <w:bCs/>
          <w:sz w:val="32"/>
          <w:szCs w:val="32"/>
          <w:highlight w:val="none"/>
        </w:rPr>
        <w:t>：</w:t>
      </w:r>
    </w:p>
    <w:p w14:paraId="3D637ABD">
      <w:pPr>
        <w:pStyle w:val="27"/>
        <w:keepNext w:val="0"/>
        <w:keepLines w:val="0"/>
        <w:pageBreakBefore w:val="0"/>
        <w:widowControl/>
        <w:kinsoku/>
        <w:wordWrap/>
        <w:overflowPunct/>
        <w:topLinePunct w:val="0"/>
        <w:autoSpaceDE/>
        <w:autoSpaceDN/>
        <w:bidi w:val="0"/>
        <w:adjustRightInd w:val="0"/>
        <w:snapToGrid w:val="0"/>
        <w:spacing w:afterAutospacing="0" w:line="360" w:lineRule="auto"/>
        <w:ind w:left="0"/>
        <w:jc w:val="left"/>
        <w:textAlignment w:val="auto"/>
        <w:rPr>
          <w:rFonts w:ascii="宋体" w:hAnsi="宋体" w:cs="宋体"/>
          <w:b/>
          <w:spacing w:val="1280"/>
          <w:kern w:val="0"/>
          <w:sz w:val="32"/>
          <w:szCs w:val="32"/>
          <w:highlight w:val="none"/>
        </w:rPr>
      </w:pPr>
      <w:r>
        <w:rPr>
          <w:rFonts w:hint="eastAsia" w:ascii="宋体" w:hAnsi="宋体" w:cs="宋体"/>
          <w:b/>
          <w:spacing w:val="106"/>
          <w:kern w:val="0"/>
          <w:sz w:val="32"/>
          <w:szCs w:val="32"/>
          <w:highlight w:val="none"/>
          <w:lang w:bidi="ar"/>
        </w:rPr>
        <w:t>包组号（如有）：</w:t>
      </w:r>
    </w:p>
    <w:p w14:paraId="03248E4C">
      <w:pPr>
        <w:keepNext w:val="0"/>
        <w:keepLines w:val="0"/>
        <w:pageBreakBefore w:val="0"/>
        <w:widowControl/>
        <w:kinsoku/>
        <w:wordWrap/>
        <w:overflowPunct/>
        <w:topLinePunct w:val="0"/>
        <w:autoSpaceDE/>
        <w:autoSpaceDN/>
        <w:bidi w:val="0"/>
        <w:adjustRightInd w:val="0"/>
        <w:snapToGrid w:val="0"/>
        <w:spacing w:afterAutospacing="0" w:line="360" w:lineRule="auto"/>
        <w:ind w:left="0"/>
        <w:textAlignment w:val="auto"/>
        <w:rPr>
          <w:rFonts w:ascii="宋体" w:hAnsi="宋体" w:cs="宋体"/>
          <w:b/>
          <w:sz w:val="32"/>
          <w:szCs w:val="32"/>
          <w:highlight w:val="none"/>
        </w:rPr>
      </w:pPr>
      <w:r>
        <w:rPr>
          <w:rFonts w:hint="eastAsia" w:ascii="宋体" w:hAnsi="宋体" w:cs="宋体"/>
          <w:b/>
          <w:spacing w:val="0"/>
          <w:kern w:val="0"/>
          <w:sz w:val="32"/>
          <w:szCs w:val="32"/>
          <w:highlight w:val="none"/>
          <w:fitText w:val="1600" w:id="1458731915"/>
        </w:rPr>
        <w:t>投标人名称</w:t>
      </w:r>
      <w:r>
        <w:rPr>
          <w:rFonts w:hint="eastAsia" w:ascii="宋体" w:hAnsi="宋体" w:cs="宋体"/>
          <w:b/>
          <w:sz w:val="32"/>
          <w:szCs w:val="32"/>
          <w:highlight w:val="none"/>
        </w:rPr>
        <w:t>：</w:t>
      </w:r>
    </w:p>
    <w:p w14:paraId="6B1FD764">
      <w:pPr>
        <w:keepNext w:val="0"/>
        <w:keepLines w:val="0"/>
        <w:pageBreakBefore w:val="0"/>
        <w:widowControl/>
        <w:kinsoku/>
        <w:wordWrap/>
        <w:overflowPunct/>
        <w:topLinePunct w:val="0"/>
        <w:autoSpaceDE/>
        <w:autoSpaceDN/>
        <w:bidi w:val="0"/>
        <w:adjustRightInd w:val="0"/>
        <w:snapToGrid w:val="0"/>
        <w:spacing w:afterAutospacing="0" w:line="360" w:lineRule="auto"/>
        <w:ind w:left="0"/>
        <w:textAlignment w:val="auto"/>
        <w:rPr>
          <w:rFonts w:ascii="宋体" w:hAnsi="宋体" w:cs="宋体"/>
          <w:b/>
          <w:sz w:val="32"/>
          <w:szCs w:val="32"/>
          <w:highlight w:val="none"/>
        </w:rPr>
      </w:pPr>
      <w:r>
        <w:rPr>
          <w:rFonts w:hint="eastAsia" w:ascii="宋体" w:hAnsi="宋体" w:cs="宋体"/>
          <w:b/>
          <w:spacing w:val="32"/>
          <w:kern w:val="0"/>
          <w:sz w:val="32"/>
          <w:szCs w:val="32"/>
          <w:highlight w:val="none"/>
          <w:fitText w:val="1600" w:id="437591866"/>
        </w:rPr>
        <w:t xml:space="preserve">日    </w:t>
      </w:r>
      <w:r>
        <w:rPr>
          <w:rFonts w:hint="eastAsia" w:ascii="宋体" w:hAnsi="宋体" w:cs="宋体"/>
          <w:b/>
          <w:spacing w:val="0"/>
          <w:kern w:val="0"/>
          <w:sz w:val="32"/>
          <w:szCs w:val="32"/>
          <w:highlight w:val="none"/>
          <w:fitText w:val="1600" w:id="437591866"/>
        </w:rPr>
        <w:t>期</w:t>
      </w:r>
      <w:r>
        <w:rPr>
          <w:rFonts w:hint="eastAsia" w:ascii="宋体" w:hAnsi="宋体" w:cs="宋体"/>
          <w:b/>
          <w:sz w:val="32"/>
          <w:szCs w:val="32"/>
          <w:highlight w:val="none"/>
        </w:rPr>
        <w:t>：</w:t>
      </w:r>
    </w:p>
    <w:p w14:paraId="764D94D5"/>
    <w:p w14:paraId="35B06FE1">
      <w:pPr>
        <w:pStyle w:val="2"/>
      </w:pPr>
    </w:p>
    <w:p w14:paraId="3E0B609C">
      <w:pPr>
        <w:pStyle w:val="29"/>
        <w:ind w:firstLine="240"/>
      </w:pPr>
    </w:p>
    <w:p w14:paraId="6E6BBD36">
      <w:pPr>
        <w:pStyle w:val="24"/>
      </w:pPr>
    </w:p>
    <w:p w14:paraId="78D3F0B3"/>
    <w:p w14:paraId="0BD30D0A">
      <w:pPr>
        <w:pStyle w:val="2"/>
      </w:pPr>
    </w:p>
    <w:p w14:paraId="19B50386">
      <w:pPr>
        <w:pStyle w:val="29"/>
        <w:ind w:firstLine="240"/>
      </w:pPr>
    </w:p>
    <w:p w14:paraId="70924261">
      <w:pPr>
        <w:pStyle w:val="24"/>
      </w:pPr>
    </w:p>
    <w:p w14:paraId="58E14C4A">
      <w:pPr>
        <w:pStyle w:val="24"/>
        <w:ind w:left="0"/>
      </w:pPr>
    </w:p>
    <w:p w14:paraId="6D69EE70">
      <w:pPr>
        <w:rPr>
          <w:rFonts w:ascii="宋体" w:hAnsi="宋体"/>
          <w:szCs w:val="21"/>
        </w:rPr>
      </w:pPr>
      <w:r>
        <w:rPr>
          <w:rFonts w:hint="eastAsia" w:ascii="宋体" w:hAnsi="宋体"/>
          <w:szCs w:val="21"/>
        </w:rPr>
        <w:br w:type="page"/>
      </w:r>
    </w:p>
    <w:p w14:paraId="25DB5A67">
      <w:pPr>
        <w:pStyle w:val="8"/>
        <w:widowControl w:val="0"/>
        <w:overflowPunct w:val="0"/>
        <w:spacing w:line="240" w:lineRule="auto"/>
        <w:rPr>
          <w:rFonts w:ascii="宋体" w:hAnsi="宋体"/>
          <w:sz w:val="21"/>
          <w:szCs w:val="21"/>
        </w:rPr>
      </w:pPr>
      <w:bookmarkStart w:id="247" w:name="_Toc20662"/>
      <w:r>
        <w:rPr>
          <w:rFonts w:hint="eastAsia" w:ascii="宋体" w:hAnsi="宋体"/>
          <w:sz w:val="21"/>
          <w:szCs w:val="21"/>
        </w:rPr>
        <w:t>附件2.开标一览表格式</w:t>
      </w:r>
      <w:bookmarkEnd w:id="247"/>
    </w:p>
    <w:p w14:paraId="22DBAFE7">
      <w:pPr>
        <w:jc w:val="center"/>
        <w:rPr>
          <w:rFonts w:ascii="黑体" w:eastAsia="黑体"/>
          <w:sz w:val="32"/>
          <w:szCs w:val="32"/>
        </w:rPr>
      </w:pPr>
      <w:r>
        <w:rPr>
          <w:rFonts w:hint="eastAsia" w:ascii="黑体" w:eastAsia="黑体"/>
          <w:sz w:val="32"/>
          <w:szCs w:val="32"/>
        </w:rPr>
        <w:t>开标一览表</w:t>
      </w:r>
    </w:p>
    <w:p w14:paraId="5FB32362"/>
    <w:p w14:paraId="6B2DF657">
      <w:pPr>
        <w:rPr>
          <w:rFonts w:ascii="宋体" w:hAnsi="宋体"/>
          <w:szCs w:val="21"/>
        </w:rPr>
      </w:pPr>
      <w:r>
        <w:rPr>
          <w:rFonts w:hint="eastAsia" w:ascii="宋体" w:hAnsi="宋体"/>
          <w:szCs w:val="21"/>
        </w:rPr>
        <w:t>投标人名称：</w:t>
      </w:r>
    </w:p>
    <w:p w14:paraId="655DF32E">
      <w:r>
        <w:rPr>
          <w:rFonts w:hint="eastAsia" w:ascii="宋体" w:hAnsi="宋体"/>
          <w:szCs w:val="21"/>
        </w:rPr>
        <w:t>采购项目编号：</w:t>
      </w:r>
    </w:p>
    <w:tbl>
      <w:tblPr>
        <w:tblStyle w:val="31"/>
        <w:tblW w:w="417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3"/>
        <w:gridCol w:w="1942"/>
        <w:gridCol w:w="1402"/>
        <w:gridCol w:w="2089"/>
      </w:tblGrid>
      <w:tr w14:paraId="7E107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1182" w:type="pct"/>
            <w:vAlign w:val="center"/>
          </w:tcPr>
          <w:p w14:paraId="5921746A">
            <w:pPr>
              <w:spacing w:line="240" w:lineRule="auto"/>
              <w:jc w:val="center"/>
              <w:rPr>
                <w:rFonts w:ascii="宋体" w:hAnsi="宋体" w:cs="宋体"/>
                <w:kern w:val="28"/>
                <w:szCs w:val="21"/>
              </w:rPr>
            </w:pPr>
            <w:r>
              <w:rPr>
                <w:rFonts w:hint="eastAsia" w:ascii="宋体" w:hAnsi="宋体"/>
                <w:szCs w:val="21"/>
              </w:rPr>
              <w:t>项目名称</w:t>
            </w:r>
          </w:p>
        </w:tc>
        <w:tc>
          <w:tcPr>
            <w:tcW w:w="1364" w:type="pct"/>
            <w:vAlign w:val="center"/>
          </w:tcPr>
          <w:p w14:paraId="3A6A9462">
            <w:pPr>
              <w:spacing w:line="240" w:lineRule="auto"/>
              <w:jc w:val="center"/>
              <w:rPr>
                <w:rFonts w:ascii="宋体" w:hAnsi="宋体" w:cs="宋体"/>
                <w:kern w:val="28"/>
                <w:szCs w:val="21"/>
                <w:highlight w:val="none"/>
              </w:rPr>
            </w:pPr>
            <w:r>
              <w:rPr>
                <w:rFonts w:hint="eastAsia" w:ascii="宋体" w:hAnsi="宋体" w:cs="宋体"/>
                <w:kern w:val="28"/>
                <w:szCs w:val="21"/>
                <w:highlight w:val="none"/>
                <w:lang w:val="en-US" w:eastAsia="zh-CN"/>
              </w:rPr>
              <w:t>含税</w:t>
            </w:r>
            <w:r>
              <w:rPr>
                <w:rFonts w:hint="eastAsia" w:ascii="宋体" w:hAnsi="宋体" w:cs="宋体"/>
                <w:kern w:val="28"/>
                <w:szCs w:val="21"/>
                <w:highlight w:val="none"/>
              </w:rPr>
              <w:t>投标总价（元）</w:t>
            </w:r>
          </w:p>
        </w:tc>
        <w:tc>
          <w:tcPr>
            <w:tcW w:w="985" w:type="pct"/>
            <w:vAlign w:val="center"/>
          </w:tcPr>
          <w:p w14:paraId="1F1691D2">
            <w:pPr>
              <w:spacing w:line="240" w:lineRule="auto"/>
              <w:jc w:val="center"/>
              <w:rPr>
                <w:rFonts w:ascii="宋体" w:hAnsi="宋体" w:cs="宋体"/>
                <w:kern w:val="28"/>
                <w:szCs w:val="21"/>
                <w:highlight w:val="none"/>
              </w:rPr>
            </w:pPr>
            <w:r>
              <w:rPr>
                <w:rFonts w:hint="eastAsia" w:ascii="宋体" w:hAnsi="宋体" w:cs="宋体"/>
                <w:kern w:val="28"/>
                <w:szCs w:val="21"/>
                <w:highlight w:val="none"/>
              </w:rPr>
              <w:t>服务期</w:t>
            </w:r>
          </w:p>
        </w:tc>
        <w:tc>
          <w:tcPr>
            <w:tcW w:w="1467" w:type="pct"/>
            <w:vAlign w:val="center"/>
          </w:tcPr>
          <w:p w14:paraId="5A8E48B7">
            <w:pPr>
              <w:spacing w:line="240" w:lineRule="auto"/>
              <w:jc w:val="center"/>
              <w:rPr>
                <w:rFonts w:ascii="宋体" w:hAnsi="宋体" w:cs="宋体"/>
                <w:kern w:val="28"/>
                <w:szCs w:val="21"/>
                <w:highlight w:val="none"/>
              </w:rPr>
            </w:pPr>
            <w:r>
              <w:rPr>
                <w:rFonts w:hint="eastAsia" w:ascii="宋体" w:hAnsi="宋体" w:cs="宋体"/>
                <w:kern w:val="28"/>
                <w:szCs w:val="21"/>
                <w:highlight w:val="none"/>
              </w:rPr>
              <w:t>备注</w:t>
            </w:r>
          </w:p>
        </w:tc>
      </w:tr>
      <w:tr w14:paraId="367E8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jc w:val="center"/>
        </w:trPr>
        <w:tc>
          <w:tcPr>
            <w:tcW w:w="1182" w:type="pct"/>
            <w:vAlign w:val="center"/>
          </w:tcPr>
          <w:p w14:paraId="68B7156B">
            <w:pPr>
              <w:spacing w:line="240" w:lineRule="auto"/>
              <w:jc w:val="center"/>
              <w:rPr>
                <w:rFonts w:ascii="宋体" w:hAnsi="宋体" w:cs="宋体"/>
                <w:szCs w:val="21"/>
              </w:rPr>
            </w:pPr>
          </w:p>
        </w:tc>
        <w:tc>
          <w:tcPr>
            <w:tcW w:w="1364" w:type="pct"/>
            <w:vAlign w:val="center"/>
          </w:tcPr>
          <w:p w14:paraId="004BFE7F">
            <w:pPr>
              <w:spacing w:line="240" w:lineRule="auto"/>
              <w:jc w:val="center"/>
              <w:rPr>
                <w:rFonts w:ascii="宋体" w:hAnsi="宋体" w:cs="宋体"/>
                <w:szCs w:val="21"/>
              </w:rPr>
            </w:pPr>
            <w:r>
              <w:rPr>
                <w:rFonts w:hint="eastAsia" w:ascii="宋体" w:hAnsi="宋体" w:cs="宋体"/>
                <w:szCs w:val="21"/>
              </w:rPr>
              <w:t>小写：</w:t>
            </w:r>
          </w:p>
          <w:p w14:paraId="52FA2CA7">
            <w:pPr>
              <w:spacing w:line="240" w:lineRule="auto"/>
              <w:jc w:val="center"/>
              <w:rPr>
                <w:rFonts w:ascii="宋体" w:hAnsi="宋体" w:cs="宋体"/>
                <w:szCs w:val="21"/>
              </w:rPr>
            </w:pPr>
            <w:r>
              <w:rPr>
                <w:rFonts w:hint="eastAsia" w:ascii="宋体" w:hAnsi="宋体" w:cs="宋体"/>
                <w:szCs w:val="21"/>
              </w:rPr>
              <w:t>大写：</w:t>
            </w:r>
          </w:p>
        </w:tc>
        <w:tc>
          <w:tcPr>
            <w:tcW w:w="985" w:type="pct"/>
            <w:vAlign w:val="center"/>
          </w:tcPr>
          <w:p w14:paraId="295F65AC">
            <w:pPr>
              <w:pStyle w:val="67"/>
              <w:jc w:val="center"/>
              <w:rPr>
                <w:rFonts w:hAnsi="宋体"/>
                <w:color w:val="auto"/>
                <w:sz w:val="21"/>
                <w:szCs w:val="21"/>
              </w:rPr>
            </w:pPr>
            <w:r>
              <w:rPr>
                <w:rFonts w:hint="eastAsia" w:hAnsi="宋体"/>
                <w:color w:val="auto"/>
                <w:sz w:val="21"/>
                <w:szCs w:val="21"/>
              </w:rPr>
              <w:t xml:space="preserve"> </w:t>
            </w:r>
          </w:p>
        </w:tc>
        <w:tc>
          <w:tcPr>
            <w:tcW w:w="1467" w:type="pct"/>
            <w:vAlign w:val="center"/>
          </w:tcPr>
          <w:p w14:paraId="70DF0FD1">
            <w:pPr>
              <w:pStyle w:val="67"/>
              <w:jc w:val="center"/>
              <w:rPr>
                <w:rFonts w:hAnsi="宋体"/>
                <w:color w:val="auto"/>
                <w:sz w:val="21"/>
                <w:szCs w:val="21"/>
              </w:rPr>
            </w:pPr>
          </w:p>
        </w:tc>
      </w:tr>
    </w:tbl>
    <w:p w14:paraId="703BDFB9">
      <w:pPr>
        <w:rPr>
          <w:rFonts w:ascii="宋体" w:hAnsi="宋体"/>
          <w:szCs w:val="21"/>
        </w:rPr>
      </w:pPr>
    </w:p>
    <w:p w14:paraId="1B460713">
      <w:pPr>
        <w:ind w:firstLine="359" w:firstLineChars="171"/>
        <w:rPr>
          <w:rFonts w:ascii="宋体" w:hAnsi="宋体"/>
          <w:szCs w:val="21"/>
        </w:rPr>
      </w:pPr>
    </w:p>
    <w:p w14:paraId="3111F4C8">
      <w:pPr>
        <w:ind w:firstLine="359" w:firstLineChars="171"/>
        <w:rPr>
          <w:rFonts w:ascii="宋体" w:hAnsi="宋体"/>
          <w:szCs w:val="21"/>
        </w:rPr>
      </w:pPr>
      <w:r>
        <w:rPr>
          <w:rFonts w:hint="eastAsia" w:ascii="宋体" w:hAnsi="宋体"/>
          <w:szCs w:val="21"/>
        </w:rPr>
        <w:t>投标人代表签字：</w:t>
      </w:r>
    </w:p>
    <w:p w14:paraId="751951F8">
      <w:pPr>
        <w:ind w:firstLine="359" w:firstLineChars="171"/>
        <w:rPr>
          <w:rFonts w:ascii="宋体" w:hAnsi="宋体"/>
          <w:szCs w:val="21"/>
        </w:rPr>
      </w:pPr>
      <w:r>
        <w:rPr>
          <w:rFonts w:hint="eastAsia" w:ascii="宋体" w:hAnsi="宋体"/>
          <w:szCs w:val="21"/>
        </w:rPr>
        <w:t>投标人盖章：</w:t>
      </w:r>
    </w:p>
    <w:p w14:paraId="72995AAC">
      <w:pPr>
        <w:ind w:firstLine="359" w:firstLineChars="171"/>
        <w:rPr>
          <w:rFonts w:ascii="宋体" w:hAnsi="宋体"/>
          <w:szCs w:val="21"/>
        </w:rPr>
      </w:pPr>
      <w:r>
        <w:rPr>
          <w:rFonts w:hint="eastAsia" w:ascii="宋体" w:hAnsi="宋体"/>
          <w:szCs w:val="21"/>
        </w:rPr>
        <w:t>日期：</w:t>
      </w:r>
    </w:p>
    <w:p w14:paraId="49D1754A">
      <w:pPr>
        <w:ind w:firstLine="359" w:firstLineChars="171"/>
        <w:rPr>
          <w:rFonts w:ascii="宋体" w:hAnsi="宋体"/>
          <w:szCs w:val="21"/>
        </w:rPr>
      </w:pPr>
    </w:p>
    <w:p w14:paraId="4D4584DE">
      <w:pPr>
        <w:ind w:left="391" w:hanging="390" w:hangingChars="186"/>
        <w:rPr>
          <w:rFonts w:ascii="宋体" w:hAnsi="宋体"/>
          <w:szCs w:val="21"/>
        </w:rPr>
      </w:pPr>
      <w:r>
        <w:rPr>
          <w:rFonts w:hint="eastAsia" w:ascii="宋体" w:hAnsi="宋体"/>
          <w:szCs w:val="21"/>
        </w:rPr>
        <w:t xml:space="preserve">    注：</w:t>
      </w:r>
    </w:p>
    <w:p w14:paraId="54CF9A4C">
      <w:pPr>
        <w:ind w:firstLine="420" w:firstLineChars="200"/>
        <w:rPr>
          <w:rFonts w:ascii="宋体" w:hAnsi="宋体"/>
          <w:szCs w:val="21"/>
        </w:rPr>
      </w:pPr>
      <w:r>
        <w:rPr>
          <w:rFonts w:hint="eastAsia" w:ascii="宋体" w:hAnsi="宋体"/>
          <w:szCs w:val="21"/>
        </w:rPr>
        <w:t>1、投标总价栏须</w:t>
      </w:r>
      <w:r>
        <w:rPr>
          <w:rFonts w:ascii="宋体" w:hAnsi="宋体"/>
          <w:szCs w:val="21"/>
        </w:rPr>
        <w:t>用</w:t>
      </w:r>
      <w:r>
        <w:rPr>
          <w:rFonts w:hint="eastAsia" w:ascii="宋体" w:hAnsi="宋体"/>
          <w:szCs w:val="21"/>
        </w:rPr>
        <w:t>大写金额和小写金额两种方式</w:t>
      </w:r>
      <w:r>
        <w:rPr>
          <w:rFonts w:ascii="宋体" w:hAnsi="宋体"/>
          <w:szCs w:val="21"/>
        </w:rPr>
        <w:t>表示的投标总价</w:t>
      </w:r>
      <w:r>
        <w:rPr>
          <w:rFonts w:hint="eastAsia" w:ascii="宋体" w:hAnsi="宋体"/>
          <w:szCs w:val="21"/>
        </w:rPr>
        <w:t>，报价保留小数点后两位。投标总价大小写不一致，以大写为准。投标总价必须准确唯一且应包含采购文件要求的所有费用。</w:t>
      </w:r>
    </w:p>
    <w:p w14:paraId="5B1E3830">
      <w:pPr>
        <w:ind w:firstLine="420" w:firstLineChars="200"/>
        <w:rPr>
          <w:rFonts w:hint="eastAsia" w:ascii="宋体" w:hAnsi="宋体"/>
          <w:szCs w:val="21"/>
        </w:rPr>
      </w:pPr>
      <w:r>
        <w:rPr>
          <w:rFonts w:hint="eastAsia" w:ascii="宋体" w:hAnsi="宋体"/>
          <w:szCs w:val="21"/>
        </w:rPr>
        <w:t>2、温馨提示：未按采购文件要求报价、填写开标一览表是导致投标人废标的常见问题，请投标人仔细填写，认真核对。</w:t>
      </w:r>
    </w:p>
    <w:p w14:paraId="02EBAB25">
      <w:pPr>
        <w:widowControl/>
        <w:adjustRightInd/>
        <w:snapToGrid/>
        <w:ind w:left="0" w:firstLine="420" w:firstLineChars="200"/>
        <w:rPr>
          <w:rFonts w:hint="eastAsia" w:ascii="宋体" w:hAnsi="宋体" w:cstheme="minorBidi"/>
          <w:szCs w:val="21"/>
        </w:rPr>
      </w:pPr>
      <w:r>
        <w:rPr>
          <w:rFonts w:hint="eastAsia" w:ascii="宋体" w:hAnsi="宋体" w:cstheme="minorBidi"/>
          <w:szCs w:val="21"/>
          <w:lang w:val="en-US" w:eastAsia="zh-CN"/>
        </w:rPr>
        <w:t>3、</w:t>
      </w:r>
      <w:r>
        <w:rPr>
          <w:rFonts w:hint="eastAsia" w:ascii="宋体" w:hAnsi="宋体" w:cstheme="minorBidi"/>
          <w:szCs w:val="21"/>
        </w:rPr>
        <w:t>本项目需要投标人对免费质保期后的每年运维费用进行报价，报价不得高于本项目投标报价的7%，前述费用不计入在本项目投标报价中。免费质保期后，采购人有权在不高于本次运维报价的情况下与中标人洽商确定运维费用。</w:t>
      </w:r>
    </w:p>
    <w:p w14:paraId="5F11C0BB">
      <w:pPr>
        <w:pStyle w:val="2"/>
      </w:pPr>
    </w:p>
    <w:p w14:paraId="2F4AAF99">
      <w:pPr>
        <w:rPr>
          <w:rFonts w:hint="eastAsia" w:ascii="宋体" w:hAnsi="宋体"/>
          <w:szCs w:val="21"/>
        </w:rPr>
      </w:pPr>
      <w:r>
        <w:rPr>
          <w:rFonts w:hint="eastAsia" w:ascii="宋体" w:hAnsi="宋体"/>
          <w:szCs w:val="21"/>
        </w:rPr>
        <w:br w:type="page"/>
      </w:r>
    </w:p>
    <w:p w14:paraId="68CB8662">
      <w:pPr>
        <w:pStyle w:val="8"/>
        <w:widowControl w:val="0"/>
        <w:overflowPunct w:val="0"/>
        <w:spacing w:line="240" w:lineRule="auto"/>
        <w:rPr>
          <w:rFonts w:ascii="宋体" w:hAnsi="宋体"/>
          <w:sz w:val="21"/>
          <w:szCs w:val="21"/>
        </w:rPr>
      </w:pPr>
      <w:r>
        <w:rPr>
          <w:rFonts w:hint="eastAsia" w:ascii="宋体" w:hAnsi="宋体"/>
          <w:sz w:val="21"/>
          <w:szCs w:val="21"/>
        </w:rPr>
        <w:t>附件3.运维费用报价表格式</w:t>
      </w:r>
    </w:p>
    <w:p w14:paraId="410E490B">
      <w:pPr>
        <w:jc w:val="center"/>
        <w:rPr>
          <w:rFonts w:ascii="黑体" w:eastAsia="黑体"/>
          <w:sz w:val="32"/>
          <w:szCs w:val="32"/>
        </w:rPr>
      </w:pPr>
      <w:r>
        <w:rPr>
          <w:rFonts w:hint="eastAsia" w:ascii="黑体" w:eastAsia="黑体"/>
          <w:sz w:val="32"/>
          <w:szCs w:val="32"/>
        </w:rPr>
        <w:t>运维费用报价表</w:t>
      </w:r>
    </w:p>
    <w:p w14:paraId="34458CB8">
      <w:pPr>
        <w:pStyle w:val="77"/>
        <w:spacing w:before="0" w:after="0"/>
        <w:jc w:val="right"/>
        <w:rPr>
          <w:rFonts w:ascii="宋体" w:hAnsi="宋体" w:cs="宋体"/>
          <w:szCs w:val="21"/>
        </w:rPr>
      </w:pPr>
      <w:r>
        <w:rPr>
          <w:rFonts w:hint="eastAsia" w:ascii="宋体" w:hAnsi="宋体" w:cs="宋体"/>
          <w:szCs w:val="21"/>
        </w:rPr>
        <w:t>单位：元</w:t>
      </w:r>
    </w:p>
    <w:p w14:paraId="6B2E73B0">
      <w:pPr>
        <w:rPr>
          <w:rFonts w:ascii="宋体" w:hAnsi="宋体"/>
          <w:szCs w:val="21"/>
        </w:rPr>
      </w:pPr>
      <w:r>
        <w:rPr>
          <w:rFonts w:hint="eastAsia" w:ascii="宋体" w:hAnsi="宋体"/>
          <w:szCs w:val="21"/>
        </w:rPr>
        <w:t>投标人名称：</w:t>
      </w:r>
    </w:p>
    <w:p w14:paraId="069D63B6">
      <w:r>
        <w:rPr>
          <w:rFonts w:hint="eastAsia" w:ascii="宋体" w:hAnsi="宋体"/>
          <w:szCs w:val="21"/>
        </w:rPr>
        <w:t>采购项目编号：</w:t>
      </w:r>
    </w:p>
    <w:tbl>
      <w:tblPr>
        <w:tblStyle w:val="31"/>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79"/>
        <w:gridCol w:w="2640"/>
        <w:gridCol w:w="1050"/>
        <w:gridCol w:w="1051"/>
      </w:tblGrid>
      <w:tr w14:paraId="3B19E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2217" w:type="pct"/>
            <w:vAlign w:val="center"/>
          </w:tcPr>
          <w:p w14:paraId="0E181C42">
            <w:pPr>
              <w:spacing w:line="240" w:lineRule="auto"/>
              <w:jc w:val="center"/>
              <w:rPr>
                <w:rFonts w:ascii="宋体" w:hAnsi="宋体" w:cs="宋体"/>
                <w:b/>
                <w:bCs/>
                <w:kern w:val="28"/>
                <w:szCs w:val="21"/>
              </w:rPr>
            </w:pPr>
            <w:r>
              <w:rPr>
                <w:rFonts w:hint="eastAsia" w:ascii="宋体" w:hAnsi="宋体"/>
                <w:b/>
                <w:bCs/>
                <w:szCs w:val="21"/>
              </w:rPr>
              <w:t>项目名称</w:t>
            </w:r>
          </w:p>
        </w:tc>
        <w:tc>
          <w:tcPr>
            <w:tcW w:w="1549" w:type="pct"/>
            <w:vAlign w:val="center"/>
          </w:tcPr>
          <w:p w14:paraId="23940AF6">
            <w:pPr>
              <w:spacing w:line="240" w:lineRule="auto"/>
              <w:jc w:val="center"/>
              <w:rPr>
                <w:rFonts w:ascii="宋体" w:hAnsi="宋体" w:cs="宋体"/>
                <w:b/>
                <w:bCs/>
                <w:kern w:val="28"/>
                <w:szCs w:val="21"/>
              </w:rPr>
            </w:pPr>
            <w:r>
              <w:rPr>
                <w:rFonts w:hint="eastAsia" w:ascii="宋体" w:hAnsi="宋体"/>
                <w:b/>
                <w:bCs/>
                <w:szCs w:val="21"/>
              </w:rPr>
              <w:t>含税运维费用（元/年）</w:t>
            </w:r>
          </w:p>
        </w:tc>
        <w:tc>
          <w:tcPr>
            <w:tcW w:w="616" w:type="pct"/>
            <w:vAlign w:val="center"/>
          </w:tcPr>
          <w:p w14:paraId="5A7AA97E">
            <w:pPr>
              <w:spacing w:line="240" w:lineRule="auto"/>
              <w:jc w:val="center"/>
              <w:rPr>
                <w:rFonts w:ascii="宋体" w:hAnsi="宋体" w:cs="宋体"/>
                <w:b/>
                <w:bCs/>
                <w:kern w:val="28"/>
                <w:szCs w:val="21"/>
              </w:rPr>
            </w:pPr>
            <w:r>
              <w:rPr>
                <w:rFonts w:hint="eastAsia" w:ascii="宋体" w:hAnsi="宋体" w:cs="宋体"/>
                <w:b/>
                <w:bCs/>
                <w:kern w:val="28"/>
                <w:szCs w:val="21"/>
              </w:rPr>
              <w:t>税率</w:t>
            </w:r>
          </w:p>
        </w:tc>
        <w:tc>
          <w:tcPr>
            <w:tcW w:w="616" w:type="pct"/>
            <w:vAlign w:val="center"/>
          </w:tcPr>
          <w:p w14:paraId="471D187E">
            <w:pPr>
              <w:spacing w:line="240" w:lineRule="auto"/>
              <w:jc w:val="center"/>
              <w:rPr>
                <w:rFonts w:ascii="宋体" w:hAnsi="宋体" w:cs="宋体"/>
                <w:b/>
                <w:bCs/>
                <w:kern w:val="28"/>
                <w:szCs w:val="21"/>
              </w:rPr>
            </w:pPr>
            <w:r>
              <w:rPr>
                <w:rFonts w:hint="eastAsia" w:ascii="宋体" w:hAnsi="宋体" w:cs="宋体"/>
                <w:b/>
                <w:bCs/>
                <w:kern w:val="28"/>
                <w:szCs w:val="21"/>
              </w:rPr>
              <w:t>备注</w:t>
            </w:r>
          </w:p>
        </w:tc>
      </w:tr>
      <w:tr w14:paraId="5D00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jc w:val="center"/>
        </w:trPr>
        <w:tc>
          <w:tcPr>
            <w:tcW w:w="2217" w:type="pct"/>
            <w:vAlign w:val="center"/>
          </w:tcPr>
          <w:p w14:paraId="4B2F4756">
            <w:pPr>
              <w:spacing w:line="240" w:lineRule="auto"/>
              <w:jc w:val="center"/>
              <w:rPr>
                <w:rFonts w:ascii="宋体" w:hAnsi="宋体" w:cs="宋体"/>
                <w:szCs w:val="21"/>
              </w:rPr>
            </w:pPr>
          </w:p>
        </w:tc>
        <w:tc>
          <w:tcPr>
            <w:tcW w:w="1549" w:type="pct"/>
            <w:vAlign w:val="center"/>
          </w:tcPr>
          <w:p w14:paraId="0737B93C">
            <w:pPr>
              <w:spacing w:line="240" w:lineRule="auto"/>
              <w:jc w:val="center"/>
              <w:rPr>
                <w:rFonts w:ascii="宋体" w:hAnsi="宋体" w:cs="宋体"/>
                <w:szCs w:val="21"/>
              </w:rPr>
            </w:pPr>
            <w:r>
              <w:rPr>
                <w:rFonts w:hint="eastAsia" w:ascii="宋体" w:hAnsi="宋体" w:cs="宋体"/>
                <w:szCs w:val="21"/>
              </w:rPr>
              <w:t>小写：</w:t>
            </w:r>
          </w:p>
          <w:p w14:paraId="40470DBD">
            <w:pPr>
              <w:spacing w:line="240" w:lineRule="auto"/>
              <w:jc w:val="center"/>
              <w:rPr>
                <w:rFonts w:ascii="宋体" w:hAnsi="宋体" w:cs="宋体"/>
                <w:szCs w:val="21"/>
              </w:rPr>
            </w:pPr>
            <w:r>
              <w:rPr>
                <w:rFonts w:hint="eastAsia" w:ascii="宋体" w:hAnsi="宋体" w:cs="宋体"/>
                <w:szCs w:val="21"/>
              </w:rPr>
              <w:t>大写：</w:t>
            </w:r>
          </w:p>
        </w:tc>
        <w:tc>
          <w:tcPr>
            <w:tcW w:w="616" w:type="pct"/>
            <w:vAlign w:val="center"/>
          </w:tcPr>
          <w:p w14:paraId="407287C3">
            <w:pPr>
              <w:pStyle w:val="67"/>
              <w:jc w:val="center"/>
              <w:rPr>
                <w:rFonts w:hAnsi="宋体"/>
                <w:color w:val="auto"/>
                <w:sz w:val="21"/>
                <w:szCs w:val="21"/>
              </w:rPr>
            </w:pPr>
          </w:p>
        </w:tc>
        <w:tc>
          <w:tcPr>
            <w:tcW w:w="616" w:type="pct"/>
            <w:vAlign w:val="center"/>
          </w:tcPr>
          <w:p w14:paraId="7EE58B2F">
            <w:pPr>
              <w:pStyle w:val="67"/>
              <w:jc w:val="center"/>
              <w:rPr>
                <w:rFonts w:hAnsi="宋体"/>
                <w:color w:val="auto"/>
                <w:sz w:val="21"/>
                <w:szCs w:val="21"/>
              </w:rPr>
            </w:pPr>
          </w:p>
        </w:tc>
      </w:tr>
    </w:tbl>
    <w:p w14:paraId="6842D788">
      <w:pPr>
        <w:rPr>
          <w:rFonts w:ascii="宋体" w:hAnsi="宋体"/>
          <w:szCs w:val="21"/>
        </w:rPr>
      </w:pPr>
    </w:p>
    <w:p w14:paraId="510315E3">
      <w:pPr>
        <w:ind w:left="391" w:hanging="390" w:hangingChars="186"/>
        <w:rPr>
          <w:rFonts w:ascii="宋体" w:hAnsi="宋体"/>
          <w:szCs w:val="21"/>
        </w:rPr>
      </w:pPr>
      <w:r>
        <w:rPr>
          <w:rFonts w:hint="eastAsia" w:ascii="宋体" w:hAnsi="宋体"/>
          <w:szCs w:val="21"/>
        </w:rPr>
        <w:t>注：</w:t>
      </w:r>
    </w:p>
    <w:p w14:paraId="441B3E85">
      <w:pPr>
        <w:widowControl w:val="0"/>
        <w:adjustRightInd/>
        <w:snapToGrid/>
        <w:ind w:left="-136" w:firstLine="420"/>
        <w:rPr>
          <w:rFonts w:asciiTheme="minorEastAsia" w:hAnsiTheme="minorEastAsia" w:cstheme="minorEastAsia"/>
          <w:szCs w:val="21"/>
        </w:rPr>
      </w:pPr>
      <w:r>
        <w:rPr>
          <w:rFonts w:hint="eastAsia" w:asciiTheme="minorEastAsia" w:hAnsiTheme="minorEastAsia" w:cstheme="minorEastAsia"/>
          <w:szCs w:val="21"/>
        </w:rPr>
        <w:t>（一）本项目需要投标人对免费质保期后的每年运维费用进行报价，报价不得高于本项目投标报价的7%，前述费用不计入在本项目投标报价中。免费质保期后，采购人有权在不高于本次运维报价的情况下与中标人洽商确定运维费用。</w:t>
      </w:r>
    </w:p>
    <w:p w14:paraId="04BAC79E">
      <w:pPr>
        <w:widowControl w:val="0"/>
        <w:adjustRightInd/>
        <w:snapToGrid/>
        <w:ind w:left="-136" w:firstLine="420"/>
        <w:rPr>
          <w:rFonts w:ascii="宋体" w:hAnsi="宋体" w:cs="宋体"/>
          <w:b/>
          <w:szCs w:val="21"/>
        </w:rPr>
      </w:pPr>
      <w:r>
        <w:rPr>
          <w:rFonts w:hint="eastAsia" w:asciiTheme="minorEastAsia" w:hAnsiTheme="minorEastAsia" w:cstheme="minorEastAsia"/>
          <w:szCs w:val="21"/>
        </w:rPr>
        <w:t>（二）运维费用报价栏须用大写金额和小写金额两种方式表示运维费用，报价保留小数点后两位。运维费用大小写不一致，以大写为准。</w:t>
      </w:r>
    </w:p>
    <w:p w14:paraId="4912C062"/>
    <w:p w14:paraId="67F06B8D">
      <w:pPr>
        <w:pStyle w:val="2"/>
      </w:pPr>
    </w:p>
    <w:p w14:paraId="60E0DBCB">
      <w:pPr>
        <w:rPr>
          <w:rFonts w:ascii="宋体" w:hAnsi="宋体"/>
          <w:szCs w:val="21"/>
        </w:rPr>
      </w:pPr>
      <w:r>
        <w:rPr>
          <w:rFonts w:hint="eastAsia" w:ascii="宋体" w:hAnsi="宋体"/>
          <w:szCs w:val="21"/>
        </w:rPr>
        <w:t>投标人代表签字：</w:t>
      </w:r>
    </w:p>
    <w:p w14:paraId="0868C974">
      <w:pPr>
        <w:rPr>
          <w:rFonts w:ascii="宋体" w:hAnsi="宋体"/>
          <w:szCs w:val="21"/>
        </w:rPr>
      </w:pPr>
      <w:r>
        <w:rPr>
          <w:rFonts w:hint="eastAsia" w:ascii="宋体" w:hAnsi="宋体"/>
          <w:szCs w:val="21"/>
        </w:rPr>
        <w:t>投标人盖章：</w:t>
      </w:r>
    </w:p>
    <w:p w14:paraId="38E56EEE">
      <w:pPr>
        <w:rPr>
          <w:rFonts w:hint="eastAsia" w:ascii="宋体" w:hAnsi="宋体"/>
          <w:szCs w:val="21"/>
        </w:rPr>
      </w:pPr>
      <w:r>
        <w:rPr>
          <w:rFonts w:hint="eastAsia" w:ascii="宋体" w:hAnsi="宋体"/>
          <w:szCs w:val="21"/>
        </w:rPr>
        <w:t>日期：</w:t>
      </w:r>
    </w:p>
    <w:p w14:paraId="79720C35">
      <w:pPr>
        <w:rPr>
          <w:rFonts w:hint="eastAsia" w:ascii="宋体" w:hAnsi="宋体"/>
          <w:szCs w:val="21"/>
        </w:rPr>
      </w:pPr>
    </w:p>
    <w:p w14:paraId="57F2BCC8">
      <w:pPr>
        <w:rPr>
          <w:rFonts w:hint="eastAsia" w:ascii="宋体" w:hAnsi="宋体"/>
          <w:szCs w:val="21"/>
        </w:rPr>
      </w:pPr>
      <w:r>
        <w:rPr>
          <w:rFonts w:hint="eastAsia" w:ascii="宋体" w:hAnsi="宋体"/>
          <w:szCs w:val="21"/>
        </w:rPr>
        <w:br w:type="page"/>
      </w:r>
    </w:p>
    <w:p w14:paraId="0DDB3588">
      <w:pPr>
        <w:pStyle w:val="2"/>
      </w:pPr>
    </w:p>
    <w:p w14:paraId="5F9BC7C7">
      <w:pPr>
        <w:rPr>
          <w:sz w:val="52"/>
          <w:szCs w:val="52"/>
        </w:rPr>
      </w:pPr>
    </w:p>
    <w:p w14:paraId="20B323E5">
      <w:pPr>
        <w:pStyle w:val="6"/>
        <w:spacing w:before="0" w:after="0" w:line="360" w:lineRule="auto"/>
        <w:jc w:val="center"/>
        <w:rPr>
          <w:sz w:val="72"/>
          <w:szCs w:val="72"/>
        </w:rPr>
      </w:pPr>
      <w:bookmarkStart w:id="248" w:name="_Toc25869"/>
      <w:bookmarkStart w:id="249" w:name="_Toc22649"/>
      <w:r>
        <w:rPr>
          <w:rFonts w:hint="eastAsia"/>
          <w:sz w:val="72"/>
          <w:szCs w:val="72"/>
        </w:rPr>
        <w:t>商务文件</w:t>
      </w:r>
      <w:bookmarkEnd w:id="248"/>
      <w:bookmarkEnd w:id="249"/>
    </w:p>
    <w:p w14:paraId="744F1A1B">
      <w:pPr>
        <w:jc w:val="center"/>
        <w:rPr>
          <w:rFonts w:ascii="黑体" w:eastAsia="黑体"/>
          <w:sz w:val="72"/>
          <w:szCs w:val="72"/>
        </w:rPr>
      </w:pPr>
      <w:r>
        <w:rPr>
          <w:rFonts w:hint="eastAsia" w:ascii="黑体" w:eastAsia="黑体"/>
          <w:sz w:val="72"/>
          <w:szCs w:val="72"/>
        </w:rPr>
        <w:t>（单独装订成册）</w:t>
      </w:r>
    </w:p>
    <w:p w14:paraId="67CBD562"/>
    <w:p w14:paraId="26B2A8D7">
      <w:pPr>
        <w:pStyle w:val="2"/>
      </w:pPr>
    </w:p>
    <w:p w14:paraId="0F4217B0">
      <w:pPr>
        <w:pStyle w:val="29"/>
        <w:ind w:firstLine="240"/>
      </w:pPr>
    </w:p>
    <w:p w14:paraId="335FB95E">
      <w:pPr>
        <w:rPr>
          <w:rFonts w:ascii="宋体" w:hAnsi="宋体" w:cs="宋体"/>
          <w:b/>
          <w:bCs/>
          <w:spacing w:val="-6"/>
          <w:sz w:val="32"/>
          <w:szCs w:val="32"/>
          <w:highlight w:val="none"/>
        </w:rPr>
      </w:pPr>
      <w:r>
        <w:rPr>
          <w:rFonts w:hint="eastAsia" w:ascii="宋体" w:hAnsi="宋体" w:cs="宋体"/>
          <w:b/>
          <w:bCs/>
          <w:spacing w:val="53"/>
          <w:kern w:val="0"/>
          <w:sz w:val="32"/>
          <w:szCs w:val="32"/>
          <w:highlight w:val="none"/>
          <w:fitText w:val="1600" w:id="292250509"/>
        </w:rPr>
        <w:t>项目名</w:t>
      </w:r>
      <w:r>
        <w:rPr>
          <w:rFonts w:hint="eastAsia" w:ascii="宋体" w:hAnsi="宋体" w:cs="宋体"/>
          <w:b/>
          <w:bCs/>
          <w:spacing w:val="1"/>
          <w:kern w:val="0"/>
          <w:sz w:val="32"/>
          <w:szCs w:val="32"/>
          <w:highlight w:val="none"/>
          <w:fitText w:val="1600" w:id="292250509"/>
        </w:rPr>
        <w:t>称</w:t>
      </w:r>
      <w:r>
        <w:rPr>
          <w:rFonts w:hint="eastAsia" w:ascii="宋体" w:hAnsi="宋体" w:cs="宋体"/>
          <w:b/>
          <w:bCs/>
          <w:spacing w:val="-6"/>
          <w:sz w:val="32"/>
          <w:szCs w:val="32"/>
          <w:highlight w:val="none"/>
        </w:rPr>
        <w:t>：</w:t>
      </w:r>
    </w:p>
    <w:p w14:paraId="4C0010C9">
      <w:pPr>
        <w:rPr>
          <w:rFonts w:ascii="宋体" w:hAnsi="宋体" w:cs="宋体"/>
          <w:b/>
          <w:bCs/>
          <w:sz w:val="32"/>
          <w:szCs w:val="32"/>
          <w:highlight w:val="none"/>
        </w:rPr>
      </w:pPr>
      <w:r>
        <w:rPr>
          <w:rFonts w:hint="eastAsia" w:ascii="宋体" w:hAnsi="宋体" w:cs="宋体"/>
          <w:b/>
          <w:bCs/>
          <w:spacing w:val="53"/>
          <w:kern w:val="0"/>
          <w:sz w:val="32"/>
          <w:szCs w:val="32"/>
          <w:highlight w:val="none"/>
          <w:fitText w:val="1600" w:id="1231831253"/>
        </w:rPr>
        <w:t>项目编</w:t>
      </w:r>
      <w:r>
        <w:rPr>
          <w:rFonts w:hint="eastAsia" w:ascii="宋体" w:hAnsi="宋体" w:cs="宋体"/>
          <w:b/>
          <w:bCs/>
          <w:spacing w:val="1"/>
          <w:kern w:val="0"/>
          <w:sz w:val="32"/>
          <w:szCs w:val="32"/>
          <w:highlight w:val="none"/>
          <w:fitText w:val="1600" w:id="1231831253"/>
        </w:rPr>
        <w:t>号</w:t>
      </w:r>
      <w:r>
        <w:rPr>
          <w:rFonts w:hint="eastAsia" w:ascii="宋体" w:hAnsi="宋体" w:cs="宋体"/>
          <w:b/>
          <w:bCs/>
          <w:sz w:val="32"/>
          <w:szCs w:val="32"/>
          <w:highlight w:val="none"/>
        </w:rPr>
        <w:t>：</w:t>
      </w:r>
    </w:p>
    <w:p w14:paraId="01C09B57">
      <w:pPr>
        <w:pStyle w:val="2"/>
        <w:ind w:left="0"/>
        <w:rPr>
          <w:b/>
          <w:spacing w:val="1280"/>
          <w:sz w:val="32"/>
          <w:szCs w:val="32"/>
          <w:highlight w:val="none"/>
        </w:rPr>
      </w:pPr>
      <w:r>
        <w:rPr>
          <w:b/>
          <w:spacing w:val="106"/>
          <w:sz w:val="32"/>
          <w:szCs w:val="32"/>
          <w:highlight w:val="none"/>
          <w:lang w:val="en-US" w:bidi="ar-SA"/>
        </w:rPr>
        <w:t>包组号（如有）：</w:t>
      </w:r>
    </w:p>
    <w:p w14:paraId="2FE7EC81">
      <w:pPr>
        <w:rPr>
          <w:rFonts w:ascii="宋体" w:hAnsi="宋体" w:cs="宋体"/>
          <w:b/>
          <w:sz w:val="32"/>
          <w:szCs w:val="32"/>
          <w:highlight w:val="none"/>
        </w:rPr>
      </w:pPr>
      <w:r>
        <w:rPr>
          <w:rFonts w:hint="eastAsia" w:ascii="宋体" w:hAnsi="宋体" w:cs="宋体"/>
          <w:b/>
          <w:spacing w:val="0"/>
          <w:kern w:val="0"/>
          <w:sz w:val="32"/>
          <w:szCs w:val="32"/>
          <w:highlight w:val="none"/>
          <w:fitText w:val="1600" w:id="1764384445"/>
        </w:rPr>
        <w:t>投标人名称</w:t>
      </w:r>
      <w:r>
        <w:rPr>
          <w:rFonts w:hint="eastAsia" w:ascii="宋体" w:hAnsi="宋体" w:cs="宋体"/>
          <w:b/>
          <w:sz w:val="32"/>
          <w:szCs w:val="32"/>
          <w:highlight w:val="none"/>
        </w:rPr>
        <w:t>：</w:t>
      </w:r>
    </w:p>
    <w:p w14:paraId="46982CC7">
      <w:pPr>
        <w:rPr>
          <w:rFonts w:ascii="宋体" w:hAnsi="宋体" w:cs="宋体"/>
          <w:b/>
          <w:sz w:val="32"/>
          <w:szCs w:val="32"/>
          <w:highlight w:val="none"/>
        </w:rPr>
      </w:pPr>
      <w:r>
        <w:rPr>
          <w:rFonts w:hint="eastAsia" w:ascii="宋体" w:hAnsi="宋体" w:cs="宋体"/>
          <w:b/>
          <w:spacing w:val="32"/>
          <w:kern w:val="0"/>
          <w:sz w:val="32"/>
          <w:szCs w:val="32"/>
          <w:highlight w:val="none"/>
          <w:fitText w:val="1600" w:id="2061173831"/>
        </w:rPr>
        <w:t xml:space="preserve">日    </w:t>
      </w:r>
      <w:r>
        <w:rPr>
          <w:rFonts w:hint="eastAsia" w:ascii="宋体" w:hAnsi="宋体" w:cs="宋体"/>
          <w:b/>
          <w:spacing w:val="0"/>
          <w:kern w:val="0"/>
          <w:sz w:val="32"/>
          <w:szCs w:val="32"/>
          <w:highlight w:val="none"/>
          <w:fitText w:val="1600" w:id="2061173831"/>
        </w:rPr>
        <w:t>期</w:t>
      </w:r>
      <w:r>
        <w:rPr>
          <w:rFonts w:hint="eastAsia" w:ascii="宋体" w:hAnsi="宋体" w:cs="宋体"/>
          <w:b/>
          <w:sz w:val="32"/>
          <w:szCs w:val="32"/>
          <w:highlight w:val="none"/>
        </w:rPr>
        <w:t>：</w:t>
      </w:r>
    </w:p>
    <w:p w14:paraId="2D83D015">
      <w:pPr>
        <w:pStyle w:val="2"/>
        <w:rPr>
          <w:b/>
          <w:sz w:val="32"/>
          <w:szCs w:val="32"/>
          <w:highlight w:val="none"/>
        </w:rPr>
      </w:pPr>
    </w:p>
    <w:p w14:paraId="499BC537">
      <w:pPr>
        <w:pStyle w:val="29"/>
        <w:ind w:firstLine="321"/>
        <w:rPr>
          <w:b/>
          <w:sz w:val="32"/>
          <w:szCs w:val="32"/>
        </w:rPr>
      </w:pPr>
    </w:p>
    <w:p w14:paraId="1C0E0567">
      <w:pPr>
        <w:pStyle w:val="24"/>
        <w:rPr>
          <w:rFonts w:ascii="宋体" w:hAnsi="宋体" w:cs="宋体"/>
          <w:b/>
          <w:sz w:val="32"/>
          <w:szCs w:val="32"/>
        </w:rPr>
      </w:pPr>
    </w:p>
    <w:p w14:paraId="626C7990">
      <w:pPr>
        <w:rPr>
          <w:rFonts w:ascii="宋体" w:hAnsi="宋体" w:cs="宋体"/>
          <w:b/>
          <w:sz w:val="32"/>
          <w:szCs w:val="32"/>
        </w:rPr>
      </w:pPr>
    </w:p>
    <w:p w14:paraId="0D040665">
      <w:pPr>
        <w:pStyle w:val="2"/>
        <w:rPr>
          <w:b/>
          <w:sz w:val="32"/>
          <w:szCs w:val="32"/>
        </w:rPr>
      </w:pPr>
    </w:p>
    <w:p w14:paraId="50A815A1"/>
    <w:p w14:paraId="13A3B874">
      <w:pPr>
        <w:rPr>
          <w:rFonts w:ascii="宋体" w:hAnsi="宋体"/>
          <w:szCs w:val="21"/>
        </w:rPr>
      </w:pPr>
      <w:r>
        <w:rPr>
          <w:rFonts w:hint="eastAsia" w:ascii="宋体" w:hAnsi="宋体"/>
          <w:szCs w:val="21"/>
        </w:rPr>
        <w:br w:type="page"/>
      </w:r>
    </w:p>
    <w:p w14:paraId="010C11F1">
      <w:pPr>
        <w:pStyle w:val="8"/>
        <w:widowControl w:val="0"/>
        <w:overflowPunct w:val="0"/>
        <w:spacing w:line="240" w:lineRule="auto"/>
      </w:pPr>
      <w:bookmarkStart w:id="250" w:name="_Toc1363"/>
      <w:r>
        <w:rPr>
          <w:rFonts w:hint="eastAsia" w:ascii="宋体" w:hAnsi="宋体"/>
          <w:sz w:val="21"/>
          <w:szCs w:val="21"/>
        </w:rPr>
        <w:t>附件</w:t>
      </w:r>
      <w:r>
        <w:rPr>
          <w:rFonts w:hint="eastAsia" w:ascii="宋体" w:hAnsi="宋体"/>
          <w:sz w:val="21"/>
          <w:szCs w:val="21"/>
          <w:lang w:val="en-US" w:eastAsia="zh-CN"/>
        </w:rPr>
        <w:t>4</w:t>
      </w:r>
      <w:r>
        <w:rPr>
          <w:rFonts w:hint="eastAsia" w:ascii="宋体" w:hAnsi="宋体"/>
          <w:sz w:val="21"/>
          <w:szCs w:val="21"/>
        </w:rPr>
        <w:t>.投标书格式</w:t>
      </w:r>
      <w:bookmarkEnd w:id="250"/>
    </w:p>
    <w:p w14:paraId="644FDE7D">
      <w:pPr>
        <w:jc w:val="center"/>
        <w:rPr>
          <w:rFonts w:ascii="宋体" w:hAnsi="宋体"/>
          <w:szCs w:val="21"/>
        </w:rPr>
      </w:pPr>
      <w:r>
        <w:rPr>
          <w:rFonts w:hint="eastAsia" w:ascii="黑体" w:eastAsia="黑体"/>
          <w:sz w:val="32"/>
          <w:szCs w:val="32"/>
        </w:rPr>
        <w:t>投标书</w:t>
      </w:r>
    </w:p>
    <w:p w14:paraId="53924FB0">
      <w:pPr>
        <w:rPr>
          <w:rFonts w:ascii="宋体" w:hAnsi="宋体"/>
          <w:szCs w:val="21"/>
        </w:rPr>
      </w:pPr>
      <w:r>
        <w:rPr>
          <w:rFonts w:hint="eastAsia" w:ascii="宋体" w:hAnsi="宋体"/>
          <w:szCs w:val="21"/>
        </w:rPr>
        <w:t>致：</w:t>
      </w:r>
      <w:r>
        <w:rPr>
          <w:rFonts w:hint="eastAsia" w:ascii="宋体" w:hAnsi="宋体" w:cs="宋体"/>
          <w:color w:val="auto"/>
          <w:szCs w:val="21"/>
          <w:highlight w:val="none"/>
          <w:lang w:eastAsia="zh-CN"/>
        </w:rPr>
        <w:t>广州宏达工程顾问集团有限公司</w:t>
      </w:r>
      <w:r>
        <w:rPr>
          <w:rFonts w:hint="eastAsia" w:ascii="宋体" w:hAnsi="宋体"/>
          <w:szCs w:val="21"/>
        </w:rPr>
        <w:t>：</w:t>
      </w:r>
    </w:p>
    <w:p w14:paraId="40533B8F">
      <w:pPr>
        <w:rPr>
          <w:rFonts w:ascii="宋体" w:hAnsi="宋体"/>
          <w:szCs w:val="21"/>
        </w:rPr>
      </w:pPr>
    </w:p>
    <w:p w14:paraId="1191E0CE">
      <w:pPr>
        <w:ind w:firstLine="420" w:firstLineChars="200"/>
        <w:rPr>
          <w:rFonts w:ascii="宋体" w:hAnsi="宋体"/>
          <w:szCs w:val="21"/>
        </w:rPr>
      </w:pPr>
      <w:r>
        <w:rPr>
          <w:rFonts w:hint="eastAsia" w:ascii="宋体" w:hAnsi="宋体"/>
          <w:szCs w:val="21"/>
        </w:rPr>
        <w:t>根据贵方为</w:t>
      </w:r>
      <w:r>
        <w:rPr>
          <w:rFonts w:hint="eastAsia" w:ascii="宋体" w:hAnsi="宋体"/>
          <w:szCs w:val="21"/>
          <w:u w:val="single"/>
        </w:rPr>
        <w:t>（项目名称）（采购项目编号）</w:t>
      </w:r>
      <w:r>
        <w:rPr>
          <w:rFonts w:hint="eastAsia" w:ascii="宋体" w:hAnsi="宋体"/>
          <w:szCs w:val="21"/>
        </w:rPr>
        <w:t>项目采购公告，签字代表</w:t>
      </w:r>
      <w:r>
        <w:rPr>
          <w:rFonts w:hint="eastAsia" w:ascii="宋体" w:hAnsi="宋体"/>
          <w:szCs w:val="21"/>
          <w:u w:val="single"/>
        </w:rPr>
        <w:t>（姓名、职务）</w:t>
      </w:r>
      <w:r>
        <w:rPr>
          <w:rFonts w:hint="eastAsia" w:ascii="宋体" w:hAnsi="宋体"/>
          <w:szCs w:val="21"/>
        </w:rPr>
        <w:t>经正式授权并代表投标人</w:t>
      </w:r>
      <w:r>
        <w:rPr>
          <w:rFonts w:hint="eastAsia" w:ascii="宋体" w:hAnsi="宋体"/>
          <w:szCs w:val="21"/>
          <w:u w:val="single"/>
        </w:rPr>
        <w:t>（投标人名称、地址）</w:t>
      </w:r>
      <w:r>
        <w:rPr>
          <w:rFonts w:hint="eastAsia" w:ascii="宋体" w:hAnsi="宋体"/>
          <w:szCs w:val="21"/>
        </w:rPr>
        <w:t>提交投标文件及“唱标信封”：</w:t>
      </w:r>
    </w:p>
    <w:p w14:paraId="4FA100FE">
      <w:pPr>
        <w:ind w:firstLine="420" w:firstLineChars="200"/>
        <w:rPr>
          <w:rFonts w:ascii="宋体" w:hAnsi="宋体"/>
          <w:szCs w:val="21"/>
        </w:rPr>
      </w:pPr>
      <w:r>
        <w:rPr>
          <w:rFonts w:hint="eastAsia" w:ascii="宋体" w:hAnsi="宋体"/>
          <w:szCs w:val="21"/>
        </w:rPr>
        <w:t xml:space="preserve">在此，签字代表宣布同意如下： </w:t>
      </w:r>
    </w:p>
    <w:p w14:paraId="3759D4F4">
      <w:pPr>
        <w:widowControl w:val="0"/>
        <w:numPr>
          <w:ilvl w:val="0"/>
          <w:numId w:val="9"/>
        </w:numPr>
        <w:adjustRightInd/>
        <w:snapToGrid/>
        <w:jc w:val="both"/>
        <w:rPr>
          <w:rFonts w:ascii="宋体" w:hAnsi="宋体"/>
          <w:szCs w:val="21"/>
        </w:rPr>
      </w:pPr>
      <w:r>
        <w:rPr>
          <w:rFonts w:hint="eastAsia" w:ascii="宋体" w:hAnsi="宋体"/>
          <w:szCs w:val="21"/>
        </w:rPr>
        <w:t xml:space="preserve">我方将按采购文件的规定履行合同责任和义务。 </w:t>
      </w:r>
    </w:p>
    <w:p w14:paraId="2B2FABEA">
      <w:pPr>
        <w:widowControl w:val="0"/>
        <w:numPr>
          <w:ilvl w:val="0"/>
          <w:numId w:val="9"/>
        </w:numPr>
        <w:adjustRightInd/>
        <w:snapToGrid/>
        <w:jc w:val="both"/>
        <w:rPr>
          <w:rFonts w:ascii="宋体" w:hAnsi="宋体"/>
          <w:szCs w:val="21"/>
        </w:rPr>
      </w:pPr>
      <w:r>
        <w:rPr>
          <w:rFonts w:hint="eastAsia" w:ascii="宋体" w:hAnsi="宋体"/>
          <w:b/>
          <w:szCs w:val="21"/>
        </w:rPr>
        <w:t>我方已完整阅读了本项目采购文件的所有内容（包括澄清，以及所有已提供的参考资料和有关附件），并完全理解上述文件所表达的意思，该项目递交投标文件时间截止后，我方承诺不再对上述文件内容进行异议。</w:t>
      </w:r>
    </w:p>
    <w:p w14:paraId="768AEDC5">
      <w:pPr>
        <w:widowControl w:val="0"/>
        <w:numPr>
          <w:ilvl w:val="0"/>
          <w:numId w:val="9"/>
        </w:numPr>
        <w:adjustRightInd/>
        <w:snapToGrid/>
        <w:jc w:val="both"/>
        <w:rPr>
          <w:rFonts w:ascii="宋体" w:hAnsi="宋体"/>
          <w:szCs w:val="21"/>
        </w:rPr>
      </w:pPr>
      <w:r>
        <w:rPr>
          <w:rFonts w:hint="eastAsia" w:ascii="宋体" w:hAnsi="宋体"/>
          <w:szCs w:val="21"/>
        </w:rPr>
        <w:t>本投标有效期为自开标日起</w:t>
      </w:r>
      <w:r>
        <w:rPr>
          <w:rFonts w:hint="eastAsia" w:ascii="宋体" w:hAnsi="宋体"/>
          <w:szCs w:val="21"/>
          <w:u w:val="single"/>
        </w:rPr>
        <w:t>90</w:t>
      </w:r>
      <w:r>
        <w:rPr>
          <w:rFonts w:hint="eastAsia" w:ascii="宋体" w:hAnsi="宋体"/>
          <w:szCs w:val="21"/>
        </w:rPr>
        <w:t xml:space="preserve">个日历日。 </w:t>
      </w:r>
    </w:p>
    <w:p w14:paraId="220873A6">
      <w:pPr>
        <w:widowControl w:val="0"/>
        <w:numPr>
          <w:ilvl w:val="0"/>
          <w:numId w:val="9"/>
        </w:numPr>
        <w:adjustRightInd/>
        <w:snapToGrid/>
        <w:jc w:val="both"/>
        <w:rPr>
          <w:rFonts w:ascii="宋体" w:hAnsi="宋体"/>
          <w:szCs w:val="21"/>
        </w:rPr>
      </w:pPr>
      <w:r>
        <w:rPr>
          <w:rFonts w:hint="eastAsia" w:ascii="宋体" w:hAnsi="宋体"/>
          <w:szCs w:val="21"/>
        </w:rPr>
        <w:t>我方保证遵守投标人须知中关于没收投标保证金的规定。</w:t>
      </w:r>
    </w:p>
    <w:p w14:paraId="506CF3B8">
      <w:pPr>
        <w:widowControl w:val="0"/>
        <w:numPr>
          <w:ilvl w:val="0"/>
          <w:numId w:val="9"/>
        </w:numPr>
        <w:adjustRightInd/>
        <w:snapToGrid/>
        <w:jc w:val="both"/>
        <w:rPr>
          <w:rFonts w:ascii="宋体" w:hAnsi="宋体"/>
          <w:szCs w:val="21"/>
        </w:rPr>
      </w:pPr>
      <w:r>
        <w:rPr>
          <w:rFonts w:hint="eastAsia" w:ascii="宋体" w:hAnsi="宋体"/>
          <w:szCs w:val="21"/>
        </w:rPr>
        <w:t xml:space="preserve">我方承诺，与买方聘请的为此项目提供咨询服务的公司及任何附属机构均无关联，我方不是买方的附属机构。 </w:t>
      </w:r>
    </w:p>
    <w:p w14:paraId="4243EC58">
      <w:pPr>
        <w:widowControl w:val="0"/>
        <w:numPr>
          <w:ilvl w:val="0"/>
          <w:numId w:val="9"/>
        </w:numPr>
        <w:adjustRightInd/>
        <w:snapToGrid/>
        <w:jc w:val="both"/>
        <w:rPr>
          <w:rFonts w:ascii="宋体" w:hAnsi="宋体"/>
          <w:szCs w:val="21"/>
        </w:rPr>
      </w:pPr>
      <w:r>
        <w:rPr>
          <w:rFonts w:hint="eastAsia" w:ascii="宋体" w:hAnsi="宋体"/>
          <w:szCs w:val="21"/>
        </w:rPr>
        <w:t>我方承诺，我方具备投标人邀请中所要求的资格条件，已清楚采购文件所有要求及有关规定；并承诺参加本次采购活动中，如有违法、违规、弄虚作假行为，所造成的损失、不良后果及法律责任，一律由我方承担；</w:t>
      </w:r>
    </w:p>
    <w:p w14:paraId="27EA1CEF">
      <w:pPr>
        <w:widowControl w:val="0"/>
        <w:numPr>
          <w:ilvl w:val="0"/>
          <w:numId w:val="9"/>
        </w:numPr>
        <w:adjustRightInd/>
        <w:snapToGrid/>
        <w:jc w:val="both"/>
        <w:rPr>
          <w:rFonts w:ascii="宋体" w:hAnsi="宋体"/>
          <w:szCs w:val="21"/>
        </w:rPr>
      </w:pPr>
      <w:r>
        <w:rPr>
          <w:rFonts w:hint="eastAsia" w:ascii="宋体" w:hAnsi="宋体"/>
          <w:szCs w:val="21"/>
        </w:rPr>
        <w:t>我方同意提供按照贵方可能要求的与其投标有关的一切数据或资料。</w:t>
      </w:r>
    </w:p>
    <w:p w14:paraId="7CDA7346">
      <w:pPr>
        <w:widowControl w:val="0"/>
        <w:numPr>
          <w:ilvl w:val="0"/>
          <w:numId w:val="9"/>
        </w:numPr>
        <w:adjustRightInd/>
        <w:snapToGrid/>
        <w:jc w:val="both"/>
        <w:rPr>
          <w:rFonts w:ascii="宋体" w:hAnsi="宋体"/>
          <w:szCs w:val="21"/>
        </w:rPr>
      </w:pPr>
      <w:r>
        <w:rPr>
          <w:rFonts w:hint="eastAsia" w:ascii="宋体" w:hAnsi="宋体"/>
          <w:szCs w:val="21"/>
        </w:rPr>
        <w:t>与本投标有关的一切正式信函请寄：</w:t>
      </w:r>
    </w:p>
    <w:p w14:paraId="24CA8765">
      <w:pPr>
        <w:rPr>
          <w:rFonts w:ascii="宋体" w:hAnsi="宋体"/>
          <w:szCs w:val="21"/>
        </w:rPr>
      </w:pPr>
      <w:r>
        <w:rPr>
          <w:rFonts w:hint="eastAsia" w:ascii="宋体" w:hAnsi="宋体"/>
          <w:szCs w:val="21"/>
        </w:rPr>
        <w:t>地址：　　　　　　　　　　　　　　　　　　　 电子邮箱：</w:t>
      </w:r>
    </w:p>
    <w:p w14:paraId="6CA42844">
      <w:pPr>
        <w:rPr>
          <w:rFonts w:ascii="宋体" w:hAnsi="宋体"/>
          <w:szCs w:val="21"/>
        </w:rPr>
      </w:pPr>
      <w:r>
        <w:rPr>
          <w:rFonts w:hint="eastAsia" w:ascii="宋体" w:hAnsi="宋体"/>
          <w:szCs w:val="21"/>
        </w:rPr>
        <w:t>电话/移动电话：　　　　　　　　　　　　　　　</w:t>
      </w:r>
    </w:p>
    <w:p w14:paraId="2C9A4046">
      <w:pPr>
        <w:rPr>
          <w:rFonts w:ascii="宋体" w:hAnsi="宋体"/>
          <w:szCs w:val="21"/>
        </w:rPr>
      </w:pPr>
      <w:r>
        <w:rPr>
          <w:rFonts w:hint="eastAsia" w:ascii="宋体" w:hAnsi="宋体"/>
          <w:szCs w:val="21"/>
        </w:rPr>
        <w:t xml:space="preserve">投标人法定代表人（或其授权代表）签字： </w:t>
      </w:r>
    </w:p>
    <w:p w14:paraId="7B5EB56E">
      <w:pPr>
        <w:rPr>
          <w:rFonts w:ascii="宋体" w:hAnsi="宋体"/>
          <w:szCs w:val="21"/>
        </w:rPr>
      </w:pPr>
      <w:r>
        <w:rPr>
          <w:rFonts w:hint="eastAsia" w:ascii="宋体" w:hAnsi="宋体"/>
          <w:szCs w:val="21"/>
        </w:rPr>
        <w:t xml:space="preserve">投标人名称（全称）： </w:t>
      </w:r>
    </w:p>
    <w:p w14:paraId="06E310DC">
      <w:pPr>
        <w:rPr>
          <w:rFonts w:ascii="宋体" w:hAnsi="宋体"/>
          <w:szCs w:val="21"/>
        </w:rPr>
      </w:pPr>
      <w:r>
        <w:rPr>
          <w:rFonts w:hint="eastAsia" w:ascii="宋体" w:hAnsi="宋体"/>
          <w:szCs w:val="21"/>
        </w:rPr>
        <w:t xml:space="preserve">投标人盖章： </w:t>
      </w:r>
    </w:p>
    <w:p w14:paraId="5E98D387">
      <w:r>
        <w:rPr>
          <w:rFonts w:hint="eastAsia" w:ascii="宋体" w:hAnsi="宋体"/>
          <w:szCs w:val="21"/>
        </w:rPr>
        <w:t>日期：</w:t>
      </w:r>
      <w:r>
        <w:br w:type="page"/>
      </w:r>
    </w:p>
    <w:p w14:paraId="264800BD">
      <w:pPr>
        <w:pStyle w:val="8"/>
        <w:widowControl w:val="0"/>
        <w:overflowPunct w:val="0"/>
        <w:spacing w:line="240" w:lineRule="auto"/>
        <w:rPr>
          <w:rFonts w:ascii="宋体" w:hAnsi="宋体"/>
          <w:sz w:val="21"/>
          <w:szCs w:val="21"/>
        </w:rPr>
      </w:pPr>
      <w:bookmarkStart w:id="251" w:name="_Toc2769"/>
      <w:r>
        <w:rPr>
          <w:rFonts w:hint="eastAsia" w:ascii="宋体" w:hAnsi="宋体"/>
          <w:sz w:val="21"/>
          <w:szCs w:val="21"/>
        </w:rPr>
        <w:t>附件</w:t>
      </w:r>
      <w:r>
        <w:rPr>
          <w:rFonts w:hint="eastAsia" w:ascii="宋体" w:hAnsi="宋体"/>
          <w:sz w:val="21"/>
          <w:szCs w:val="21"/>
          <w:lang w:val="en-US" w:eastAsia="zh-CN"/>
        </w:rPr>
        <w:t>5</w:t>
      </w:r>
      <w:r>
        <w:rPr>
          <w:rFonts w:hint="eastAsia" w:ascii="宋体" w:hAnsi="宋体"/>
          <w:sz w:val="21"/>
          <w:szCs w:val="21"/>
        </w:rPr>
        <w:t>. 法定代表人证明书格式</w:t>
      </w:r>
      <w:bookmarkEnd w:id="251"/>
    </w:p>
    <w:p w14:paraId="59DEC191"/>
    <w:p w14:paraId="4613FFDE">
      <w:pPr>
        <w:jc w:val="center"/>
        <w:rPr>
          <w:rFonts w:ascii="黑体" w:eastAsia="黑体"/>
          <w:sz w:val="28"/>
          <w:szCs w:val="28"/>
        </w:rPr>
      </w:pPr>
      <w:r>
        <w:rPr>
          <w:rFonts w:hint="eastAsia" w:ascii="黑体" w:eastAsia="黑体"/>
          <w:sz w:val="28"/>
          <w:szCs w:val="28"/>
        </w:rPr>
        <w:t>法定代表人证明书</w:t>
      </w:r>
    </w:p>
    <w:p w14:paraId="36C434A8">
      <w:pPr>
        <w:pStyle w:val="46"/>
        <w:spacing w:line="420" w:lineRule="atLeast"/>
        <w:ind w:firstLine="0" w:firstLineChars="0"/>
        <w:rPr>
          <w:rFonts w:ascii="宋体" w:eastAsia="宋体"/>
          <w:sz w:val="21"/>
          <w:szCs w:val="21"/>
        </w:rPr>
      </w:pPr>
      <w:r>
        <w:rPr>
          <w:rFonts w:hint="eastAsia" w:ascii="宋体" w:eastAsia="宋体"/>
          <w:sz w:val="21"/>
          <w:szCs w:val="21"/>
        </w:rPr>
        <w:t>致：广州宏达工程顾问集团有限公司</w:t>
      </w:r>
    </w:p>
    <w:p w14:paraId="03013561">
      <w:pPr>
        <w:pStyle w:val="46"/>
        <w:spacing w:line="420" w:lineRule="atLeast"/>
        <w:ind w:firstLine="433"/>
        <w:rPr>
          <w:rFonts w:ascii="宋体" w:eastAsia="宋体"/>
          <w:sz w:val="21"/>
          <w:szCs w:val="21"/>
        </w:rPr>
      </w:pPr>
    </w:p>
    <w:p w14:paraId="570F2526">
      <w:pPr>
        <w:pStyle w:val="46"/>
        <w:spacing w:line="420" w:lineRule="atLeast"/>
        <w:ind w:firstLine="433"/>
        <w:rPr>
          <w:rFonts w:ascii="宋体" w:eastAsia="宋体"/>
          <w:sz w:val="21"/>
          <w:szCs w:val="21"/>
          <w:u w:val="single"/>
        </w:rPr>
      </w:pPr>
      <w:r>
        <w:rPr>
          <w:rFonts w:hint="eastAsia" w:ascii="宋体" w:eastAsia="宋体"/>
          <w:sz w:val="21"/>
          <w:szCs w:val="21"/>
        </w:rPr>
        <w:t>投标人名称:</w:t>
      </w:r>
    </w:p>
    <w:p w14:paraId="6B40CC55">
      <w:pPr>
        <w:pStyle w:val="46"/>
        <w:spacing w:line="420" w:lineRule="atLeast"/>
        <w:ind w:firstLine="433"/>
        <w:rPr>
          <w:rFonts w:ascii="宋体" w:eastAsia="宋体"/>
          <w:sz w:val="21"/>
          <w:szCs w:val="21"/>
          <w:u w:val="single"/>
        </w:rPr>
      </w:pPr>
      <w:r>
        <w:rPr>
          <w:rFonts w:hint="eastAsia" w:ascii="宋体" w:eastAsia="宋体"/>
          <w:sz w:val="21"/>
          <w:szCs w:val="21"/>
        </w:rPr>
        <w:t>单 位 性质：</w:t>
      </w:r>
    </w:p>
    <w:p w14:paraId="2B05C81E">
      <w:pPr>
        <w:pStyle w:val="46"/>
        <w:spacing w:line="420" w:lineRule="atLeast"/>
        <w:ind w:firstLine="433"/>
        <w:rPr>
          <w:rFonts w:ascii="宋体" w:eastAsia="宋体"/>
          <w:sz w:val="21"/>
          <w:szCs w:val="21"/>
          <w:u w:val="single"/>
        </w:rPr>
      </w:pPr>
      <w:r>
        <w:rPr>
          <w:rFonts w:hint="eastAsia" w:ascii="宋体" w:eastAsia="宋体"/>
          <w:sz w:val="21"/>
          <w:szCs w:val="21"/>
        </w:rPr>
        <w:t>地      址：</w:t>
      </w:r>
    </w:p>
    <w:p w14:paraId="7C962AA5">
      <w:pPr>
        <w:pStyle w:val="46"/>
        <w:spacing w:line="420" w:lineRule="atLeast"/>
        <w:ind w:firstLine="433"/>
        <w:rPr>
          <w:rFonts w:ascii="宋体" w:eastAsia="宋体"/>
          <w:sz w:val="21"/>
          <w:szCs w:val="21"/>
        </w:rPr>
      </w:pPr>
      <w:r>
        <w:rPr>
          <w:rFonts w:hint="eastAsia" w:ascii="宋体" w:eastAsia="宋体"/>
          <w:sz w:val="21"/>
          <w:szCs w:val="21"/>
        </w:rPr>
        <w:t>成 立 时间：年月日</w:t>
      </w:r>
    </w:p>
    <w:p w14:paraId="29EC24CD">
      <w:pPr>
        <w:pStyle w:val="46"/>
        <w:spacing w:line="420" w:lineRule="atLeast"/>
        <w:ind w:firstLine="433"/>
        <w:rPr>
          <w:rFonts w:ascii="宋体" w:eastAsia="宋体"/>
          <w:sz w:val="21"/>
          <w:szCs w:val="21"/>
        </w:rPr>
      </w:pPr>
      <w:r>
        <w:rPr>
          <w:rFonts w:hint="eastAsia" w:ascii="宋体" w:eastAsia="宋体"/>
          <w:sz w:val="21"/>
          <w:szCs w:val="21"/>
        </w:rPr>
        <w:t>经 营 期限：</w:t>
      </w:r>
    </w:p>
    <w:p w14:paraId="754576FA">
      <w:pPr>
        <w:pStyle w:val="46"/>
        <w:spacing w:line="420" w:lineRule="atLeast"/>
        <w:ind w:firstLine="433"/>
        <w:rPr>
          <w:rFonts w:ascii="宋体" w:eastAsia="宋体"/>
          <w:sz w:val="21"/>
          <w:szCs w:val="21"/>
        </w:rPr>
      </w:pPr>
      <w:r>
        <w:rPr>
          <w:rFonts w:hint="eastAsia" w:ascii="宋体" w:eastAsia="宋体"/>
          <w:sz w:val="21"/>
          <w:szCs w:val="21"/>
        </w:rPr>
        <w:t>姓名：性别：年龄：职务：</w:t>
      </w:r>
    </w:p>
    <w:p w14:paraId="695F400D">
      <w:pPr>
        <w:pStyle w:val="46"/>
        <w:spacing w:line="420" w:lineRule="atLeast"/>
        <w:ind w:firstLine="433"/>
        <w:rPr>
          <w:rFonts w:ascii="宋体" w:eastAsia="宋体"/>
          <w:sz w:val="21"/>
          <w:szCs w:val="21"/>
        </w:rPr>
      </w:pPr>
      <w:r>
        <w:rPr>
          <w:rFonts w:hint="eastAsia" w:ascii="宋体" w:eastAsia="宋体"/>
          <w:sz w:val="21"/>
          <w:szCs w:val="21"/>
        </w:rPr>
        <w:t>系（投标人名称）的法定代表人。</w:t>
      </w:r>
    </w:p>
    <w:p w14:paraId="14DDDC90">
      <w:pPr>
        <w:spacing w:line="420" w:lineRule="atLeast"/>
        <w:ind w:firstLine="420" w:firstLineChars="200"/>
        <w:rPr>
          <w:rFonts w:ascii="宋体" w:hAnsi="宋体"/>
          <w:szCs w:val="21"/>
        </w:rPr>
      </w:pPr>
      <w:r>
        <w:rPr>
          <w:rFonts w:hint="eastAsia" w:ascii="宋体" w:hAnsi="宋体"/>
          <w:szCs w:val="21"/>
        </w:rPr>
        <w:t>特此证明。</w:t>
      </w:r>
    </w:p>
    <w:p w14:paraId="638AD305">
      <w:pPr>
        <w:pStyle w:val="46"/>
        <w:spacing w:line="500" w:lineRule="atLeast"/>
        <w:ind w:firstLine="3517" w:firstLineChars="1675"/>
        <w:rPr>
          <w:rFonts w:ascii="宋体" w:eastAsia="宋体"/>
          <w:sz w:val="21"/>
          <w:szCs w:val="21"/>
        </w:rPr>
      </w:pPr>
    </w:p>
    <w:p w14:paraId="143358F2">
      <w:pPr>
        <w:pStyle w:val="46"/>
        <w:spacing w:line="500" w:lineRule="atLeast"/>
        <w:ind w:firstLine="3517" w:firstLineChars="1675"/>
        <w:rPr>
          <w:rFonts w:ascii="宋体" w:eastAsia="宋体"/>
          <w:sz w:val="21"/>
          <w:szCs w:val="21"/>
        </w:rPr>
      </w:pPr>
      <w:r>
        <w:rPr>
          <w:rFonts w:hint="eastAsia" w:ascii="宋体" w:eastAsia="宋体"/>
          <w:sz w:val="21"/>
          <w:szCs w:val="21"/>
        </w:rPr>
        <w:t>投标人名称（加盖公章）：</w:t>
      </w:r>
    </w:p>
    <w:p w14:paraId="3119097C">
      <w:pPr>
        <w:pStyle w:val="46"/>
        <w:spacing w:line="500" w:lineRule="atLeast"/>
        <w:ind w:firstLine="3517" w:firstLineChars="1675"/>
        <w:rPr>
          <w:rFonts w:ascii="宋体" w:eastAsia="宋体"/>
          <w:sz w:val="21"/>
          <w:szCs w:val="21"/>
        </w:rPr>
      </w:pPr>
      <w:r>
        <w:rPr>
          <w:rFonts w:hint="eastAsia" w:ascii="宋体" w:eastAsia="宋体"/>
          <w:sz w:val="21"/>
          <w:szCs w:val="21"/>
        </w:rPr>
        <w:t>法定代表人（签名或盖私章）：</w:t>
      </w:r>
    </w:p>
    <w:p w14:paraId="1893C094">
      <w:pPr>
        <w:pStyle w:val="46"/>
        <w:spacing w:line="500" w:lineRule="atLeast"/>
        <w:ind w:firstLine="3517" w:firstLineChars="1675"/>
        <w:rPr>
          <w:rFonts w:ascii="宋体" w:eastAsia="宋体"/>
          <w:sz w:val="21"/>
          <w:szCs w:val="21"/>
        </w:rPr>
      </w:pPr>
      <w:r>
        <w:rPr>
          <w:rFonts w:hint="eastAsia" w:ascii="宋体" w:eastAsia="宋体"/>
          <w:sz w:val="21"/>
          <w:szCs w:val="21"/>
        </w:rPr>
        <w:t>法定代表人联系方式：</w:t>
      </w:r>
    </w:p>
    <w:p w14:paraId="0E186362">
      <w:pPr>
        <w:pStyle w:val="46"/>
        <w:spacing w:line="500" w:lineRule="atLeast"/>
        <w:ind w:firstLine="3517" w:firstLineChars="1675"/>
        <w:rPr>
          <w:rFonts w:ascii="宋体" w:eastAsia="宋体"/>
          <w:sz w:val="21"/>
          <w:szCs w:val="21"/>
          <w:u w:val="single"/>
        </w:rPr>
      </w:pPr>
      <w:r>
        <w:rPr>
          <w:rFonts w:hint="eastAsia" w:ascii="宋体" w:eastAsia="宋体"/>
          <w:sz w:val="21"/>
          <w:szCs w:val="21"/>
        </w:rPr>
        <w:t>身份证号码：</w:t>
      </w:r>
    </w:p>
    <w:p w14:paraId="7130C34D">
      <w:pPr>
        <w:pStyle w:val="46"/>
        <w:spacing w:line="500" w:lineRule="atLeast"/>
        <w:ind w:firstLine="3507" w:firstLineChars="1670"/>
        <w:rPr>
          <w:rFonts w:ascii="宋体" w:eastAsia="宋体"/>
          <w:sz w:val="21"/>
          <w:szCs w:val="21"/>
        </w:rPr>
      </w:pPr>
      <w:r>
        <w:rPr>
          <w:rFonts w:hint="eastAsia" w:ascii="宋体" w:eastAsia="宋体"/>
          <w:sz w:val="21"/>
          <w:szCs w:val="21"/>
        </w:rPr>
        <w:t>日     期：  年  月  日</w:t>
      </w:r>
    </w:p>
    <w:p w14:paraId="31D836C5">
      <w:pPr>
        <w:ind w:firstLine="420" w:firstLineChars="200"/>
        <w:rPr>
          <w:rFonts w:ascii="宋体" w:hAnsi="宋体"/>
          <w:szCs w:val="21"/>
        </w:rPr>
      </w:pPr>
    </w:p>
    <w:p w14:paraId="3712B9DA">
      <w:pPr>
        <w:ind w:firstLine="420" w:firstLineChars="200"/>
        <w:rPr>
          <w:rFonts w:ascii="宋体" w:hAnsi="宋体"/>
          <w:szCs w:val="21"/>
        </w:rPr>
      </w:pPr>
      <w:r>
        <w:rPr>
          <w:rFonts w:hint="eastAsia" w:ascii="宋体" w:hAnsi="宋体"/>
          <w:szCs w:val="21"/>
        </w:rPr>
        <w:t>注：法定代表人身份证明书需附法人代表身份证复印件。</w:t>
      </w:r>
    </w:p>
    <w:tbl>
      <w:tblPr>
        <w:tblStyle w:val="31"/>
        <w:tblW w:w="8364" w:type="dxa"/>
        <w:jc w:val="center"/>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4182"/>
        <w:gridCol w:w="4182"/>
      </w:tblGrid>
      <w:tr w14:paraId="7EBBEAE5">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517" w:hRule="atLeast"/>
          <w:jc w:val="center"/>
        </w:trPr>
        <w:tc>
          <w:tcPr>
            <w:tcW w:w="4182" w:type="dxa"/>
            <w:vAlign w:val="center"/>
          </w:tcPr>
          <w:p w14:paraId="34171E7C">
            <w:pPr>
              <w:pStyle w:val="46"/>
              <w:spacing w:line="460" w:lineRule="exact"/>
              <w:ind w:firstLine="0" w:firstLineChars="0"/>
              <w:jc w:val="center"/>
              <w:rPr>
                <w:rFonts w:ascii="宋体" w:eastAsia="宋体"/>
                <w:sz w:val="22"/>
              </w:rPr>
            </w:pPr>
            <w:r>
              <w:rPr>
                <w:rFonts w:hint="eastAsia" w:ascii="宋体" w:eastAsia="宋体"/>
                <w:sz w:val="22"/>
              </w:rPr>
              <w:t>正面</w:t>
            </w:r>
          </w:p>
        </w:tc>
        <w:tc>
          <w:tcPr>
            <w:tcW w:w="4182" w:type="dxa"/>
            <w:vAlign w:val="center"/>
          </w:tcPr>
          <w:p w14:paraId="2B6A3017">
            <w:pPr>
              <w:pStyle w:val="46"/>
              <w:spacing w:line="460" w:lineRule="exact"/>
              <w:ind w:firstLine="0" w:firstLineChars="0"/>
              <w:jc w:val="center"/>
              <w:rPr>
                <w:rFonts w:ascii="宋体" w:eastAsia="宋体"/>
                <w:sz w:val="22"/>
              </w:rPr>
            </w:pPr>
            <w:r>
              <w:rPr>
                <w:rFonts w:hint="eastAsia" w:ascii="宋体" w:eastAsia="宋体"/>
                <w:sz w:val="22"/>
              </w:rPr>
              <w:t>背面</w:t>
            </w:r>
          </w:p>
        </w:tc>
      </w:tr>
    </w:tbl>
    <w:p w14:paraId="25A35AF0"/>
    <w:p w14:paraId="05AE71E7">
      <w:pPr>
        <w:adjustRightInd/>
        <w:snapToGrid/>
        <w:spacing w:line="276" w:lineRule="auto"/>
        <w:rPr>
          <w:rFonts w:ascii="楷体_GB2312" w:eastAsia="楷体_GB2312" w:hAnsiTheme="majorHAnsi" w:cstheme="majorBidi"/>
          <w:b/>
          <w:bCs/>
          <w:sz w:val="24"/>
          <w:szCs w:val="28"/>
        </w:rPr>
      </w:pPr>
      <w:r>
        <w:rPr>
          <w:rFonts w:ascii="楷体_GB2312" w:eastAsia="楷体_GB2312"/>
          <w:sz w:val="24"/>
        </w:rPr>
        <w:br w:type="page"/>
      </w:r>
    </w:p>
    <w:p w14:paraId="0ADD9E47">
      <w:pPr>
        <w:pStyle w:val="8"/>
        <w:widowControl w:val="0"/>
        <w:overflowPunct w:val="0"/>
        <w:spacing w:line="240" w:lineRule="auto"/>
      </w:pPr>
      <w:bookmarkStart w:id="252" w:name="_Toc3280"/>
      <w:r>
        <w:rPr>
          <w:rFonts w:hint="eastAsia" w:ascii="宋体" w:hAnsi="宋体"/>
          <w:sz w:val="21"/>
          <w:szCs w:val="21"/>
        </w:rPr>
        <w:t>附件</w:t>
      </w:r>
      <w:r>
        <w:rPr>
          <w:rFonts w:hint="eastAsia" w:ascii="宋体" w:hAnsi="宋体"/>
          <w:sz w:val="21"/>
          <w:szCs w:val="21"/>
          <w:lang w:val="en-US" w:eastAsia="zh-CN"/>
        </w:rPr>
        <w:t>6</w:t>
      </w:r>
      <w:r>
        <w:rPr>
          <w:rFonts w:hint="eastAsia" w:ascii="宋体" w:hAnsi="宋体"/>
          <w:sz w:val="21"/>
          <w:szCs w:val="21"/>
        </w:rPr>
        <w:t>.法定代表人授权书格式</w:t>
      </w:r>
      <w:bookmarkEnd w:id="252"/>
    </w:p>
    <w:p w14:paraId="7BA6C1D4"/>
    <w:p w14:paraId="2C234331">
      <w:pPr>
        <w:jc w:val="center"/>
        <w:rPr>
          <w:rFonts w:ascii="黑体" w:eastAsia="黑体"/>
          <w:sz w:val="28"/>
          <w:szCs w:val="28"/>
        </w:rPr>
      </w:pPr>
      <w:r>
        <w:rPr>
          <w:rFonts w:hint="eastAsia" w:ascii="黑体" w:eastAsia="黑体"/>
          <w:sz w:val="28"/>
          <w:szCs w:val="28"/>
        </w:rPr>
        <w:t>法定代表人授权书</w:t>
      </w:r>
    </w:p>
    <w:p w14:paraId="62D48B31">
      <w:pPr>
        <w:pStyle w:val="46"/>
        <w:spacing w:line="420" w:lineRule="atLeast"/>
        <w:ind w:firstLine="0" w:firstLineChars="0"/>
        <w:rPr>
          <w:rFonts w:ascii="宋体" w:eastAsia="宋体"/>
          <w:sz w:val="21"/>
          <w:szCs w:val="21"/>
        </w:rPr>
      </w:pPr>
      <w:r>
        <w:rPr>
          <w:rFonts w:hint="eastAsia" w:ascii="宋体" w:eastAsia="宋体"/>
          <w:sz w:val="21"/>
          <w:szCs w:val="21"/>
        </w:rPr>
        <w:t>致：广州宏达工程顾问集团有限公司</w:t>
      </w:r>
    </w:p>
    <w:p w14:paraId="301B7272">
      <w:pPr>
        <w:pStyle w:val="46"/>
        <w:spacing w:line="420" w:lineRule="atLeast"/>
        <w:ind w:firstLine="433"/>
        <w:rPr>
          <w:rFonts w:ascii="宋体" w:eastAsia="宋体"/>
          <w:sz w:val="21"/>
          <w:szCs w:val="21"/>
        </w:rPr>
      </w:pPr>
    </w:p>
    <w:p w14:paraId="4EE57813">
      <w:pPr>
        <w:ind w:firstLine="420" w:firstLineChars="200"/>
        <w:rPr>
          <w:rFonts w:ascii="宋体" w:hAnsi="宋体" w:cs="Times New Roman"/>
          <w:szCs w:val="21"/>
        </w:rPr>
      </w:pPr>
      <w:r>
        <w:rPr>
          <w:rFonts w:hint="eastAsia" w:ascii="宋体" w:hAnsi="宋体" w:cs="Times New Roman"/>
          <w:szCs w:val="21"/>
        </w:rPr>
        <w:t>本授权书声明：注册于</w:t>
      </w:r>
      <w:r>
        <w:rPr>
          <w:rFonts w:hint="eastAsia" w:ascii="宋体" w:hAnsi="宋体" w:cs="Times New Roman"/>
          <w:szCs w:val="21"/>
          <w:u w:val="single"/>
        </w:rPr>
        <w:t>（国家或地区的名称）</w:t>
      </w:r>
      <w:r>
        <w:rPr>
          <w:rFonts w:hint="eastAsia" w:ascii="宋体" w:hAnsi="宋体" w:cs="Times New Roman"/>
          <w:szCs w:val="21"/>
        </w:rPr>
        <w:t>的</w:t>
      </w:r>
      <w:r>
        <w:rPr>
          <w:rFonts w:hint="eastAsia" w:ascii="宋体" w:hAnsi="宋体" w:cs="Times New Roman"/>
          <w:szCs w:val="21"/>
          <w:u w:val="single"/>
        </w:rPr>
        <w:t>（单位名称）</w:t>
      </w:r>
      <w:r>
        <w:rPr>
          <w:rFonts w:hint="eastAsia" w:ascii="宋体" w:hAnsi="宋体" w:cs="Times New Roman"/>
          <w:szCs w:val="21"/>
        </w:rPr>
        <w:t>的在下面签字的</w:t>
      </w:r>
      <w:r>
        <w:rPr>
          <w:rFonts w:hint="eastAsia" w:ascii="宋体" w:hAnsi="宋体" w:cs="Times New Roman"/>
          <w:szCs w:val="21"/>
          <w:u w:val="single"/>
        </w:rPr>
        <w:t>（法定代表人姓名、职务）</w:t>
      </w:r>
      <w:r>
        <w:rPr>
          <w:rFonts w:hint="eastAsia" w:ascii="宋体" w:hAnsi="宋体" w:cs="Times New Roman"/>
          <w:szCs w:val="21"/>
        </w:rPr>
        <w:t>代表本单位授权</w:t>
      </w:r>
      <w:r>
        <w:rPr>
          <w:rFonts w:hint="eastAsia" w:ascii="宋体" w:hAnsi="宋体" w:cs="Times New Roman"/>
          <w:szCs w:val="21"/>
          <w:u w:val="single"/>
        </w:rPr>
        <w:t>（单位名称）</w:t>
      </w:r>
      <w:r>
        <w:rPr>
          <w:rFonts w:hint="eastAsia" w:ascii="宋体" w:hAnsi="宋体" w:cs="Times New Roman"/>
          <w:szCs w:val="21"/>
        </w:rPr>
        <w:t>的在下面签字的</w:t>
      </w:r>
      <w:r>
        <w:rPr>
          <w:rFonts w:hint="eastAsia" w:ascii="宋体" w:hAnsi="宋体" w:cs="Times New Roman"/>
          <w:szCs w:val="21"/>
          <w:u w:val="single"/>
        </w:rPr>
        <w:t>（被授权人的姓名、职务）</w:t>
      </w:r>
      <w:r>
        <w:rPr>
          <w:rFonts w:hint="eastAsia" w:ascii="宋体" w:hAnsi="宋体" w:cs="Times New Roman"/>
          <w:szCs w:val="21"/>
        </w:rPr>
        <w:t>为本单位的合法代理人，就</w:t>
      </w:r>
      <w:r>
        <w:rPr>
          <w:rFonts w:hint="eastAsia" w:ascii="宋体" w:hAnsi="宋体" w:cs="Times New Roman"/>
          <w:szCs w:val="21"/>
          <w:u w:val="single"/>
        </w:rPr>
        <w:t>（项目名称）</w:t>
      </w:r>
      <w:r>
        <w:rPr>
          <w:rFonts w:hint="eastAsia" w:ascii="宋体" w:hAnsi="宋体" w:cs="Times New Roman"/>
          <w:szCs w:val="21"/>
        </w:rPr>
        <w:t>投标及参加项目谈判，以本单位名义处理一切与之有关的事务。</w:t>
      </w:r>
    </w:p>
    <w:p w14:paraId="46A37D65">
      <w:pPr>
        <w:ind w:firstLine="315" w:firstLineChars="150"/>
        <w:rPr>
          <w:rFonts w:ascii="宋体" w:hAnsi="宋体" w:cs="Times New Roman"/>
          <w:szCs w:val="21"/>
        </w:rPr>
      </w:pPr>
      <w:r>
        <w:rPr>
          <w:rFonts w:hint="eastAsia" w:ascii="宋体" w:hAnsi="宋体" w:cs="Times New Roman"/>
          <w:szCs w:val="21"/>
        </w:rPr>
        <w:t>本授权书于</w:t>
      </w:r>
      <w:r>
        <w:rPr>
          <w:rFonts w:hint="eastAsia" w:ascii="宋体" w:hAnsi="宋体" w:cs="Times New Roman"/>
          <w:szCs w:val="21"/>
          <w:u w:val="single"/>
        </w:rPr>
        <w:t>　　</w:t>
      </w:r>
      <w:r>
        <w:rPr>
          <w:rFonts w:hint="eastAsia" w:ascii="宋体" w:hAnsi="宋体" w:cs="Times New Roman"/>
          <w:szCs w:val="21"/>
        </w:rPr>
        <w:t>年</w:t>
      </w:r>
      <w:r>
        <w:rPr>
          <w:rFonts w:hint="eastAsia" w:ascii="宋体" w:hAnsi="宋体" w:cs="Times New Roman"/>
          <w:szCs w:val="21"/>
          <w:u w:val="single"/>
        </w:rPr>
        <w:t>　　</w:t>
      </w:r>
      <w:r>
        <w:rPr>
          <w:rFonts w:hint="eastAsia" w:ascii="宋体" w:hAnsi="宋体" w:cs="Times New Roman"/>
          <w:szCs w:val="21"/>
        </w:rPr>
        <w:t>月</w:t>
      </w:r>
      <w:r>
        <w:rPr>
          <w:rFonts w:hint="eastAsia" w:ascii="宋体" w:hAnsi="宋体" w:cs="Times New Roman"/>
          <w:szCs w:val="21"/>
          <w:u w:val="single"/>
        </w:rPr>
        <w:t>　　</w:t>
      </w:r>
      <w:r>
        <w:rPr>
          <w:rFonts w:hint="eastAsia" w:ascii="宋体" w:hAnsi="宋体" w:cs="Times New Roman"/>
          <w:szCs w:val="21"/>
        </w:rPr>
        <w:t>日签字生效，特此声明。</w:t>
      </w:r>
    </w:p>
    <w:p w14:paraId="6DC2341F">
      <w:pPr>
        <w:pStyle w:val="46"/>
        <w:spacing w:line="500" w:lineRule="atLeast"/>
        <w:ind w:firstLine="3517" w:firstLineChars="1675"/>
        <w:rPr>
          <w:rFonts w:ascii="宋体" w:eastAsia="宋体"/>
          <w:sz w:val="21"/>
          <w:szCs w:val="21"/>
        </w:rPr>
      </w:pPr>
    </w:p>
    <w:p w14:paraId="0FA49F5B">
      <w:pPr>
        <w:pStyle w:val="46"/>
        <w:spacing w:line="500" w:lineRule="atLeast"/>
        <w:ind w:firstLine="3517" w:firstLineChars="1675"/>
        <w:rPr>
          <w:rFonts w:ascii="宋体" w:eastAsia="宋体"/>
          <w:sz w:val="21"/>
          <w:szCs w:val="21"/>
        </w:rPr>
      </w:pPr>
      <w:r>
        <w:rPr>
          <w:rFonts w:hint="eastAsia" w:ascii="宋体" w:eastAsia="宋体"/>
          <w:sz w:val="21"/>
          <w:szCs w:val="21"/>
        </w:rPr>
        <w:t>投标人名称（加盖公章）：</w:t>
      </w:r>
    </w:p>
    <w:p w14:paraId="56859636">
      <w:pPr>
        <w:pStyle w:val="46"/>
        <w:spacing w:line="500" w:lineRule="atLeast"/>
        <w:ind w:firstLine="3517" w:firstLineChars="1675"/>
        <w:rPr>
          <w:rFonts w:ascii="宋体" w:eastAsia="宋体"/>
          <w:sz w:val="21"/>
          <w:szCs w:val="21"/>
          <w:u w:val="single"/>
        </w:rPr>
      </w:pPr>
      <w:r>
        <w:rPr>
          <w:rFonts w:hint="eastAsia" w:ascii="宋体" w:eastAsia="宋体"/>
          <w:sz w:val="21"/>
          <w:szCs w:val="21"/>
        </w:rPr>
        <w:t>法定代表人签字（签名或盖私章）：</w:t>
      </w:r>
    </w:p>
    <w:p w14:paraId="2A9617E3">
      <w:pPr>
        <w:pStyle w:val="46"/>
        <w:spacing w:line="500" w:lineRule="atLeast"/>
        <w:ind w:firstLine="3517" w:firstLineChars="1675"/>
        <w:rPr>
          <w:rFonts w:ascii="宋体" w:eastAsia="宋体"/>
          <w:sz w:val="21"/>
          <w:szCs w:val="21"/>
        </w:rPr>
      </w:pPr>
      <w:r>
        <w:rPr>
          <w:rFonts w:hint="eastAsia" w:ascii="宋体" w:eastAsia="宋体"/>
          <w:sz w:val="21"/>
          <w:szCs w:val="21"/>
        </w:rPr>
        <w:t>被授权人签字：</w:t>
      </w:r>
    </w:p>
    <w:p w14:paraId="4F109943">
      <w:pPr>
        <w:pStyle w:val="46"/>
        <w:spacing w:line="500" w:lineRule="atLeast"/>
        <w:ind w:firstLine="3517" w:firstLineChars="1675"/>
        <w:rPr>
          <w:rFonts w:ascii="宋体" w:eastAsia="宋体"/>
          <w:sz w:val="21"/>
          <w:szCs w:val="21"/>
          <w:u w:val="single"/>
        </w:rPr>
      </w:pPr>
      <w:r>
        <w:rPr>
          <w:rFonts w:hint="eastAsia" w:ascii="宋体" w:eastAsia="宋体"/>
          <w:sz w:val="21"/>
          <w:szCs w:val="21"/>
        </w:rPr>
        <w:t>职务：</w:t>
      </w:r>
    </w:p>
    <w:p w14:paraId="73B07FFB">
      <w:pPr>
        <w:pStyle w:val="46"/>
        <w:spacing w:line="500" w:lineRule="atLeast"/>
        <w:ind w:firstLine="3517" w:firstLineChars="1675"/>
        <w:rPr>
          <w:rFonts w:ascii="宋体" w:eastAsia="宋体"/>
          <w:sz w:val="21"/>
          <w:szCs w:val="21"/>
        </w:rPr>
      </w:pPr>
      <w:r>
        <w:rPr>
          <w:rFonts w:hint="eastAsia" w:ascii="宋体" w:eastAsia="宋体"/>
          <w:sz w:val="21"/>
          <w:szCs w:val="21"/>
        </w:rPr>
        <w:t xml:space="preserve">移动电话： </w:t>
      </w:r>
    </w:p>
    <w:p w14:paraId="063573A1">
      <w:pPr>
        <w:pStyle w:val="46"/>
        <w:spacing w:line="500" w:lineRule="atLeast"/>
        <w:ind w:firstLine="3517" w:firstLineChars="1675"/>
        <w:rPr>
          <w:rFonts w:ascii="宋体" w:eastAsia="宋体"/>
          <w:sz w:val="21"/>
          <w:szCs w:val="21"/>
        </w:rPr>
      </w:pPr>
      <w:r>
        <w:rPr>
          <w:rFonts w:hint="eastAsia" w:ascii="宋体" w:eastAsia="宋体"/>
          <w:sz w:val="21"/>
          <w:szCs w:val="21"/>
        </w:rPr>
        <w:t>详细通讯地址：</w:t>
      </w:r>
    </w:p>
    <w:p w14:paraId="1405C070">
      <w:pPr>
        <w:pStyle w:val="46"/>
        <w:spacing w:line="500" w:lineRule="atLeast"/>
        <w:ind w:firstLine="3517" w:firstLineChars="1675"/>
        <w:rPr>
          <w:rFonts w:ascii="宋体" w:eastAsia="宋体"/>
          <w:sz w:val="21"/>
          <w:szCs w:val="21"/>
        </w:rPr>
      </w:pPr>
      <w:r>
        <w:rPr>
          <w:rFonts w:hint="eastAsia" w:ascii="宋体" w:eastAsia="宋体"/>
          <w:sz w:val="21"/>
          <w:szCs w:val="21"/>
        </w:rPr>
        <w:t xml:space="preserve">邮箱：                          </w:t>
      </w:r>
    </w:p>
    <w:p w14:paraId="06B6ABFE">
      <w:pPr>
        <w:pStyle w:val="46"/>
        <w:spacing w:line="500" w:lineRule="atLeast"/>
        <w:ind w:firstLine="3507" w:firstLineChars="1670"/>
        <w:rPr>
          <w:rFonts w:ascii="宋体" w:eastAsia="宋体"/>
          <w:sz w:val="21"/>
          <w:szCs w:val="21"/>
        </w:rPr>
      </w:pPr>
      <w:r>
        <w:rPr>
          <w:rFonts w:hint="eastAsia" w:ascii="宋体" w:eastAsia="宋体"/>
          <w:sz w:val="21"/>
          <w:szCs w:val="21"/>
        </w:rPr>
        <w:t>日     期：  年  月  日</w:t>
      </w:r>
    </w:p>
    <w:p w14:paraId="02EC83D2">
      <w:pPr>
        <w:pStyle w:val="46"/>
        <w:spacing w:line="460" w:lineRule="exact"/>
        <w:ind w:firstLine="433"/>
        <w:rPr>
          <w:rFonts w:ascii="宋体" w:eastAsia="宋体"/>
          <w:sz w:val="21"/>
          <w:szCs w:val="21"/>
        </w:rPr>
      </w:pPr>
    </w:p>
    <w:p w14:paraId="57317668">
      <w:pPr>
        <w:ind w:firstLine="420" w:firstLineChars="200"/>
      </w:pPr>
      <w:r>
        <w:rPr>
          <w:rFonts w:hint="eastAsia" w:ascii="宋体" w:hAnsi="宋体"/>
          <w:szCs w:val="21"/>
        </w:rPr>
        <w:t>须附：被授权人身份证复印件。</w:t>
      </w:r>
    </w:p>
    <w:tbl>
      <w:tblPr>
        <w:tblStyle w:val="31"/>
        <w:tblW w:w="8464" w:type="dxa"/>
        <w:jc w:val="center"/>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4232"/>
        <w:gridCol w:w="4232"/>
      </w:tblGrid>
      <w:tr w14:paraId="5FE5BD6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661" w:hRule="atLeast"/>
          <w:jc w:val="center"/>
        </w:trPr>
        <w:tc>
          <w:tcPr>
            <w:tcW w:w="4232" w:type="dxa"/>
            <w:vAlign w:val="center"/>
          </w:tcPr>
          <w:p w14:paraId="33C4F2E7">
            <w:pPr>
              <w:pStyle w:val="46"/>
              <w:spacing w:line="460" w:lineRule="exact"/>
              <w:ind w:firstLine="0" w:firstLineChars="0"/>
              <w:jc w:val="center"/>
              <w:rPr>
                <w:rFonts w:ascii="宋体" w:eastAsia="宋体"/>
                <w:sz w:val="22"/>
              </w:rPr>
            </w:pPr>
            <w:r>
              <w:rPr>
                <w:rFonts w:hint="eastAsia" w:ascii="宋体" w:eastAsia="宋体"/>
                <w:sz w:val="22"/>
              </w:rPr>
              <w:t>正面</w:t>
            </w:r>
          </w:p>
        </w:tc>
        <w:tc>
          <w:tcPr>
            <w:tcW w:w="4232" w:type="dxa"/>
            <w:vAlign w:val="center"/>
          </w:tcPr>
          <w:p w14:paraId="0EEDDAD6">
            <w:pPr>
              <w:pStyle w:val="46"/>
              <w:spacing w:line="460" w:lineRule="exact"/>
              <w:ind w:firstLine="0" w:firstLineChars="0"/>
              <w:jc w:val="center"/>
              <w:rPr>
                <w:rFonts w:ascii="宋体" w:eastAsia="宋体"/>
                <w:sz w:val="22"/>
              </w:rPr>
            </w:pPr>
            <w:r>
              <w:rPr>
                <w:rFonts w:hint="eastAsia" w:ascii="宋体" w:eastAsia="宋体"/>
                <w:sz w:val="22"/>
              </w:rPr>
              <w:t>背面</w:t>
            </w:r>
          </w:p>
        </w:tc>
      </w:tr>
    </w:tbl>
    <w:p w14:paraId="5BDB3933">
      <w:pPr>
        <w:adjustRightInd/>
        <w:snapToGrid/>
        <w:spacing w:line="276" w:lineRule="auto"/>
      </w:pPr>
      <w:bookmarkStart w:id="253" w:name="_Toc22486"/>
      <w:r>
        <w:rPr>
          <w:rFonts w:hint="eastAsia" w:ascii="宋体" w:hAnsi="宋体"/>
          <w:szCs w:val="21"/>
        </w:rPr>
        <w:br w:type="page"/>
      </w:r>
    </w:p>
    <w:p w14:paraId="273E3C31">
      <w:pPr>
        <w:pStyle w:val="8"/>
        <w:widowControl w:val="0"/>
        <w:overflowPunct w:val="0"/>
        <w:spacing w:line="240" w:lineRule="auto"/>
        <w:rPr>
          <w:rFonts w:ascii="宋体" w:hAnsi="宋体"/>
          <w:sz w:val="21"/>
          <w:szCs w:val="21"/>
        </w:rPr>
      </w:pPr>
      <w:bookmarkStart w:id="254" w:name="_Toc16157"/>
      <w:r>
        <w:rPr>
          <w:rFonts w:hint="eastAsia" w:ascii="宋体" w:hAnsi="宋体"/>
          <w:sz w:val="21"/>
          <w:szCs w:val="21"/>
        </w:rPr>
        <w:t>附件</w:t>
      </w:r>
      <w:r>
        <w:rPr>
          <w:rFonts w:hint="eastAsia" w:ascii="宋体" w:hAnsi="宋体"/>
          <w:sz w:val="21"/>
          <w:szCs w:val="21"/>
          <w:lang w:val="en-US" w:eastAsia="zh-CN"/>
        </w:rPr>
        <w:t>7</w:t>
      </w:r>
      <w:r>
        <w:rPr>
          <w:rFonts w:hint="eastAsia" w:ascii="宋体" w:hAnsi="宋体"/>
          <w:sz w:val="21"/>
          <w:szCs w:val="21"/>
        </w:rPr>
        <w:t>.资格申明</w:t>
      </w:r>
      <w:bookmarkEnd w:id="254"/>
    </w:p>
    <w:p w14:paraId="2E0B78EB">
      <w:pPr>
        <w:jc w:val="center"/>
        <w:rPr>
          <w:rFonts w:ascii="黑体" w:eastAsia="黑体"/>
          <w:sz w:val="28"/>
          <w:szCs w:val="28"/>
        </w:rPr>
      </w:pPr>
      <w:r>
        <w:rPr>
          <w:rFonts w:hint="eastAsia" w:ascii="黑体" w:eastAsia="黑体"/>
          <w:sz w:val="28"/>
          <w:szCs w:val="28"/>
        </w:rPr>
        <w:t>资格申明</w:t>
      </w:r>
    </w:p>
    <w:p w14:paraId="39D3448E">
      <w:pPr>
        <w:pStyle w:val="46"/>
        <w:spacing w:line="420" w:lineRule="atLeast"/>
        <w:ind w:firstLine="0" w:firstLineChars="0"/>
        <w:rPr>
          <w:rFonts w:ascii="宋体" w:eastAsia="宋体"/>
          <w:sz w:val="21"/>
          <w:szCs w:val="21"/>
          <w:highlight w:val="none"/>
        </w:rPr>
      </w:pPr>
      <w:r>
        <w:rPr>
          <w:rFonts w:hint="eastAsia" w:ascii="宋体" w:eastAsia="宋体"/>
          <w:sz w:val="21"/>
          <w:szCs w:val="21"/>
        </w:rPr>
        <w:t>广州宏达工程顾问集团有限公司</w:t>
      </w:r>
      <w:r>
        <w:rPr>
          <w:rFonts w:hint="eastAsia" w:ascii="宋体" w:eastAsia="宋体"/>
          <w:sz w:val="21"/>
          <w:szCs w:val="21"/>
          <w:highlight w:val="none"/>
        </w:rPr>
        <w:t>：</w:t>
      </w:r>
    </w:p>
    <w:p w14:paraId="0769C882">
      <w:pPr>
        <w:ind w:firstLine="420" w:firstLineChars="200"/>
        <w:rPr>
          <w:rFonts w:ascii="宋体" w:hAnsi="宋体"/>
          <w:szCs w:val="21"/>
          <w:highlight w:val="none"/>
        </w:rPr>
      </w:pPr>
    </w:p>
    <w:p w14:paraId="7EE17ACF">
      <w:pPr>
        <w:ind w:firstLine="420" w:firstLineChars="200"/>
        <w:rPr>
          <w:rFonts w:ascii="宋体" w:hAnsi="宋体"/>
          <w:szCs w:val="21"/>
          <w:highlight w:val="none"/>
        </w:rPr>
      </w:pPr>
      <w:r>
        <w:rPr>
          <w:rFonts w:hint="eastAsia" w:ascii="宋体" w:hAnsi="宋体"/>
          <w:szCs w:val="21"/>
          <w:highlight w:val="none"/>
        </w:rPr>
        <w:t>我方</w:t>
      </w:r>
      <w:r>
        <w:rPr>
          <w:rFonts w:ascii="宋体" w:hAnsi="宋体"/>
          <w:szCs w:val="21"/>
          <w:highlight w:val="none"/>
        </w:rPr>
        <w:t>愿响应</w:t>
      </w:r>
      <w:r>
        <w:rPr>
          <w:rFonts w:hint="eastAsia" w:ascii="宋体" w:hAnsi="宋体"/>
          <w:szCs w:val="21"/>
          <w:highlight w:val="none"/>
        </w:rPr>
        <w:t>贵</w:t>
      </w:r>
      <w:r>
        <w:rPr>
          <w:rFonts w:ascii="宋体" w:hAnsi="宋体"/>
          <w:szCs w:val="21"/>
          <w:highlight w:val="none"/>
        </w:rPr>
        <w:t>方</w:t>
      </w:r>
      <w:r>
        <w:rPr>
          <w:rFonts w:hint="eastAsia" w:ascii="宋体" w:hAnsi="宋体"/>
          <w:szCs w:val="21"/>
          <w:highlight w:val="none"/>
        </w:rPr>
        <w:t>关于（项目名称：</w:t>
      </w:r>
      <w:r>
        <w:rPr>
          <w:rFonts w:hint="eastAsia" w:ascii="宋体" w:hAnsi="宋体"/>
          <w:szCs w:val="21"/>
          <w:highlight w:val="none"/>
          <w:u w:val="single"/>
        </w:rPr>
        <w:t xml:space="preserve">         </w:t>
      </w:r>
      <w:r>
        <w:rPr>
          <w:rFonts w:hint="eastAsia" w:ascii="宋体" w:hAnsi="宋体"/>
          <w:szCs w:val="21"/>
          <w:highlight w:val="none"/>
        </w:rPr>
        <w:t>）</w:t>
      </w:r>
      <w:r>
        <w:rPr>
          <w:rFonts w:ascii="宋体" w:hAnsi="宋体"/>
          <w:szCs w:val="21"/>
          <w:highlight w:val="none"/>
        </w:rPr>
        <w:t>（</w:t>
      </w:r>
      <w:r>
        <w:rPr>
          <w:rFonts w:hint="eastAsia" w:ascii="宋体" w:hAnsi="宋体"/>
          <w:szCs w:val="21"/>
          <w:highlight w:val="none"/>
        </w:rPr>
        <w:t>采购项目编号：</w:t>
      </w:r>
      <w:r>
        <w:rPr>
          <w:rFonts w:hint="eastAsia" w:ascii="宋体" w:hAnsi="宋体"/>
          <w:szCs w:val="21"/>
          <w:highlight w:val="none"/>
          <w:u w:val="single"/>
        </w:rPr>
        <w:t xml:space="preserve">        </w:t>
      </w:r>
      <w:r>
        <w:rPr>
          <w:rFonts w:ascii="宋体" w:hAnsi="宋体"/>
          <w:szCs w:val="21"/>
          <w:highlight w:val="none"/>
        </w:rPr>
        <w:t>）</w:t>
      </w:r>
      <w:r>
        <w:rPr>
          <w:rFonts w:hint="eastAsia" w:ascii="宋体" w:hAnsi="宋体"/>
          <w:szCs w:val="21"/>
          <w:highlight w:val="none"/>
        </w:rPr>
        <w:t>的</w:t>
      </w:r>
      <w:r>
        <w:rPr>
          <w:rFonts w:ascii="宋体" w:hAnsi="宋体"/>
          <w:szCs w:val="21"/>
          <w:highlight w:val="none"/>
        </w:rPr>
        <w:t>投标邀请，参与投标，提供用户需求书中规定的</w:t>
      </w:r>
      <w:r>
        <w:rPr>
          <w:rFonts w:hint="eastAsia" w:ascii="宋体" w:hAnsi="宋体"/>
          <w:szCs w:val="21"/>
          <w:highlight w:val="none"/>
        </w:rPr>
        <w:t>货物及相关服务</w:t>
      </w:r>
      <w:r>
        <w:rPr>
          <w:rFonts w:ascii="宋体" w:hAnsi="宋体"/>
          <w:szCs w:val="21"/>
          <w:highlight w:val="none"/>
        </w:rPr>
        <w:t>，并按</w:t>
      </w:r>
      <w:r>
        <w:rPr>
          <w:rFonts w:hint="eastAsia" w:ascii="宋体" w:hAnsi="宋体"/>
          <w:szCs w:val="21"/>
          <w:highlight w:val="none"/>
        </w:rPr>
        <w:t>采购</w:t>
      </w:r>
      <w:r>
        <w:rPr>
          <w:rFonts w:ascii="宋体" w:hAnsi="宋体"/>
          <w:szCs w:val="21"/>
          <w:highlight w:val="none"/>
        </w:rPr>
        <w:t>文件要求提交所附资格文件且声明和保证如下：</w:t>
      </w:r>
    </w:p>
    <w:p w14:paraId="2E45CA94">
      <w:pPr>
        <w:ind w:firstLine="420" w:firstLineChars="200"/>
        <w:rPr>
          <w:rFonts w:ascii="宋体" w:hAnsi="宋体"/>
          <w:szCs w:val="21"/>
          <w:highlight w:val="none"/>
        </w:rPr>
      </w:pPr>
      <w:r>
        <w:rPr>
          <w:rFonts w:hint="eastAsia" w:ascii="宋体" w:hAnsi="宋体"/>
          <w:szCs w:val="21"/>
          <w:highlight w:val="none"/>
        </w:rPr>
        <w:t>一、我方具备投标人邀请中所要求得资格条件，已清楚采购文件所有要求及有关规定；并承诺参加本次采购活动中，如有违法、违规、弄虚作假行为，所造成的损失、不良后果及法律责任，一律由我方承担；</w:t>
      </w:r>
    </w:p>
    <w:p w14:paraId="6F3B4FE7">
      <w:pPr>
        <w:ind w:firstLine="420" w:firstLineChars="200"/>
        <w:rPr>
          <w:rFonts w:ascii="宋体" w:hAnsi="宋体"/>
          <w:szCs w:val="21"/>
          <w:highlight w:val="none"/>
        </w:rPr>
      </w:pPr>
      <w:r>
        <w:rPr>
          <w:rFonts w:hint="eastAsia" w:ascii="宋体" w:hAnsi="宋体"/>
          <w:szCs w:val="21"/>
          <w:highlight w:val="none"/>
        </w:rPr>
        <w:t>二、</w:t>
      </w:r>
      <w:r>
        <w:rPr>
          <w:rFonts w:ascii="宋体" w:hAnsi="宋体"/>
          <w:szCs w:val="21"/>
          <w:highlight w:val="none"/>
        </w:rPr>
        <w:t>我方依法注册，在法律上、财务上和运作上完全独立于</w:t>
      </w:r>
      <w:r>
        <w:rPr>
          <w:rFonts w:hint="eastAsia" w:ascii="宋体" w:hAnsi="宋体"/>
          <w:szCs w:val="21"/>
          <w:highlight w:val="none"/>
          <w:u w:val="single"/>
        </w:rPr>
        <w:t xml:space="preserve">  xxxx   </w:t>
      </w:r>
      <w:r>
        <w:rPr>
          <w:rFonts w:hint="eastAsia" w:ascii="宋体" w:hAnsi="宋体"/>
          <w:szCs w:val="21"/>
          <w:highlight w:val="none"/>
        </w:rPr>
        <w:t>公司</w:t>
      </w:r>
      <w:r>
        <w:rPr>
          <w:rFonts w:ascii="宋体" w:hAnsi="宋体"/>
          <w:szCs w:val="21"/>
          <w:highlight w:val="none"/>
        </w:rPr>
        <w:t>（</w:t>
      </w:r>
      <w:r>
        <w:rPr>
          <w:rFonts w:hint="eastAsia" w:ascii="宋体" w:hAnsi="宋体"/>
          <w:szCs w:val="21"/>
          <w:highlight w:val="none"/>
        </w:rPr>
        <w:t>采购人</w:t>
      </w:r>
      <w:r>
        <w:rPr>
          <w:rFonts w:ascii="宋体" w:hAnsi="宋体"/>
          <w:szCs w:val="21"/>
          <w:highlight w:val="none"/>
        </w:rPr>
        <w:t>）及</w:t>
      </w:r>
      <w:r>
        <w:rPr>
          <w:rFonts w:hint="eastAsia" w:ascii="宋体" w:hAnsi="宋体"/>
          <w:szCs w:val="21"/>
          <w:highlight w:val="none"/>
          <w:u w:val="single"/>
        </w:rPr>
        <w:t xml:space="preserve">    xxx   </w:t>
      </w:r>
      <w:r>
        <w:rPr>
          <w:rFonts w:hint="eastAsia" w:ascii="宋体" w:hAnsi="宋体"/>
          <w:szCs w:val="21"/>
          <w:highlight w:val="none"/>
        </w:rPr>
        <w:t>公司</w:t>
      </w:r>
      <w:r>
        <w:rPr>
          <w:rFonts w:ascii="宋体" w:hAnsi="宋体"/>
          <w:szCs w:val="21"/>
          <w:highlight w:val="none"/>
        </w:rPr>
        <w:t>（采购代理机构）</w:t>
      </w:r>
      <w:r>
        <w:rPr>
          <w:rFonts w:hint="eastAsia" w:ascii="宋体" w:hAnsi="宋体"/>
          <w:szCs w:val="21"/>
          <w:highlight w:val="none"/>
        </w:rPr>
        <w:t>。</w:t>
      </w:r>
    </w:p>
    <w:p w14:paraId="11D92798">
      <w:pPr>
        <w:pStyle w:val="46"/>
        <w:spacing w:line="500" w:lineRule="atLeast"/>
        <w:ind w:firstLine="3517" w:firstLineChars="1675"/>
        <w:rPr>
          <w:rFonts w:ascii="宋体" w:eastAsia="宋体"/>
          <w:sz w:val="21"/>
          <w:szCs w:val="21"/>
          <w:highlight w:val="none"/>
        </w:rPr>
      </w:pPr>
    </w:p>
    <w:p w14:paraId="13DDE356">
      <w:pPr>
        <w:pStyle w:val="46"/>
        <w:spacing w:line="500" w:lineRule="atLeast"/>
        <w:ind w:firstLine="3517" w:firstLineChars="1675"/>
        <w:rPr>
          <w:rFonts w:ascii="宋体" w:eastAsia="宋体"/>
          <w:sz w:val="21"/>
          <w:szCs w:val="21"/>
          <w:highlight w:val="none"/>
        </w:rPr>
      </w:pPr>
    </w:p>
    <w:p w14:paraId="2058A870">
      <w:pPr>
        <w:pStyle w:val="46"/>
        <w:spacing w:line="500" w:lineRule="atLeast"/>
        <w:ind w:firstLine="433"/>
        <w:rPr>
          <w:rFonts w:ascii="宋体" w:eastAsia="宋体"/>
          <w:sz w:val="21"/>
          <w:szCs w:val="21"/>
          <w:highlight w:val="none"/>
        </w:rPr>
      </w:pPr>
      <w:r>
        <w:rPr>
          <w:rFonts w:hint="eastAsia" w:ascii="宋体" w:eastAsia="宋体"/>
          <w:sz w:val="21"/>
          <w:szCs w:val="21"/>
          <w:highlight w:val="none"/>
        </w:rPr>
        <w:t>投标人名称（加盖公章）：</w:t>
      </w:r>
    </w:p>
    <w:p w14:paraId="1D770222">
      <w:pPr>
        <w:pStyle w:val="46"/>
        <w:spacing w:line="500" w:lineRule="atLeast"/>
        <w:ind w:firstLine="433"/>
        <w:rPr>
          <w:rFonts w:ascii="宋体" w:eastAsia="宋体"/>
          <w:sz w:val="21"/>
          <w:szCs w:val="21"/>
          <w:highlight w:val="none"/>
        </w:rPr>
      </w:pPr>
      <w:r>
        <w:rPr>
          <w:rFonts w:hint="eastAsia" w:ascii="宋体" w:eastAsia="宋体"/>
          <w:sz w:val="21"/>
          <w:szCs w:val="21"/>
          <w:highlight w:val="none"/>
        </w:rPr>
        <w:t>法定代表人签字（签名或盖私章）：</w:t>
      </w:r>
    </w:p>
    <w:p w14:paraId="0CE5C186">
      <w:pPr>
        <w:pStyle w:val="46"/>
        <w:spacing w:line="500" w:lineRule="atLeast"/>
        <w:ind w:firstLine="433"/>
        <w:rPr>
          <w:rFonts w:ascii="宋体" w:eastAsia="宋体"/>
          <w:sz w:val="21"/>
          <w:szCs w:val="21"/>
        </w:rPr>
      </w:pPr>
      <w:r>
        <w:rPr>
          <w:rFonts w:hint="eastAsia" w:ascii="宋体" w:eastAsia="宋体"/>
          <w:sz w:val="21"/>
          <w:szCs w:val="21"/>
        </w:rPr>
        <w:t>日     期：年月日</w:t>
      </w:r>
    </w:p>
    <w:p w14:paraId="32833027">
      <w:pPr>
        <w:pStyle w:val="46"/>
        <w:spacing w:line="500" w:lineRule="atLeast"/>
        <w:ind w:firstLine="433"/>
        <w:rPr>
          <w:rFonts w:ascii="宋体" w:eastAsia="宋体"/>
          <w:sz w:val="21"/>
          <w:szCs w:val="21"/>
        </w:rPr>
      </w:pPr>
      <w:r>
        <w:rPr>
          <w:rFonts w:hint="eastAsia" w:ascii="宋体" w:eastAsia="宋体"/>
          <w:sz w:val="21"/>
          <w:szCs w:val="21"/>
        </w:rPr>
        <w:br w:type="page"/>
      </w:r>
    </w:p>
    <w:p w14:paraId="4F3D17D5">
      <w:pPr>
        <w:pStyle w:val="8"/>
        <w:widowControl w:val="0"/>
        <w:overflowPunct w:val="0"/>
        <w:spacing w:line="240" w:lineRule="auto"/>
        <w:rPr>
          <w:rFonts w:ascii="宋体" w:hAnsi="宋体"/>
          <w:sz w:val="21"/>
          <w:szCs w:val="21"/>
        </w:rPr>
      </w:pPr>
      <w:bookmarkStart w:id="255" w:name="_Toc28751"/>
      <w:r>
        <w:rPr>
          <w:rFonts w:hint="eastAsia" w:ascii="宋体" w:hAnsi="宋体"/>
          <w:sz w:val="21"/>
          <w:szCs w:val="21"/>
        </w:rPr>
        <w:t>附件</w:t>
      </w:r>
      <w:r>
        <w:rPr>
          <w:rFonts w:hint="eastAsia" w:ascii="宋体" w:hAnsi="宋体"/>
          <w:sz w:val="21"/>
          <w:szCs w:val="21"/>
          <w:lang w:val="en-US" w:eastAsia="zh-CN"/>
        </w:rPr>
        <w:t>8</w:t>
      </w:r>
      <w:r>
        <w:rPr>
          <w:rFonts w:hint="eastAsia" w:ascii="宋体" w:hAnsi="宋体"/>
          <w:sz w:val="21"/>
          <w:szCs w:val="21"/>
        </w:rPr>
        <w:t>.营业执照</w:t>
      </w:r>
      <w:bookmarkEnd w:id="255"/>
    </w:p>
    <w:p w14:paraId="63011555">
      <w:pPr>
        <w:jc w:val="center"/>
        <w:rPr>
          <w:rFonts w:ascii="黑体" w:eastAsia="黑体"/>
          <w:sz w:val="28"/>
          <w:szCs w:val="28"/>
        </w:rPr>
      </w:pPr>
      <w:bookmarkStart w:id="256" w:name="_Toc17470"/>
      <w:bookmarkStart w:id="257" w:name="_Toc5919"/>
      <w:bookmarkStart w:id="258" w:name="_Toc1511"/>
      <w:bookmarkStart w:id="259" w:name="_Toc24210"/>
      <w:bookmarkStart w:id="260" w:name="_Toc4926"/>
      <w:r>
        <w:rPr>
          <w:rFonts w:hint="eastAsia" w:ascii="黑体" w:eastAsia="黑体"/>
          <w:sz w:val="28"/>
          <w:szCs w:val="28"/>
        </w:rPr>
        <w:t>营业执照</w:t>
      </w:r>
      <w:bookmarkEnd w:id="256"/>
      <w:bookmarkEnd w:id="257"/>
      <w:bookmarkEnd w:id="258"/>
      <w:bookmarkEnd w:id="259"/>
      <w:bookmarkEnd w:id="260"/>
    </w:p>
    <w:p w14:paraId="43903FA9">
      <w:pPr>
        <w:jc w:val="center"/>
        <w:rPr>
          <w:rFonts w:ascii="黑体" w:eastAsia="黑体"/>
          <w:sz w:val="28"/>
          <w:szCs w:val="28"/>
        </w:rPr>
      </w:pPr>
      <w:r>
        <w:rPr>
          <w:rFonts w:hint="eastAsia" w:ascii="黑体" w:eastAsia="黑体"/>
          <w:sz w:val="28"/>
          <w:szCs w:val="28"/>
        </w:rPr>
        <w:br w:type="page"/>
      </w:r>
    </w:p>
    <w:p w14:paraId="4A34B7B1">
      <w:pPr>
        <w:pStyle w:val="8"/>
        <w:widowControl w:val="0"/>
        <w:overflowPunct w:val="0"/>
        <w:spacing w:line="240" w:lineRule="auto"/>
        <w:rPr>
          <w:rFonts w:ascii="宋体" w:hAnsi="宋体"/>
          <w:sz w:val="21"/>
          <w:szCs w:val="21"/>
        </w:rPr>
      </w:pPr>
      <w:bookmarkStart w:id="261" w:name="_Toc29085"/>
      <w:r>
        <w:rPr>
          <w:rFonts w:hint="eastAsia" w:ascii="宋体" w:hAnsi="宋体"/>
          <w:sz w:val="21"/>
          <w:szCs w:val="21"/>
        </w:rPr>
        <w:t>附件</w:t>
      </w:r>
      <w:r>
        <w:rPr>
          <w:rFonts w:hint="eastAsia" w:ascii="宋体" w:hAnsi="宋体"/>
          <w:sz w:val="21"/>
          <w:szCs w:val="21"/>
          <w:lang w:val="en-US" w:eastAsia="zh-CN"/>
        </w:rPr>
        <w:t>9</w:t>
      </w:r>
      <w:r>
        <w:rPr>
          <w:rFonts w:hint="eastAsia" w:ascii="宋体" w:hAnsi="宋体"/>
          <w:sz w:val="21"/>
          <w:szCs w:val="21"/>
        </w:rPr>
        <w:t>.相关资质证明文件</w:t>
      </w:r>
      <w:bookmarkEnd w:id="261"/>
    </w:p>
    <w:p w14:paraId="47F550BD">
      <w:pPr>
        <w:rPr>
          <w:highlight w:val="none"/>
        </w:rPr>
      </w:pPr>
    </w:p>
    <w:p w14:paraId="780728EE">
      <w:pPr>
        <w:jc w:val="center"/>
        <w:rPr>
          <w:rFonts w:ascii="黑体" w:eastAsia="黑体"/>
          <w:sz w:val="28"/>
          <w:szCs w:val="28"/>
          <w:highlight w:val="none"/>
        </w:rPr>
      </w:pPr>
      <w:bookmarkStart w:id="262" w:name="_Toc9592"/>
      <w:bookmarkStart w:id="263" w:name="_Toc16233"/>
      <w:bookmarkStart w:id="264" w:name="_Toc13458"/>
      <w:bookmarkStart w:id="265" w:name="_Toc30307"/>
      <w:bookmarkStart w:id="266" w:name="_Toc16698"/>
      <w:r>
        <w:rPr>
          <w:rFonts w:hint="eastAsia" w:ascii="黑体" w:eastAsia="黑体"/>
          <w:sz w:val="28"/>
          <w:szCs w:val="28"/>
          <w:highlight w:val="none"/>
        </w:rPr>
        <w:t>相关资质证明文件</w:t>
      </w:r>
      <w:bookmarkEnd w:id="253"/>
      <w:bookmarkEnd w:id="262"/>
      <w:bookmarkEnd w:id="263"/>
      <w:bookmarkEnd w:id="264"/>
      <w:bookmarkEnd w:id="265"/>
      <w:bookmarkEnd w:id="266"/>
    </w:p>
    <w:p w14:paraId="58451D11">
      <w:pPr>
        <w:numPr>
          <w:ilvl w:val="0"/>
          <w:numId w:val="10"/>
        </w:numPr>
        <w:tabs>
          <w:tab w:val="left" w:pos="1680"/>
        </w:tabs>
        <w:jc w:val="both"/>
        <w:rPr>
          <w:rFonts w:ascii="宋体" w:hAnsi="宋体" w:cs="宋体"/>
          <w:b/>
          <w:bCs/>
          <w:szCs w:val="21"/>
          <w:highlight w:val="none"/>
        </w:rPr>
      </w:pPr>
      <w:r>
        <w:rPr>
          <w:rFonts w:hint="eastAsia" w:ascii="宋体" w:hAnsi="宋体" w:cs="宋体"/>
          <w:b/>
          <w:bCs/>
          <w:szCs w:val="21"/>
          <w:highlight w:val="none"/>
        </w:rPr>
        <w:t>符合投标邀请书“投标人资格要求”其他要求对应的证明文件；</w:t>
      </w:r>
    </w:p>
    <w:p w14:paraId="18AE5ABB">
      <w:pPr>
        <w:numPr>
          <w:ilvl w:val="0"/>
          <w:numId w:val="10"/>
        </w:numPr>
        <w:tabs>
          <w:tab w:val="left" w:pos="1680"/>
        </w:tabs>
        <w:jc w:val="both"/>
        <w:rPr>
          <w:rFonts w:ascii="宋体" w:hAnsi="宋体" w:cs="宋体"/>
          <w:b/>
          <w:bCs/>
          <w:szCs w:val="21"/>
          <w:highlight w:val="none"/>
        </w:rPr>
      </w:pPr>
      <w:r>
        <w:rPr>
          <w:rFonts w:hint="eastAsia" w:ascii="宋体" w:hAnsi="宋体" w:cs="宋体"/>
          <w:b/>
          <w:bCs/>
          <w:szCs w:val="21"/>
          <w:highlight w:val="none"/>
        </w:rPr>
        <w:t>投标人认为必要的文件。</w:t>
      </w:r>
      <w:r>
        <w:rPr>
          <w:rFonts w:hint="eastAsia" w:ascii="宋体" w:hAnsi="宋体" w:cs="宋体"/>
          <w:b/>
          <w:bCs/>
          <w:szCs w:val="21"/>
          <w:highlight w:val="none"/>
        </w:rPr>
        <w:br w:type="page"/>
      </w:r>
    </w:p>
    <w:p w14:paraId="438A9D14">
      <w:pPr>
        <w:pStyle w:val="8"/>
        <w:widowControl w:val="0"/>
        <w:overflowPunct w:val="0"/>
        <w:spacing w:line="240" w:lineRule="auto"/>
        <w:rPr>
          <w:rFonts w:ascii="楷体_GB2312" w:eastAsia="楷体_GB2312"/>
        </w:rPr>
      </w:pPr>
      <w:bookmarkStart w:id="267" w:name="_Toc10105"/>
      <w:r>
        <w:rPr>
          <w:rFonts w:hint="eastAsia" w:ascii="宋体" w:hAnsi="宋体"/>
          <w:sz w:val="21"/>
          <w:szCs w:val="21"/>
        </w:rPr>
        <w:t>附件</w:t>
      </w:r>
      <w:r>
        <w:rPr>
          <w:rFonts w:hint="eastAsia" w:ascii="宋体" w:hAnsi="宋体"/>
          <w:sz w:val="21"/>
          <w:szCs w:val="21"/>
          <w:lang w:val="en-US" w:eastAsia="zh-CN"/>
        </w:rPr>
        <w:t>10</w:t>
      </w:r>
      <w:r>
        <w:rPr>
          <w:rFonts w:hint="eastAsia" w:ascii="宋体" w:hAnsi="宋体"/>
          <w:sz w:val="21"/>
          <w:szCs w:val="21"/>
        </w:rPr>
        <w:t>.在经营活动中没有重大违法记录的书面声明格式</w:t>
      </w:r>
      <w:bookmarkEnd w:id="267"/>
    </w:p>
    <w:p w14:paraId="7D2C6356"/>
    <w:p w14:paraId="5B69E888">
      <w:pPr>
        <w:jc w:val="center"/>
        <w:rPr>
          <w:rFonts w:ascii="黑体" w:eastAsia="黑体"/>
          <w:sz w:val="28"/>
          <w:szCs w:val="28"/>
        </w:rPr>
      </w:pPr>
      <w:r>
        <w:rPr>
          <w:rFonts w:hint="eastAsia" w:ascii="黑体" w:eastAsia="黑体"/>
          <w:sz w:val="28"/>
          <w:szCs w:val="28"/>
        </w:rPr>
        <w:t>投标人在经营活动中前三年内未有重大违法记录、没有不良信用记录的声明函</w:t>
      </w:r>
    </w:p>
    <w:p w14:paraId="21D096A5">
      <w:pPr>
        <w:ind w:firstLine="420" w:firstLineChars="200"/>
        <w:rPr>
          <w:rFonts w:ascii="宋体" w:hAnsi="宋体" w:cs="宋体"/>
          <w:szCs w:val="21"/>
        </w:rPr>
      </w:pPr>
    </w:p>
    <w:p w14:paraId="50A1DB0A">
      <w:pPr>
        <w:spacing w:line="480" w:lineRule="auto"/>
        <w:ind w:firstLine="420" w:firstLineChars="200"/>
        <w:rPr>
          <w:rFonts w:ascii="宋体" w:hAnsi="宋体" w:cs="宋体"/>
          <w:szCs w:val="21"/>
        </w:rPr>
      </w:pPr>
      <w:r>
        <w:rPr>
          <w:rFonts w:hint="eastAsia" w:ascii="宋体" w:eastAsia="宋体"/>
          <w:sz w:val="21"/>
          <w:szCs w:val="21"/>
        </w:rPr>
        <w:t>广州宏达工程顾问集团有限公司</w:t>
      </w:r>
      <w:r>
        <w:rPr>
          <w:rFonts w:hint="eastAsia" w:ascii="宋体" w:hAnsi="宋体" w:cs="宋体"/>
          <w:szCs w:val="21"/>
        </w:rPr>
        <w:t>：</w:t>
      </w:r>
    </w:p>
    <w:p w14:paraId="56DFD4F3">
      <w:pPr>
        <w:spacing w:line="480" w:lineRule="auto"/>
        <w:ind w:firstLine="420" w:firstLineChars="200"/>
        <w:rPr>
          <w:rFonts w:ascii="宋体" w:hAnsi="宋体" w:cs="宋体"/>
          <w:szCs w:val="21"/>
        </w:rPr>
      </w:pPr>
      <w:r>
        <w:rPr>
          <w:rFonts w:hint="eastAsia" w:ascii="宋体" w:hAnsi="宋体" w:cs="宋体"/>
          <w:szCs w:val="21"/>
        </w:rPr>
        <w:t>我公司郑重承诺：在参加“</w:t>
      </w:r>
      <w:r>
        <w:rPr>
          <w:rFonts w:hint="eastAsia" w:ascii="宋体" w:hAnsi="宋体" w:cs="宋体"/>
          <w:szCs w:val="21"/>
          <w:u w:val="single"/>
        </w:rPr>
        <w:t xml:space="preserve">       （采购项目名称）</w:t>
      </w:r>
      <w:r>
        <w:rPr>
          <w:rFonts w:hint="eastAsia" w:ascii="宋体" w:hAnsi="宋体" w:cs="宋体"/>
          <w:szCs w:val="21"/>
        </w:rPr>
        <w:t>” （项目编号:</w:t>
      </w:r>
      <w:r>
        <w:rPr>
          <w:rFonts w:hint="eastAsia" w:ascii="宋体" w:hAnsi="宋体" w:cs="宋体"/>
          <w:szCs w:val="21"/>
          <w:lang w:val="en-US" w:eastAsia="zh-CN"/>
        </w:rPr>
        <w:t>XX</w:t>
      </w:r>
      <w:r>
        <w:rPr>
          <w:rFonts w:hint="eastAsia" w:ascii="宋体" w:hAnsi="宋体" w:cs="宋体"/>
          <w:szCs w:val="21"/>
        </w:rPr>
        <w:t>）采购活动前三年内（设立不满三年的从设立之日计算），在经营活动中没有重大违法记录；至本项目提交投标文件截止时间止未被列入“信用中国”网站失信被执行人、重大税收违法失信主体、政府采购严重违法失信行为记录名单。</w:t>
      </w:r>
    </w:p>
    <w:p w14:paraId="7BE11AD3">
      <w:pPr>
        <w:spacing w:line="480" w:lineRule="auto"/>
        <w:ind w:firstLine="420" w:firstLineChars="200"/>
        <w:rPr>
          <w:rFonts w:ascii="宋体" w:hAnsi="宋体" w:cs="宋体"/>
          <w:szCs w:val="21"/>
        </w:rPr>
      </w:pPr>
      <w:r>
        <w:rPr>
          <w:rFonts w:hint="eastAsia" w:ascii="宋体" w:hAnsi="宋体" w:cs="宋体"/>
          <w:szCs w:val="21"/>
        </w:rPr>
        <w:t>我公司以上承诺均为真实有效，绝无任何虚假、伪造的成份，否则，愿承担相应的后果和法律责任。</w:t>
      </w:r>
    </w:p>
    <w:p w14:paraId="1098C2F5">
      <w:pPr>
        <w:ind w:firstLine="420" w:firstLineChars="200"/>
        <w:rPr>
          <w:rFonts w:ascii="宋体" w:hAnsi="宋体" w:cs="宋体"/>
          <w:szCs w:val="21"/>
        </w:rPr>
      </w:pPr>
    </w:p>
    <w:p w14:paraId="322F91C5">
      <w:pPr>
        <w:rPr>
          <w:rFonts w:ascii="宋体" w:hAnsi="宋体" w:cs="宋体"/>
          <w:szCs w:val="21"/>
        </w:rPr>
      </w:pPr>
    </w:p>
    <w:p w14:paraId="5046BF3E">
      <w:pPr>
        <w:ind w:firstLine="420" w:firstLineChars="200"/>
        <w:rPr>
          <w:rFonts w:ascii="宋体" w:hAnsi="宋体" w:cs="宋体"/>
          <w:szCs w:val="21"/>
        </w:rPr>
      </w:pPr>
      <w:r>
        <w:rPr>
          <w:rFonts w:hint="eastAsia" w:ascii="宋体" w:hAnsi="宋体" w:cs="宋体"/>
          <w:szCs w:val="21"/>
        </w:rPr>
        <w:t>投标人名称（盖章）：</w:t>
      </w:r>
    </w:p>
    <w:p w14:paraId="6CA12882">
      <w:pPr>
        <w:rPr>
          <w:rFonts w:ascii="宋体" w:hAnsi="宋体" w:cs="宋体"/>
          <w:szCs w:val="21"/>
        </w:rPr>
      </w:pPr>
    </w:p>
    <w:p w14:paraId="2C924155">
      <w:pPr>
        <w:ind w:firstLine="420" w:firstLineChars="200"/>
        <w:rPr>
          <w:rFonts w:ascii="宋体" w:hAnsi="宋体" w:cs="宋体"/>
          <w:szCs w:val="21"/>
        </w:rPr>
      </w:pPr>
      <w:r>
        <w:rPr>
          <w:rFonts w:hint="eastAsia" w:ascii="宋体" w:hAnsi="宋体" w:cs="宋体"/>
          <w:szCs w:val="21"/>
        </w:rPr>
        <w:t>日期：</w:t>
      </w:r>
    </w:p>
    <w:p w14:paraId="3ACBB68D"/>
    <w:p w14:paraId="49043732">
      <w:pPr>
        <w:rPr>
          <w:rFonts w:ascii="宋体" w:hAnsi="宋体"/>
          <w:szCs w:val="21"/>
        </w:rPr>
      </w:pPr>
    </w:p>
    <w:p w14:paraId="00E4A630">
      <w:pPr>
        <w:pStyle w:val="2"/>
        <w:rPr>
          <w:sz w:val="21"/>
          <w:szCs w:val="21"/>
        </w:rPr>
      </w:pPr>
    </w:p>
    <w:p w14:paraId="416D34E1">
      <w:pPr>
        <w:rPr>
          <w:rFonts w:ascii="宋体" w:hAnsi="宋体"/>
          <w:szCs w:val="21"/>
        </w:rPr>
      </w:pPr>
    </w:p>
    <w:p w14:paraId="55AC9BD8">
      <w:pPr>
        <w:pStyle w:val="2"/>
        <w:rPr>
          <w:sz w:val="21"/>
          <w:szCs w:val="21"/>
        </w:rPr>
      </w:pPr>
    </w:p>
    <w:p w14:paraId="0D602933">
      <w:pPr>
        <w:rPr>
          <w:rFonts w:ascii="宋体" w:hAnsi="宋体"/>
          <w:szCs w:val="21"/>
        </w:rPr>
      </w:pPr>
    </w:p>
    <w:p w14:paraId="0184ECBD">
      <w:pPr>
        <w:pStyle w:val="2"/>
        <w:rPr>
          <w:sz w:val="21"/>
          <w:szCs w:val="21"/>
        </w:rPr>
      </w:pPr>
    </w:p>
    <w:p w14:paraId="17810503">
      <w:pPr>
        <w:rPr>
          <w:rFonts w:ascii="宋体" w:hAnsi="宋体"/>
          <w:szCs w:val="21"/>
        </w:rPr>
      </w:pPr>
    </w:p>
    <w:p w14:paraId="136D8F3F">
      <w:pPr>
        <w:pStyle w:val="2"/>
        <w:rPr>
          <w:sz w:val="21"/>
          <w:szCs w:val="21"/>
        </w:rPr>
      </w:pPr>
    </w:p>
    <w:p w14:paraId="1C160135">
      <w:pPr>
        <w:rPr>
          <w:rFonts w:ascii="宋体" w:hAnsi="宋体"/>
          <w:szCs w:val="21"/>
        </w:rPr>
      </w:pPr>
    </w:p>
    <w:p w14:paraId="3BD4D72D">
      <w:pPr>
        <w:pStyle w:val="2"/>
        <w:rPr>
          <w:sz w:val="21"/>
          <w:szCs w:val="21"/>
        </w:rPr>
      </w:pPr>
    </w:p>
    <w:p w14:paraId="16F4496F"/>
    <w:p w14:paraId="1AEE0769">
      <w:pPr>
        <w:pStyle w:val="8"/>
        <w:widowControl w:val="0"/>
        <w:overflowPunct w:val="0"/>
        <w:spacing w:line="240" w:lineRule="auto"/>
        <w:rPr>
          <w:rFonts w:ascii="楷体_GB2312" w:eastAsia="楷体_GB2312"/>
        </w:rPr>
      </w:pPr>
      <w:bookmarkStart w:id="268" w:name="_Toc12099"/>
      <w:r>
        <w:rPr>
          <w:rFonts w:hint="eastAsia" w:ascii="宋体" w:hAnsi="宋体"/>
          <w:sz w:val="21"/>
          <w:szCs w:val="21"/>
        </w:rPr>
        <w:t>附件</w:t>
      </w:r>
      <w:r>
        <w:rPr>
          <w:rFonts w:hint="eastAsia" w:ascii="宋体" w:hAnsi="宋体"/>
          <w:sz w:val="21"/>
          <w:szCs w:val="21"/>
          <w:lang w:val="en-US" w:eastAsia="zh-CN"/>
        </w:rPr>
        <w:t>11</w:t>
      </w:r>
      <w:r>
        <w:rPr>
          <w:rFonts w:hint="eastAsia" w:ascii="宋体" w:hAnsi="宋体"/>
          <w:sz w:val="21"/>
          <w:szCs w:val="21"/>
        </w:rPr>
        <w:t>.承诺书格式</w:t>
      </w:r>
      <w:bookmarkEnd w:id="268"/>
    </w:p>
    <w:p w14:paraId="0D5BE669">
      <w:pPr>
        <w:jc w:val="center"/>
        <w:rPr>
          <w:rFonts w:ascii="黑体" w:eastAsia="黑体"/>
          <w:sz w:val="28"/>
          <w:szCs w:val="28"/>
        </w:rPr>
      </w:pPr>
      <w:r>
        <w:rPr>
          <w:rFonts w:hint="eastAsia" w:ascii="黑体" w:eastAsia="黑体"/>
          <w:sz w:val="28"/>
          <w:szCs w:val="28"/>
        </w:rPr>
        <w:t>承诺书</w:t>
      </w:r>
    </w:p>
    <w:p w14:paraId="3694F0A7">
      <w:pPr>
        <w:pStyle w:val="46"/>
        <w:spacing w:line="420" w:lineRule="atLeast"/>
        <w:ind w:firstLine="0" w:firstLineChars="0"/>
        <w:rPr>
          <w:rFonts w:ascii="宋体" w:eastAsia="宋体" w:cs="宋体"/>
          <w:sz w:val="21"/>
          <w:szCs w:val="21"/>
        </w:rPr>
      </w:pPr>
      <w:r>
        <w:rPr>
          <w:rFonts w:hint="eastAsia" w:ascii="宋体" w:eastAsia="宋体" w:cs="宋体"/>
          <w:sz w:val="21"/>
          <w:szCs w:val="21"/>
        </w:rPr>
        <w:t>致</w:t>
      </w:r>
      <w:r>
        <w:rPr>
          <w:rFonts w:hint="eastAsia" w:ascii="宋体" w:eastAsia="宋体"/>
          <w:sz w:val="21"/>
          <w:szCs w:val="21"/>
        </w:rPr>
        <w:t>广州宏达工程顾问集团有限公司</w:t>
      </w:r>
      <w:r>
        <w:rPr>
          <w:rFonts w:hint="eastAsia" w:ascii="宋体" w:eastAsia="宋体" w:cs="宋体"/>
          <w:sz w:val="21"/>
          <w:szCs w:val="21"/>
        </w:rPr>
        <w:t>：</w:t>
      </w:r>
    </w:p>
    <w:p w14:paraId="27382FF7">
      <w:pPr>
        <w:jc w:val="center"/>
        <w:rPr>
          <w:rFonts w:ascii="宋体" w:hAnsi="宋体" w:cs="宋体"/>
          <w:szCs w:val="21"/>
        </w:rPr>
      </w:pPr>
    </w:p>
    <w:p w14:paraId="0D748458">
      <w:pPr>
        <w:pStyle w:val="46"/>
        <w:spacing w:line="420" w:lineRule="exact"/>
        <w:ind w:firstLine="433"/>
        <w:rPr>
          <w:rFonts w:ascii="宋体" w:eastAsia="宋体" w:cs="宋体"/>
          <w:sz w:val="21"/>
          <w:szCs w:val="21"/>
        </w:rPr>
      </w:pPr>
      <w:r>
        <w:rPr>
          <w:rFonts w:hint="eastAsia" w:ascii="宋体" w:eastAsia="宋体" w:cs="宋体"/>
          <w:sz w:val="21"/>
          <w:szCs w:val="21"/>
        </w:rPr>
        <w:t>我方已完整阅读了</w:t>
      </w:r>
      <w:r>
        <w:rPr>
          <w:rFonts w:hint="eastAsia" w:ascii="宋体" w:eastAsia="宋体" w:cs="宋体"/>
          <w:sz w:val="21"/>
          <w:szCs w:val="21"/>
          <w:u w:val="single"/>
        </w:rPr>
        <w:t xml:space="preserve">  （项目名称）     </w:t>
      </w:r>
      <w:r>
        <w:rPr>
          <w:rFonts w:hint="eastAsia" w:ascii="宋体" w:eastAsia="宋体" w:cs="宋体"/>
          <w:sz w:val="21"/>
          <w:szCs w:val="21"/>
        </w:rPr>
        <w:t>项目（项目编号：</w:t>
      </w:r>
      <w:r>
        <w:rPr>
          <w:rFonts w:hint="eastAsia" w:ascii="宋体" w:eastAsia="宋体" w:cs="宋体"/>
          <w:sz w:val="21"/>
          <w:szCs w:val="21"/>
          <w:u w:val="single"/>
        </w:rPr>
        <w:t xml:space="preserve">            </w:t>
      </w:r>
      <w:r>
        <w:rPr>
          <w:rFonts w:hint="eastAsia" w:ascii="宋体" w:eastAsia="宋体" w:cs="宋体"/>
          <w:sz w:val="21"/>
          <w:szCs w:val="21"/>
        </w:rPr>
        <w:t>）采购文件的所有内容（包括澄清，以及所有已提供的参考资料和有关附件），并完全理解上述文件所表达的意思，该项目递交投标文件时间截止后，我方承诺不再对上述文件内容有异议。</w:t>
      </w:r>
      <w:r>
        <w:rPr>
          <w:rFonts w:hint="eastAsia" w:ascii="宋体" w:eastAsia="宋体" w:cs="宋体"/>
          <w:sz w:val="21"/>
          <w:szCs w:val="21"/>
        </w:rPr>
        <w:cr/>
      </w:r>
    </w:p>
    <w:p w14:paraId="42D58497">
      <w:pPr>
        <w:pStyle w:val="46"/>
        <w:spacing w:line="420" w:lineRule="exact"/>
        <w:ind w:firstLine="433"/>
        <w:rPr>
          <w:rFonts w:ascii="宋体" w:eastAsia="宋体" w:cs="宋体"/>
          <w:sz w:val="21"/>
          <w:szCs w:val="21"/>
        </w:rPr>
      </w:pPr>
    </w:p>
    <w:p w14:paraId="6B773673">
      <w:pPr>
        <w:ind w:right="561" w:firstLine="420" w:firstLineChars="200"/>
        <w:rPr>
          <w:rFonts w:ascii="宋体" w:hAnsi="宋体" w:cs="宋体"/>
          <w:szCs w:val="21"/>
        </w:rPr>
      </w:pPr>
      <w:r>
        <w:rPr>
          <w:rFonts w:hint="eastAsia" w:ascii="宋体" w:hAnsi="宋体" w:cs="宋体"/>
          <w:szCs w:val="21"/>
        </w:rPr>
        <w:t>投标人名称（加盖公章）：</w:t>
      </w:r>
    </w:p>
    <w:p w14:paraId="63351B82">
      <w:pPr>
        <w:ind w:right="561" w:firstLine="420" w:firstLineChars="200"/>
        <w:rPr>
          <w:rFonts w:ascii="宋体" w:hAnsi="宋体" w:cs="宋体"/>
          <w:szCs w:val="21"/>
        </w:rPr>
      </w:pPr>
      <w:r>
        <w:rPr>
          <w:rFonts w:hint="eastAsia" w:ascii="宋体" w:hAnsi="宋体" w:cs="宋体"/>
          <w:szCs w:val="21"/>
        </w:rPr>
        <w:t>法定代表人或被授权人（签名或盖私章）：</w:t>
      </w:r>
    </w:p>
    <w:p w14:paraId="1973B560">
      <w:pPr>
        <w:ind w:right="561" w:firstLine="420" w:firstLineChars="200"/>
        <w:rPr>
          <w:rFonts w:ascii="宋体" w:hAnsi="宋体" w:cs="宋体"/>
          <w:szCs w:val="21"/>
        </w:rPr>
      </w:pPr>
      <w:r>
        <w:rPr>
          <w:rFonts w:hint="eastAsia" w:ascii="宋体" w:hAnsi="宋体" w:cs="宋体"/>
          <w:szCs w:val="21"/>
        </w:rPr>
        <w:t>日      期：</w:t>
      </w:r>
    </w:p>
    <w:p w14:paraId="0525AA2E"/>
    <w:p w14:paraId="5A0BCAB4">
      <w:pPr>
        <w:rPr>
          <w:rFonts w:ascii="宋体" w:hAnsi="宋体"/>
          <w:szCs w:val="21"/>
        </w:rPr>
      </w:pPr>
    </w:p>
    <w:p w14:paraId="50989F43">
      <w:pPr>
        <w:pStyle w:val="2"/>
        <w:rPr>
          <w:sz w:val="21"/>
          <w:szCs w:val="21"/>
        </w:rPr>
      </w:pPr>
    </w:p>
    <w:p w14:paraId="1740A785">
      <w:pPr>
        <w:rPr>
          <w:rFonts w:ascii="宋体" w:hAnsi="宋体"/>
          <w:szCs w:val="21"/>
        </w:rPr>
      </w:pPr>
    </w:p>
    <w:p w14:paraId="196B1FA2">
      <w:pPr>
        <w:pStyle w:val="2"/>
        <w:rPr>
          <w:sz w:val="21"/>
          <w:szCs w:val="21"/>
        </w:rPr>
      </w:pPr>
    </w:p>
    <w:p w14:paraId="1EF709B8">
      <w:pPr>
        <w:rPr>
          <w:rFonts w:ascii="宋体" w:hAnsi="宋体"/>
          <w:szCs w:val="21"/>
        </w:rPr>
      </w:pPr>
    </w:p>
    <w:p w14:paraId="592E7B7C">
      <w:pPr>
        <w:pStyle w:val="2"/>
        <w:rPr>
          <w:sz w:val="21"/>
          <w:szCs w:val="21"/>
        </w:rPr>
      </w:pPr>
    </w:p>
    <w:p w14:paraId="72923A3C">
      <w:pPr>
        <w:rPr>
          <w:rFonts w:ascii="宋体" w:hAnsi="宋体"/>
          <w:szCs w:val="21"/>
        </w:rPr>
      </w:pPr>
    </w:p>
    <w:p w14:paraId="4D8C492D">
      <w:pPr>
        <w:pStyle w:val="2"/>
        <w:rPr>
          <w:sz w:val="21"/>
          <w:szCs w:val="21"/>
        </w:rPr>
      </w:pPr>
    </w:p>
    <w:p w14:paraId="164371F4">
      <w:pPr>
        <w:rPr>
          <w:rFonts w:ascii="宋体" w:hAnsi="宋体"/>
          <w:szCs w:val="21"/>
        </w:rPr>
      </w:pPr>
    </w:p>
    <w:p w14:paraId="3CE5DAC8">
      <w:pPr>
        <w:pStyle w:val="2"/>
        <w:rPr>
          <w:sz w:val="21"/>
          <w:szCs w:val="21"/>
        </w:rPr>
      </w:pPr>
    </w:p>
    <w:p w14:paraId="67DBEF3B">
      <w:pPr>
        <w:rPr>
          <w:rFonts w:ascii="宋体" w:hAnsi="宋体"/>
          <w:szCs w:val="21"/>
        </w:rPr>
      </w:pPr>
    </w:p>
    <w:p w14:paraId="6533CB8E">
      <w:pPr>
        <w:pStyle w:val="2"/>
        <w:rPr>
          <w:sz w:val="21"/>
          <w:szCs w:val="21"/>
        </w:rPr>
      </w:pPr>
    </w:p>
    <w:p w14:paraId="46526C61">
      <w:pPr>
        <w:rPr>
          <w:rFonts w:ascii="宋体" w:hAnsi="宋体"/>
          <w:szCs w:val="21"/>
        </w:rPr>
      </w:pPr>
    </w:p>
    <w:p w14:paraId="10CC30B5">
      <w:pPr>
        <w:pStyle w:val="2"/>
        <w:rPr>
          <w:sz w:val="21"/>
          <w:szCs w:val="21"/>
        </w:rPr>
      </w:pPr>
    </w:p>
    <w:p w14:paraId="21BE105A">
      <w:pPr>
        <w:rPr>
          <w:rFonts w:ascii="宋体" w:hAnsi="宋体"/>
          <w:szCs w:val="21"/>
        </w:rPr>
      </w:pPr>
    </w:p>
    <w:p w14:paraId="26F28620">
      <w:pPr>
        <w:pStyle w:val="2"/>
        <w:rPr>
          <w:sz w:val="21"/>
          <w:szCs w:val="21"/>
        </w:rPr>
      </w:pPr>
    </w:p>
    <w:p w14:paraId="6CD80A02"/>
    <w:p w14:paraId="002485A6">
      <w:pPr>
        <w:pStyle w:val="8"/>
        <w:widowControl w:val="0"/>
        <w:overflowPunct w:val="0"/>
        <w:spacing w:line="240" w:lineRule="auto"/>
        <w:rPr>
          <w:rFonts w:ascii="宋体" w:hAnsi="宋体"/>
          <w:sz w:val="21"/>
          <w:szCs w:val="21"/>
          <w:highlight w:val="none"/>
        </w:rPr>
      </w:pPr>
      <w:bookmarkStart w:id="269" w:name="_Toc22457"/>
      <w:r>
        <w:rPr>
          <w:rFonts w:hint="eastAsia" w:ascii="宋体" w:hAnsi="宋体"/>
          <w:sz w:val="21"/>
          <w:szCs w:val="21"/>
        </w:rPr>
        <w:t>附件1</w:t>
      </w:r>
      <w:r>
        <w:rPr>
          <w:rFonts w:hint="eastAsia" w:ascii="宋体" w:hAnsi="宋体"/>
          <w:sz w:val="21"/>
          <w:szCs w:val="21"/>
          <w:lang w:val="en-US" w:eastAsia="zh-CN"/>
        </w:rPr>
        <w:t>2</w:t>
      </w:r>
      <w:r>
        <w:rPr>
          <w:rFonts w:hint="eastAsia" w:ascii="宋体" w:hAnsi="宋体"/>
          <w:sz w:val="21"/>
          <w:szCs w:val="21"/>
        </w:rPr>
        <w:t>.</w:t>
      </w:r>
      <w:r>
        <w:rPr>
          <w:rFonts w:hint="eastAsia" w:ascii="宋体" w:hAnsi="宋体"/>
          <w:sz w:val="21"/>
          <w:szCs w:val="21"/>
          <w:highlight w:val="none"/>
        </w:rPr>
        <w:t>商务需求条款偏离表格式</w:t>
      </w:r>
      <w:bookmarkEnd w:id="269"/>
    </w:p>
    <w:p w14:paraId="47529FF3">
      <w:pPr>
        <w:jc w:val="center"/>
        <w:rPr>
          <w:rFonts w:ascii="黑体" w:eastAsia="黑体"/>
          <w:sz w:val="28"/>
          <w:szCs w:val="28"/>
          <w:highlight w:val="none"/>
        </w:rPr>
      </w:pPr>
    </w:p>
    <w:p w14:paraId="0162E7CF">
      <w:pPr>
        <w:jc w:val="center"/>
        <w:rPr>
          <w:rFonts w:ascii="黑体" w:eastAsia="黑体"/>
          <w:sz w:val="28"/>
          <w:szCs w:val="28"/>
          <w:highlight w:val="none"/>
        </w:rPr>
      </w:pPr>
      <w:r>
        <w:rPr>
          <w:rFonts w:hint="eastAsia" w:ascii="黑体" w:eastAsia="黑体"/>
          <w:sz w:val="28"/>
          <w:szCs w:val="28"/>
          <w:highlight w:val="none"/>
        </w:rPr>
        <w:t>商务需求条款偏离表</w:t>
      </w:r>
    </w:p>
    <w:tbl>
      <w:tblPr>
        <w:tblStyle w:val="31"/>
        <w:tblW w:w="84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620"/>
        <w:gridCol w:w="1360"/>
        <w:gridCol w:w="1587"/>
        <w:gridCol w:w="1133"/>
        <w:gridCol w:w="1730"/>
      </w:tblGrid>
      <w:tr w14:paraId="43785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008" w:type="dxa"/>
            <w:vAlign w:val="center"/>
          </w:tcPr>
          <w:p w14:paraId="0E5A9077">
            <w:pPr>
              <w:jc w:val="center"/>
              <w:rPr>
                <w:rFonts w:ascii="宋体" w:hAnsi="宋体"/>
                <w:szCs w:val="21"/>
                <w:highlight w:val="none"/>
              </w:rPr>
            </w:pPr>
            <w:r>
              <w:rPr>
                <w:rFonts w:hint="eastAsia" w:ascii="宋体" w:hAnsi="宋体"/>
                <w:szCs w:val="21"/>
                <w:highlight w:val="none"/>
              </w:rPr>
              <w:t>序号</w:t>
            </w:r>
          </w:p>
        </w:tc>
        <w:tc>
          <w:tcPr>
            <w:tcW w:w="1620" w:type="dxa"/>
            <w:vAlign w:val="center"/>
          </w:tcPr>
          <w:p w14:paraId="62C87B78">
            <w:pPr>
              <w:jc w:val="center"/>
              <w:rPr>
                <w:rFonts w:ascii="宋体" w:hAnsi="宋体"/>
                <w:szCs w:val="21"/>
                <w:highlight w:val="none"/>
              </w:rPr>
            </w:pPr>
            <w:r>
              <w:rPr>
                <w:rFonts w:hint="eastAsia" w:ascii="宋体" w:hAnsi="宋体"/>
                <w:szCs w:val="21"/>
                <w:highlight w:val="none"/>
              </w:rPr>
              <w:t>服务项目名称</w:t>
            </w:r>
          </w:p>
        </w:tc>
        <w:tc>
          <w:tcPr>
            <w:tcW w:w="1360" w:type="dxa"/>
            <w:vAlign w:val="center"/>
          </w:tcPr>
          <w:p w14:paraId="325BA0F1">
            <w:pPr>
              <w:jc w:val="center"/>
              <w:rPr>
                <w:rFonts w:ascii="宋体" w:hAnsi="宋体"/>
                <w:szCs w:val="21"/>
                <w:highlight w:val="none"/>
              </w:rPr>
            </w:pPr>
            <w:r>
              <w:rPr>
                <w:rFonts w:hint="eastAsia" w:ascii="宋体" w:hAnsi="宋体"/>
                <w:szCs w:val="21"/>
                <w:highlight w:val="none"/>
              </w:rPr>
              <w:t>采购要求</w:t>
            </w:r>
          </w:p>
        </w:tc>
        <w:tc>
          <w:tcPr>
            <w:tcW w:w="1587" w:type="dxa"/>
            <w:vAlign w:val="center"/>
          </w:tcPr>
          <w:p w14:paraId="22F959CC">
            <w:pPr>
              <w:jc w:val="center"/>
              <w:rPr>
                <w:rFonts w:ascii="宋体" w:hAnsi="宋体"/>
                <w:szCs w:val="21"/>
                <w:highlight w:val="none"/>
              </w:rPr>
            </w:pPr>
            <w:r>
              <w:rPr>
                <w:rFonts w:hint="eastAsia" w:ascii="宋体" w:hAnsi="宋体"/>
                <w:szCs w:val="21"/>
                <w:highlight w:val="none"/>
              </w:rPr>
              <w:t>投标实际响应</w:t>
            </w:r>
          </w:p>
        </w:tc>
        <w:tc>
          <w:tcPr>
            <w:tcW w:w="1133" w:type="dxa"/>
            <w:vAlign w:val="center"/>
          </w:tcPr>
          <w:p w14:paraId="6E9E63E7">
            <w:pPr>
              <w:jc w:val="center"/>
              <w:rPr>
                <w:rFonts w:ascii="宋体" w:hAnsi="宋体"/>
                <w:szCs w:val="21"/>
                <w:highlight w:val="none"/>
              </w:rPr>
            </w:pPr>
            <w:r>
              <w:rPr>
                <w:rFonts w:hint="eastAsia" w:ascii="宋体" w:hAnsi="宋体"/>
                <w:szCs w:val="21"/>
                <w:highlight w:val="none"/>
              </w:rPr>
              <w:t>是否偏离</w:t>
            </w:r>
          </w:p>
        </w:tc>
        <w:tc>
          <w:tcPr>
            <w:tcW w:w="1730" w:type="dxa"/>
            <w:vAlign w:val="center"/>
          </w:tcPr>
          <w:p w14:paraId="3CCC57BE">
            <w:pPr>
              <w:jc w:val="center"/>
              <w:rPr>
                <w:rFonts w:ascii="宋体" w:hAnsi="宋体"/>
                <w:szCs w:val="21"/>
                <w:highlight w:val="none"/>
              </w:rPr>
            </w:pPr>
            <w:r>
              <w:rPr>
                <w:rFonts w:hint="eastAsia" w:ascii="宋体" w:hAnsi="宋体"/>
                <w:szCs w:val="21"/>
                <w:highlight w:val="none"/>
              </w:rPr>
              <w:t>说明</w:t>
            </w:r>
          </w:p>
        </w:tc>
      </w:tr>
      <w:tr w14:paraId="4CFFA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060AF2D">
            <w:pPr>
              <w:jc w:val="center"/>
              <w:rPr>
                <w:rFonts w:ascii="宋体" w:hAnsi="宋体"/>
                <w:szCs w:val="21"/>
                <w:highlight w:val="none"/>
              </w:rPr>
            </w:pPr>
          </w:p>
        </w:tc>
        <w:tc>
          <w:tcPr>
            <w:tcW w:w="1620" w:type="dxa"/>
            <w:vAlign w:val="center"/>
          </w:tcPr>
          <w:p w14:paraId="22BCB319">
            <w:pPr>
              <w:jc w:val="center"/>
              <w:rPr>
                <w:rFonts w:ascii="宋体" w:hAnsi="宋体"/>
                <w:szCs w:val="21"/>
                <w:highlight w:val="none"/>
              </w:rPr>
            </w:pPr>
          </w:p>
        </w:tc>
        <w:tc>
          <w:tcPr>
            <w:tcW w:w="1360" w:type="dxa"/>
            <w:vAlign w:val="center"/>
          </w:tcPr>
          <w:p w14:paraId="04BC479A">
            <w:pPr>
              <w:jc w:val="center"/>
              <w:rPr>
                <w:rFonts w:ascii="宋体" w:hAnsi="宋体"/>
                <w:szCs w:val="21"/>
                <w:highlight w:val="none"/>
              </w:rPr>
            </w:pPr>
          </w:p>
        </w:tc>
        <w:tc>
          <w:tcPr>
            <w:tcW w:w="1587" w:type="dxa"/>
            <w:vAlign w:val="center"/>
          </w:tcPr>
          <w:p w14:paraId="3915E586">
            <w:pPr>
              <w:jc w:val="center"/>
              <w:rPr>
                <w:rFonts w:ascii="宋体" w:hAnsi="宋体"/>
                <w:szCs w:val="21"/>
                <w:highlight w:val="none"/>
              </w:rPr>
            </w:pPr>
          </w:p>
        </w:tc>
        <w:tc>
          <w:tcPr>
            <w:tcW w:w="1133" w:type="dxa"/>
            <w:vAlign w:val="center"/>
          </w:tcPr>
          <w:p w14:paraId="42B6EF50">
            <w:pPr>
              <w:jc w:val="center"/>
              <w:rPr>
                <w:rFonts w:ascii="宋体" w:hAnsi="宋体"/>
                <w:szCs w:val="21"/>
                <w:highlight w:val="none"/>
              </w:rPr>
            </w:pPr>
          </w:p>
        </w:tc>
        <w:tc>
          <w:tcPr>
            <w:tcW w:w="1730" w:type="dxa"/>
            <w:vAlign w:val="center"/>
          </w:tcPr>
          <w:p w14:paraId="2D4E7707">
            <w:pPr>
              <w:jc w:val="center"/>
              <w:rPr>
                <w:rFonts w:ascii="宋体" w:hAnsi="宋体"/>
                <w:szCs w:val="21"/>
                <w:highlight w:val="none"/>
              </w:rPr>
            </w:pPr>
          </w:p>
        </w:tc>
      </w:tr>
      <w:tr w14:paraId="57F36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6A33566">
            <w:pPr>
              <w:jc w:val="center"/>
              <w:rPr>
                <w:rFonts w:ascii="宋体" w:hAnsi="宋体"/>
                <w:szCs w:val="21"/>
                <w:highlight w:val="none"/>
              </w:rPr>
            </w:pPr>
          </w:p>
        </w:tc>
        <w:tc>
          <w:tcPr>
            <w:tcW w:w="1620" w:type="dxa"/>
            <w:vAlign w:val="center"/>
          </w:tcPr>
          <w:p w14:paraId="3A3075CA">
            <w:pPr>
              <w:jc w:val="center"/>
              <w:rPr>
                <w:rFonts w:ascii="宋体" w:hAnsi="宋体"/>
                <w:szCs w:val="21"/>
                <w:highlight w:val="none"/>
              </w:rPr>
            </w:pPr>
          </w:p>
        </w:tc>
        <w:tc>
          <w:tcPr>
            <w:tcW w:w="1360" w:type="dxa"/>
            <w:vAlign w:val="center"/>
          </w:tcPr>
          <w:p w14:paraId="6DEFF635">
            <w:pPr>
              <w:jc w:val="center"/>
              <w:rPr>
                <w:rFonts w:ascii="宋体" w:hAnsi="宋体"/>
                <w:szCs w:val="21"/>
                <w:highlight w:val="none"/>
              </w:rPr>
            </w:pPr>
          </w:p>
        </w:tc>
        <w:tc>
          <w:tcPr>
            <w:tcW w:w="1587" w:type="dxa"/>
            <w:vAlign w:val="center"/>
          </w:tcPr>
          <w:p w14:paraId="3C67AE4D">
            <w:pPr>
              <w:jc w:val="center"/>
              <w:rPr>
                <w:rFonts w:ascii="宋体" w:hAnsi="宋体"/>
                <w:szCs w:val="21"/>
                <w:highlight w:val="none"/>
              </w:rPr>
            </w:pPr>
          </w:p>
        </w:tc>
        <w:tc>
          <w:tcPr>
            <w:tcW w:w="1133" w:type="dxa"/>
            <w:vAlign w:val="center"/>
          </w:tcPr>
          <w:p w14:paraId="1D80BA7D">
            <w:pPr>
              <w:jc w:val="center"/>
              <w:rPr>
                <w:rFonts w:ascii="宋体" w:hAnsi="宋体"/>
                <w:szCs w:val="21"/>
                <w:highlight w:val="none"/>
              </w:rPr>
            </w:pPr>
          </w:p>
        </w:tc>
        <w:tc>
          <w:tcPr>
            <w:tcW w:w="1730" w:type="dxa"/>
            <w:vAlign w:val="center"/>
          </w:tcPr>
          <w:p w14:paraId="0B7568FB">
            <w:pPr>
              <w:jc w:val="center"/>
              <w:rPr>
                <w:rFonts w:ascii="宋体" w:hAnsi="宋体"/>
                <w:szCs w:val="21"/>
                <w:highlight w:val="none"/>
              </w:rPr>
            </w:pPr>
          </w:p>
        </w:tc>
      </w:tr>
      <w:tr w14:paraId="22433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3E33A58">
            <w:pPr>
              <w:jc w:val="center"/>
              <w:rPr>
                <w:rFonts w:ascii="宋体" w:hAnsi="宋体"/>
                <w:szCs w:val="21"/>
                <w:highlight w:val="none"/>
              </w:rPr>
            </w:pPr>
          </w:p>
        </w:tc>
        <w:tc>
          <w:tcPr>
            <w:tcW w:w="1620" w:type="dxa"/>
            <w:vAlign w:val="center"/>
          </w:tcPr>
          <w:p w14:paraId="510AD7D5">
            <w:pPr>
              <w:jc w:val="center"/>
              <w:rPr>
                <w:rFonts w:ascii="宋体" w:hAnsi="宋体"/>
                <w:szCs w:val="21"/>
                <w:highlight w:val="none"/>
              </w:rPr>
            </w:pPr>
          </w:p>
        </w:tc>
        <w:tc>
          <w:tcPr>
            <w:tcW w:w="1360" w:type="dxa"/>
            <w:vAlign w:val="center"/>
          </w:tcPr>
          <w:p w14:paraId="34783B6D">
            <w:pPr>
              <w:jc w:val="center"/>
              <w:rPr>
                <w:rFonts w:ascii="宋体" w:hAnsi="宋体"/>
                <w:szCs w:val="21"/>
                <w:highlight w:val="none"/>
              </w:rPr>
            </w:pPr>
          </w:p>
        </w:tc>
        <w:tc>
          <w:tcPr>
            <w:tcW w:w="1587" w:type="dxa"/>
            <w:vAlign w:val="center"/>
          </w:tcPr>
          <w:p w14:paraId="4E6C41E8">
            <w:pPr>
              <w:jc w:val="center"/>
              <w:rPr>
                <w:rFonts w:ascii="宋体" w:hAnsi="宋体"/>
                <w:szCs w:val="21"/>
                <w:highlight w:val="none"/>
              </w:rPr>
            </w:pPr>
          </w:p>
        </w:tc>
        <w:tc>
          <w:tcPr>
            <w:tcW w:w="1133" w:type="dxa"/>
            <w:vAlign w:val="center"/>
          </w:tcPr>
          <w:p w14:paraId="2FAFFF61">
            <w:pPr>
              <w:jc w:val="center"/>
              <w:rPr>
                <w:rFonts w:ascii="宋体" w:hAnsi="宋体"/>
                <w:szCs w:val="21"/>
                <w:highlight w:val="none"/>
              </w:rPr>
            </w:pPr>
          </w:p>
        </w:tc>
        <w:tc>
          <w:tcPr>
            <w:tcW w:w="1730" w:type="dxa"/>
            <w:vAlign w:val="center"/>
          </w:tcPr>
          <w:p w14:paraId="70A23CF6">
            <w:pPr>
              <w:jc w:val="center"/>
              <w:rPr>
                <w:rFonts w:ascii="宋体" w:hAnsi="宋体"/>
                <w:szCs w:val="21"/>
                <w:highlight w:val="none"/>
              </w:rPr>
            </w:pPr>
          </w:p>
        </w:tc>
      </w:tr>
      <w:tr w14:paraId="32BF9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1C1DA09">
            <w:pPr>
              <w:jc w:val="center"/>
              <w:rPr>
                <w:rFonts w:ascii="宋体" w:hAnsi="宋体"/>
                <w:szCs w:val="21"/>
                <w:highlight w:val="none"/>
              </w:rPr>
            </w:pPr>
          </w:p>
        </w:tc>
        <w:tc>
          <w:tcPr>
            <w:tcW w:w="1620" w:type="dxa"/>
            <w:vAlign w:val="center"/>
          </w:tcPr>
          <w:p w14:paraId="2FEDA793">
            <w:pPr>
              <w:jc w:val="center"/>
              <w:rPr>
                <w:rFonts w:ascii="宋体" w:hAnsi="宋体"/>
                <w:szCs w:val="21"/>
                <w:highlight w:val="none"/>
              </w:rPr>
            </w:pPr>
          </w:p>
        </w:tc>
        <w:tc>
          <w:tcPr>
            <w:tcW w:w="1360" w:type="dxa"/>
            <w:vAlign w:val="center"/>
          </w:tcPr>
          <w:p w14:paraId="03B029AA">
            <w:pPr>
              <w:jc w:val="center"/>
              <w:rPr>
                <w:rFonts w:ascii="宋体" w:hAnsi="宋体"/>
                <w:szCs w:val="21"/>
                <w:highlight w:val="none"/>
              </w:rPr>
            </w:pPr>
          </w:p>
        </w:tc>
        <w:tc>
          <w:tcPr>
            <w:tcW w:w="1587" w:type="dxa"/>
            <w:vAlign w:val="center"/>
          </w:tcPr>
          <w:p w14:paraId="1BF1D879">
            <w:pPr>
              <w:jc w:val="center"/>
              <w:rPr>
                <w:rFonts w:ascii="宋体" w:hAnsi="宋体"/>
                <w:szCs w:val="21"/>
                <w:highlight w:val="none"/>
              </w:rPr>
            </w:pPr>
          </w:p>
        </w:tc>
        <w:tc>
          <w:tcPr>
            <w:tcW w:w="1133" w:type="dxa"/>
            <w:vAlign w:val="center"/>
          </w:tcPr>
          <w:p w14:paraId="761C0C19">
            <w:pPr>
              <w:jc w:val="center"/>
              <w:rPr>
                <w:rFonts w:ascii="宋体" w:hAnsi="宋体"/>
                <w:szCs w:val="21"/>
                <w:highlight w:val="none"/>
              </w:rPr>
            </w:pPr>
          </w:p>
        </w:tc>
        <w:tc>
          <w:tcPr>
            <w:tcW w:w="1730" w:type="dxa"/>
            <w:vAlign w:val="center"/>
          </w:tcPr>
          <w:p w14:paraId="03617618">
            <w:pPr>
              <w:jc w:val="center"/>
              <w:rPr>
                <w:rFonts w:ascii="宋体" w:hAnsi="宋体"/>
                <w:szCs w:val="21"/>
                <w:highlight w:val="none"/>
              </w:rPr>
            </w:pPr>
          </w:p>
        </w:tc>
      </w:tr>
      <w:tr w14:paraId="04D85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9FE0105">
            <w:pPr>
              <w:jc w:val="center"/>
              <w:rPr>
                <w:rFonts w:ascii="宋体" w:hAnsi="宋体"/>
                <w:szCs w:val="21"/>
                <w:highlight w:val="none"/>
              </w:rPr>
            </w:pPr>
          </w:p>
        </w:tc>
        <w:tc>
          <w:tcPr>
            <w:tcW w:w="1620" w:type="dxa"/>
            <w:vAlign w:val="center"/>
          </w:tcPr>
          <w:p w14:paraId="798859DA">
            <w:pPr>
              <w:jc w:val="center"/>
              <w:rPr>
                <w:rFonts w:ascii="宋体" w:hAnsi="宋体"/>
                <w:szCs w:val="21"/>
                <w:highlight w:val="none"/>
              </w:rPr>
            </w:pPr>
          </w:p>
        </w:tc>
        <w:tc>
          <w:tcPr>
            <w:tcW w:w="1360" w:type="dxa"/>
            <w:vAlign w:val="center"/>
          </w:tcPr>
          <w:p w14:paraId="6F1F44E9">
            <w:pPr>
              <w:jc w:val="center"/>
              <w:rPr>
                <w:rFonts w:ascii="宋体" w:hAnsi="宋体"/>
                <w:szCs w:val="21"/>
                <w:highlight w:val="none"/>
              </w:rPr>
            </w:pPr>
          </w:p>
        </w:tc>
        <w:tc>
          <w:tcPr>
            <w:tcW w:w="1587" w:type="dxa"/>
            <w:vAlign w:val="center"/>
          </w:tcPr>
          <w:p w14:paraId="210C6FF3">
            <w:pPr>
              <w:jc w:val="center"/>
              <w:rPr>
                <w:rFonts w:ascii="宋体" w:hAnsi="宋体"/>
                <w:szCs w:val="21"/>
                <w:highlight w:val="none"/>
              </w:rPr>
            </w:pPr>
          </w:p>
        </w:tc>
        <w:tc>
          <w:tcPr>
            <w:tcW w:w="1133" w:type="dxa"/>
            <w:vAlign w:val="center"/>
          </w:tcPr>
          <w:p w14:paraId="277B9BD8">
            <w:pPr>
              <w:jc w:val="center"/>
              <w:rPr>
                <w:rFonts w:ascii="宋体" w:hAnsi="宋体"/>
                <w:szCs w:val="21"/>
                <w:highlight w:val="none"/>
              </w:rPr>
            </w:pPr>
          </w:p>
        </w:tc>
        <w:tc>
          <w:tcPr>
            <w:tcW w:w="1730" w:type="dxa"/>
            <w:vAlign w:val="center"/>
          </w:tcPr>
          <w:p w14:paraId="038A4A5D">
            <w:pPr>
              <w:jc w:val="center"/>
              <w:rPr>
                <w:rFonts w:ascii="宋体" w:hAnsi="宋体"/>
                <w:szCs w:val="21"/>
                <w:highlight w:val="none"/>
              </w:rPr>
            </w:pPr>
          </w:p>
        </w:tc>
      </w:tr>
      <w:tr w14:paraId="4242D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BF731CC">
            <w:pPr>
              <w:jc w:val="center"/>
              <w:rPr>
                <w:rFonts w:ascii="宋体" w:hAnsi="宋体"/>
                <w:szCs w:val="21"/>
                <w:highlight w:val="none"/>
              </w:rPr>
            </w:pPr>
          </w:p>
        </w:tc>
        <w:tc>
          <w:tcPr>
            <w:tcW w:w="1620" w:type="dxa"/>
            <w:vAlign w:val="center"/>
          </w:tcPr>
          <w:p w14:paraId="3597870C">
            <w:pPr>
              <w:jc w:val="center"/>
              <w:rPr>
                <w:rFonts w:ascii="宋体" w:hAnsi="宋体"/>
                <w:szCs w:val="21"/>
                <w:highlight w:val="none"/>
              </w:rPr>
            </w:pPr>
          </w:p>
        </w:tc>
        <w:tc>
          <w:tcPr>
            <w:tcW w:w="1360" w:type="dxa"/>
            <w:vAlign w:val="center"/>
          </w:tcPr>
          <w:p w14:paraId="082FAE72">
            <w:pPr>
              <w:jc w:val="center"/>
              <w:rPr>
                <w:rFonts w:ascii="宋体" w:hAnsi="宋体"/>
                <w:szCs w:val="21"/>
                <w:highlight w:val="none"/>
              </w:rPr>
            </w:pPr>
          </w:p>
        </w:tc>
        <w:tc>
          <w:tcPr>
            <w:tcW w:w="1587" w:type="dxa"/>
            <w:vAlign w:val="center"/>
          </w:tcPr>
          <w:p w14:paraId="3FC8302D">
            <w:pPr>
              <w:jc w:val="center"/>
              <w:rPr>
                <w:rFonts w:ascii="宋体" w:hAnsi="宋体"/>
                <w:szCs w:val="21"/>
                <w:highlight w:val="none"/>
              </w:rPr>
            </w:pPr>
          </w:p>
        </w:tc>
        <w:tc>
          <w:tcPr>
            <w:tcW w:w="1133" w:type="dxa"/>
            <w:vAlign w:val="center"/>
          </w:tcPr>
          <w:p w14:paraId="78528F84">
            <w:pPr>
              <w:jc w:val="center"/>
              <w:rPr>
                <w:rFonts w:ascii="宋体" w:hAnsi="宋体"/>
                <w:szCs w:val="21"/>
                <w:highlight w:val="none"/>
              </w:rPr>
            </w:pPr>
          </w:p>
        </w:tc>
        <w:tc>
          <w:tcPr>
            <w:tcW w:w="1730" w:type="dxa"/>
            <w:vAlign w:val="center"/>
          </w:tcPr>
          <w:p w14:paraId="58504647">
            <w:pPr>
              <w:jc w:val="center"/>
              <w:rPr>
                <w:rFonts w:ascii="宋体" w:hAnsi="宋体"/>
                <w:szCs w:val="21"/>
                <w:highlight w:val="none"/>
              </w:rPr>
            </w:pPr>
          </w:p>
        </w:tc>
      </w:tr>
      <w:tr w14:paraId="5CECF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E146688">
            <w:pPr>
              <w:jc w:val="center"/>
              <w:rPr>
                <w:rFonts w:ascii="宋体" w:hAnsi="宋体"/>
                <w:szCs w:val="21"/>
                <w:highlight w:val="none"/>
              </w:rPr>
            </w:pPr>
          </w:p>
        </w:tc>
        <w:tc>
          <w:tcPr>
            <w:tcW w:w="1620" w:type="dxa"/>
            <w:vAlign w:val="center"/>
          </w:tcPr>
          <w:p w14:paraId="004769CC">
            <w:pPr>
              <w:jc w:val="center"/>
              <w:rPr>
                <w:rFonts w:ascii="宋体" w:hAnsi="宋体"/>
                <w:szCs w:val="21"/>
                <w:highlight w:val="none"/>
              </w:rPr>
            </w:pPr>
          </w:p>
        </w:tc>
        <w:tc>
          <w:tcPr>
            <w:tcW w:w="1360" w:type="dxa"/>
            <w:vAlign w:val="center"/>
          </w:tcPr>
          <w:p w14:paraId="3828BDEA">
            <w:pPr>
              <w:jc w:val="center"/>
              <w:rPr>
                <w:rFonts w:ascii="宋体" w:hAnsi="宋体"/>
                <w:szCs w:val="21"/>
                <w:highlight w:val="none"/>
              </w:rPr>
            </w:pPr>
          </w:p>
        </w:tc>
        <w:tc>
          <w:tcPr>
            <w:tcW w:w="1587" w:type="dxa"/>
            <w:vAlign w:val="center"/>
          </w:tcPr>
          <w:p w14:paraId="18E7865A">
            <w:pPr>
              <w:jc w:val="center"/>
              <w:rPr>
                <w:rFonts w:ascii="宋体" w:hAnsi="宋体"/>
                <w:szCs w:val="21"/>
                <w:highlight w:val="none"/>
              </w:rPr>
            </w:pPr>
          </w:p>
        </w:tc>
        <w:tc>
          <w:tcPr>
            <w:tcW w:w="1133" w:type="dxa"/>
            <w:vAlign w:val="center"/>
          </w:tcPr>
          <w:p w14:paraId="5C23A81B">
            <w:pPr>
              <w:jc w:val="center"/>
              <w:rPr>
                <w:rFonts w:ascii="宋体" w:hAnsi="宋体"/>
                <w:szCs w:val="21"/>
                <w:highlight w:val="none"/>
              </w:rPr>
            </w:pPr>
          </w:p>
        </w:tc>
        <w:tc>
          <w:tcPr>
            <w:tcW w:w="1730" w:type="dxa"/>
            <w:vAlign w:val="center"/>
          </w:tcPr>
          <w:p w14:paraId="55AAEEAE">
            <w:pPr>
              <w:jc w:val="center"/>
              <w:rPr>
                <w:rFonts w:ascii="宋体" w:hAnsi="宋体"/>
                <w:szCs w:val="21"/>
                <w:highlight w:val="none"/>
              </w:rPr>
            </w:pPr>
          </w:p>
        </w:tc>
      </w:tr>
      <w:tr w14:paraId="0E8A4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021EDF0">
            <w:pPr>
              <w:jc w:val="center"/>
              <w:rPr>
                <w:rFonts w:ascii="宋体" w:hAnsi="宋体"/>
                <w:szCs w:val="21"/>
                <w:highlight w:val="none"/>
              </w:rPr>
            </w:pPr>
          </w:p>
        </w:tc>
        <w:tc>
          <w:tcPr>
            <w:tcW w:w="1620" w:type="dxa"/>
            <w:vAlign w:val="center"/>
          </w:tcPr>
          <w:p w14:paraId="25B09DBB">
            <w:pPr>
              <w:jc w:val="center"/>
              <w:rPr>
                <w:rFonts w:ascii="宋体" w:hAnsi="宋体"/>
                <w:szCs w:val="21"/>
                <w:highlight w:val="none"/>
              </w:rPr>
            </w:pPr>
          </w:p>
        </w:tc>
        <w:tc>
          <w:tcPr>
            <w:tcW w:w="1360" w:type="dxa"/>
            <w:vAlign w:val="center"/>
          </w:tcPr>
          <w:p w14:paraId="70A44BB1">
            <w:pPr>
              <w:jc w:val="center"/>
              <w:rPr>
                <w:rFonts w:ascii="宋体" w:hAnsi="宋体"/>
                <w:szCs w:val="21"/>
                <w:highlight w:val="none"/>
              </w:rPr>
            </w:pPr>
          </w:p>
        </w:tc>
        <w:tc>
          <w:tcPr>
            <w:tcW w:w="1587" w:type="dxa"/>
            <w:vAlign w:val="center"/>
          </w:tcPr>
          <w:p w14:paraId="32BE46A7">
            <w:pPr>
              <w:jc w:val="center"/>
              <w:rPr>
                <w:rFonts w:ascii="宋体" w:hAnsi="宋体"/>
                <w:szCs w:val="21"/>
                <w:highlight w:val="none"/>
              </w:rPr>
            </w:pPr>
          </w:p>
        </w:tc>
        <w:tc>
          <w:tcPr>
            <w:tcW w:w="1133" w:type="dxa"/>
            <w:vAlign w:val="center"/>
          </w:tcPr>
          <w:p w14:paraId="54F0EE0E">
            <w:pPr>
              <w:jc w:val="center"/>
              <w:rPr>
                <w:rFonts w:ascii="宋体" w:hAnsi="宋体"/>
                <w:szCs w:val="21"/>
                <w:highlight w:val="none"/>
              </w:rPr>
            </w:pPr>
          </w:p>
        </w:tc>
        <w:tc>
          <w:tcPr>
            <w:tcW w:w="1730" w:type="dxa"/>
            <w:vAlign w:val="center"/>
          </w:tcPr>
          <w:p w14:paraId="1CDB83EE">
            <w:pPr>
              <w:jc w:val="center"/>
              <w:rPr>
                <w:rFonts w:ascii="宋体" w:hAnsi="宋体"/>
                <w:szCs w:val="21"/>
                <w:highlight w:val="none"/>
              </w:rPr>
            </w:pPr>
          </w:p>
        </w:tc>
      </w:tr>
      <w:tr w14:paraId="3312A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32F0B41">
            <w:pPr>
              <w:jc w:val="center"/>
              <w:rPr>
                <w:rFonts w:ascii="宋体" w:hAnsi="宋体"/>
                <w:szCs w:val="21"/>
                <w:highlight w:val="none"/>
              </w:rPr>
            </w:pPr>
          </w:p>
        </w:tc>
        <w:tc>
          <w:tcPr>
            <w:tcW w:w="1620" w:type="dxa"/>
            <w:vAlign w:val="center"/>
          </w:tcPr>
          <w:p w14:paraId="03C793A5">
            <w:pPr>
              <w:jc w:val="center"/>
              <w:rPr>
                <w:rFonts w:ascii="宋体" w:hAnsi="宋体"/>
                <w:szCs w:val="21"/>
                <w:highlight w:val="none"/>
              </w:rPr>
            </w:pPr>
          </w:p>
        </w:tc>
        <w:tc>
          <w:tcPr>
            <w:tcW w:w="1360" w:type="dxa"/>
            <w:vAlign w:val="center"/>
          </w:tcPr>
          <w:p w14:paraId="2E7F8E21">
            <w:pPr>
              <w:jc w:val="center"/>
              <w:rPr>
                <w:rFonts w:ascii="宋体" w:hAnsi="宋体"/>
                <w:szCs w:val="21"/>
                <w:highlight w:val="none"/>
              </w:rPr>
            </w:pPr>
          </w:p>
        </w:tc>
        <w:tc>
          <w:tcPr>
            <w:tcW w:w="1587" w:type="dxa"/>
            <w:vAlign w:val="center"/>
          </w:tcPr>
          <w:p w14:paraId="7DB5DDB2">
            <w:pPr>
              <w:jc w:val="center"/>
              <w:rPr>
                <w:rFonts w:ascii="宋体" w:hAnsi="宋体"/>
                <w:szCs w:val="21"/>
                <w:highlight w:val="none"/>
              </w:rPr>
            </w:pPr>
          </w:p>
        </w:tc>
        <w:tc>
          <w:tcPr>
            <w:tcW w:w="1133" w:type="dxa"/>
            <w:vAlign w:val="center"/>
          </w:tcPr>
          <w:p w14:paraId="0532A1C8">
            <w:pPr>
              <w:jc w:val="center"/>
              <w:rPr>
                <w:rFonts w:ascii="宋体" w:hAnsi="宋体"/>
                <w:szCs w:val="21"/>
                <w:highlight w:val="none"/>
              </w:rPr>
            </w:pPr>
          </w:p>
        </w:tc>
        <w:tc>
          <w:tcPr>
            <w:tcW w:w="1730" w:type="dxa"/>
            <w:vAlign w:val="center"/>
          </w:tcPr>
          <w:p w14:paraId="00E64BB0">
            <w:pPr>
              <w:jc w:val="center"/>
              <w:rPr>
                <w:rFonts w:ascii="宋体" w:hAnsi="宋体"/>
                <w:szCs w:val="21"/>
                <w:highlight w:val="none"/>
              </w:rPr>
            </w:pPr>
          </w:p>
        </w:tc>
      </w:tr>
      <w:tr w14:paraId="27ED5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51F08B3">
            <w:pPr>
              <w:jc w:val="center"/>
              <w:rPr>
                <w:rFonts w:ascii="宋体" w:hAnsi="宋体"/>
                <w:szCs w:val="21"/>
                <w:highlight w:val="none"/>
              </w:rPr>
            </w:pPr>
          </w:p>
        </w:tc>
        <w:tc>
          <w:tcPr>
            <w:tcW w:w="1620" w:type="dxa"/>
            <w:vAlign w:val="center"/>
          </w:tcPr>
          <w:p w14:paraId="02492F6A">
            <w:pPr>
              <w:jc w:val="center"/>
              <w:rPr>
                <w:rFonts w:ascii="宋体" w:hAnsi="宋体"/>
                <w:szCs w:val="21"/>
                <w:highlight w:val="none"/>
              </w:rPr>
            </w:pPr>
          </w:p>
        </w:tc>
        <w:tc>
          <w:tcPr>
            <w:tcW w:w="1360" w:type="dxa"/>
            <w:vAlign w:val="center"/>
          </w:tcPr>
          <w:p w14:paraId="27AC5FBC">
            <w:pPr>
              <w:jc w:val="center"/>
              <w:rPr>
                <w:rFonts w:ascii="宋体" w:hAnsi="宋体"/>
                <w:szCs w:val="21"/>
                <w:highlight w:val="none"/>
              </w:rPr>
            </w:pPr>
          </w:p>
        </w:tc>
        <w:tc>
          <w:tcPr>
            <w:tcW w:w="1587" w:type="dxa"/>
            <w:vAlign w:val="center"/>
          </w:tcPr>
          <w:p w14:paraId="15686221">
            <w:pPr>
              <w:jc w:val="center"/>
              <w:rPr>
                <w:rFonts w:ascii="宋体" w:hAnsi="宋体"/>
                <w:szCs w:val="21"/>
                <w:highlight w:val="none"/>
              </w:rPr>
            </w:pPr>
          </w:p>
        </w:tc>
        <w:tc>
          <w:tcPr>
            <w:tcW w:w="1133" w:type="dxa"/>
            <w:vAlign w:val="center"/>
          </w:tcPr>
          <w:p w14:paraId="68DF4A89">
            <w:pPr>
              <w:jc w:val="center"/>
              <w:rPr>
                <w:rFonts w:ascii="宋体" w:hAnsi="宋体"/>
                <w:szCs w:val="21"/>
                <w:highlight w:val="none"/>
              </w:rPr>
            </w:pPr>
          </w:p>
        </w:tc>
        <w:tc>
          <w:tcPr>
            <w:tcW w:w="1730" w:type="dxa"/>
            <w:vAlign w:val="center"/>
          </w:tcPr>
          <w:p w14:paraId="08BED3E8">
            <w:pPr>
              <w:jc w:val="center"/>
              <w:rPr>
                <w:rFonts w:ascii="宋体" w:hAnsi="宋体"/>
                <w:szCs w:val="21"/>
                <w:highlight w:val="none"/>
              </w:rPr>
            </w:pPr>
          </w:p>
        </w:tc>
      </w:tr>
    </w:tbl>
    <w:p w14:paraId="7D8C3C1F">
      <w:pPr>
        <w:rPr>
          <w:rFonts w:ascii="宋体" w:hAnsi="宋体"/>
          <w:szCs w:val="21"/>
          <w:highlight w:val="none"/>
        </w:rPr>
      </w:pPr>
    </w:p>
    <w:p w14:paraId="0E2AE5FB">
      <w:pPr>
        <w:rPr>
          <w:rFonts w:ascii="宋体" w:hAnsi="宋体"/>
          <w:szCs w:val="21"/>
          <w:highlight w:val="none"/>
        </w:rPr>
      </w:pPr>
      <w:r>
        <w:rPr>
          <w:rFonts w:hint="eastAsia" w:ascii="宋体" w:hAnsi="宋体"/>
          <w:szCs w:val="21"/>
          <w:highlight w:val="none"/>
        </w:rPr>
        <w:t>投标人代表签字：</w:t>
      </w:r>
    </w:p>
    <w:p w14:paraId="08ED461E">
      <w:pPr>
        <w:rPr>
          <w:rFonts w:ascii="宋体" w:hAnsi="宋体"/>
          <w:szCs w:val="21"/>
          <w:highlight w:val="none"/>
        </w:rPr>
      </w:pPr>
      <w:r>
        <w:rPr>
          <w:rFonts w:hint="eastAsia" w:ascii="宋体" w:hAnsi="宋体"/>
          <w:szCs w:val="21"/>
          <w:highlight w:val="none"/>
        </w:rPr>
        <w:t>投标人盖章：</w:t>
      </w:r>
    </w:p>
    <w:p w14:paraId="2C1468E0">
      <w:pPr>
        <w:rPr>
          <w:rFonts w:ascii="宋体" w:hAnsi="宋体"/>
          <w:szCs w:val="21"/>
          <w:highlight w:val="none"/>
        </w:rPr>
      </w:pPr>
    </w:p>
    <w:p w14:paraId="4857C01F">
      <w:pPr>
        <w:ind w:left="718" w:hanging="718" w:hangingChars="342"/>
        <w:rPr>
          <w:rFonts w:ascii="宋体" w:hAnsi="宋体"/>
          <w:szCs w:val="21"/>
          <w:highlight w:val="none"/>
        </w:rPr>
      </w:pPr>
      <w:r>
        <w:rPr>
          <w:rFonts w:hint="eastAsia" w:ascii="宋体" w:hAnsi="宋体"/>
          <w:szCs w:val="21"/>
          <w:highlight w:val="none"/>
        </w:rPr>
        <w:t>注：</w:t>
      </w:r>
    </w:p>
    <w:p w14:paraId="65883504">
      <w:pPr>
        <w:rPr>
          <w:rFonts w:ascii="宋体" w:hAnsi="宋体"/>
          <w:szCs w:val="21"/>
          <w:highlight w:val="none"/>
        </w:rPr>
      </w:pPr>
      <w:r>
        <w:rPr>
          <w:rFonts w:hint="eastAsia" w:ascii="宋体" w:hAnsi="宋体"/>
          <w:szCs w:val="21"/>
          <w:highlight w:val="none"/>
        </w:rPr>
        <w:t>1、投标人应对照采购文件商务需求书中商务要求，说明已对采购文件的商务内容做出了实质性的响应。</w:t>
      </w:r>
    </w:p>
    <w:p w14:paraId="0159C069">
      <w:pPr>
        <w:rPr>
          <w:rFonts w:ascii="宋体" w:hAnsi="宋体"/>
          <w:szCs w:val="21"/>
          <w:highlight w:val="none"/>
        </w:rPr>
      </w:pPr>
      <w:r>
        <w:rPr>
          <w:rFonts w:hint="eastAsia" w:ascii="宋体" w:hAnsi="宋体"/>
          <w:szCs w:val="21"/>
          <w:highlight w:val="none"/>
        </w:rPr>
        <w:t>2、</w:t>
      </w:r>
      <w:r>
        <w:rPr>
          <w:rFonts w:hint="eastAsia" w:hAnsi="宋体" w:cs="宋体"/>
          <w:szCs w:val="21"/>
          <w:highlight w:val="none"/>
        </w:rPr>
        <w:t>不论出于何种原因此表未填写</w:t>
      </w:r>
      <w:r>
        <w:rPr>
          <w:rFonts w:hint="eastAsia" w:ascii="宋体" w:hAnsi="宋体"/>
          <w:szCs w:val="21"/>
          <w:highlight w:val="none"/>
        </w:rPr>
        <w:t>完整</w:t>
      </w:r>
      <w:r>
        <w:rPr>
          <w:rFonts w:hint="eastAsia" w:hAnsi="宋体" w:cs="宋体"/>
          <w:szCs w:val="21"/>
          <w:highlight w:val="none"/>
        </w:rPr>
        <w:t>，投标人都被认为已清楚了解采购文件“</w:t>
      </w:r>
      <w:r>
        <w:rPr>
          <w:rFonts w:hint="eastAsia" w:ascii="宋体" w:hAnsi="宋体"/>
          <w:szCs w:val="21"/>
          <w:highlight w:val="none"/>
        </w:rPr>
        <w:t>商务</w:t>
      </w:r>
      <w:r>
        <w:rPr>
          <w:rFonts w:hint="eastAsia" w:hAnsi="宋体" w:cs="宋体"/>
          <w:szCs w:val="21"/>
          <w:highlight w:val="none"/>
        </w:rPr>
        <w:t>需求书”的内容并对采购人所需的服务要求作全面响应，投标人必须承担完成“</w:t>
      </w:r>
      <w:r>
        <w:rPr>
          <w:rFonts w:hint="eastAsia" w:ascii="宋体" w:hAnsi="宋体"/>
          <w:szCs w:val="21"/>
          <w:highlight w:val="none"/>
        </w:rPr>
        <w:t>商务</w:t>
      </w:r>
      <w:r>
        <w:rPr>
          <w:rFonts w:hint="eastAsia" w:hAnsi="宋体" w:cs="宋体"/>
          <w:szCs w:val="21"/>
          <w:highlight w:val="none"/>
        </w:rPr>
        <w:t>需求书”所描述内容的义务</w:t>
      </w:r>
      <w:r>
        <w:rPr>
          <w:rFonts w:hint="eastAsia" w:ascii="宋体" w:hAnsi="宋体"/>
          <w:szCs w:val="21"/>
          <w:highlight w:val="none"/>
        </w:rPr>
        <w:t>，因此对投标人投标产生负面影响的，投标人自行承担后果。</w:t>
      </w:r>
    </w:p>
    <w:p w14:paraId="0EB50D41">
      <w:pPr>
        <w:rPr>
          <w:rFonts w:ascii="宋体" w:hAnsi="宋体"/>
          <w:szCs w:val="21"/>
          <w:highlight w:val="none"/>
        </w:rPr>
      </w:pPr>
      <w:r>
        <w:rPr>
          <w:rFonts w:hint="eastAsia" w:ascii="宋体" w:hAnsi="宋体"/>
          <w:szCs w:val="21"/>
          <w:highlight w:val="none"/>
        </w:rPr>
        <w:t>3、</w:t>
      </w:r>
      <w:r>
        <w:rPr>
          <w:rFonts w:hint="eastAsia" w:hAnsi="宋体" w:cs="宋体"/>
          <w:szCs w:val="21"/>
          <w:highlight w:val="none"/>
        </w:rPr>
        <w:t>如有偏离，应在“偏离情况”栏内注明“正”、“负”或“无”，并在“说明”栏内予以说明。</w:t>
      </w:r>
    </w:p>
    <w:p w14:paraId="0B6A1148">
      <w:pPr>
        <w:rPr>
          <w:rFonts w:ascii="宋体" w:hAnsi="宋体"/>
          <w:szCs w:val="21"/>
          <w:highlight w:val="none"/>
        </w:rPr>
      </w:pPr>
      <w:r>
        <w:rPr>
          <w:rFonts w:hint="eastAsia" w:ascii="宋体" w:hAnsi="宋体"/>
          <w:szCs w:val="21"/>
          <w:highlight w:val="none"/>
        </w:rPr>
        <w:t>4、</w:t>
      </w:r>
      <w:r>
        <w:rPr>
          <w:rFonts w:hint="eastAsia" w:hAnsi="宋体" w:cs="宋体"/>
          <w:szCs w:val="21"/>
          <w:highlight w:val="none"/>
        </w:rPr>
        <w:t>如投标人差异内容较多可另附页说明。</w:t>
      </w:r>
    </w:p>
    <w:p w14:paraId="4E749392">
      <w:pPr>
        <w:rPr>
          <w:rFonts w:ascii="宋体" w:hAnsi="宋体"/>
          <w:szCs w:val="21"/>
          <w:highlight w:val="none"/>
        </w:rPr>
      </w:pPr>
      <w:r>
        <w:rPr>
          <w:rFonts w:hint="eastAsia" w:ascii="宋体" w:hAnsi="宋体"/>
          <w:szCs w:val="21"/>
          <w:highlight w:val="none"/>
        </w:rPr>
        <w:t>5、</w:t>
      </w:r>
      <w:r>
        <w:rPr>
          <w:rFonts w:hint="eastAsia" w:hAnsi="宋体" w:cs="宋体"/>
          <w:szCs w:val="21"/>
          <w:highlight w:val="none"/>
        </w:rPr>
        <w:t>如投标人对用户需求书商务要求的条款全部响应的，也可以在表格下面用文字总括性的说明。</w:t>
      </w:r>
    </w:p>
    <w:p w14:paraId="221E6362">
      <w:pPr>
        <w:rPr>
          <w:rFonts w:ascii="宋体" w:hAnsi="宋体"/>
          <w:szCs w:val="21"/>
        </w:rPr>
      </w:pPr>
      <w:r>
        <w:rPr>
          <w:rFonts w:hint="eastAsia" w:ascii="宋体" w:hAnsi="宋体"/>
          <w:szCs w:val="21"/>
          <w:highlight w:val="none"/>
        </w:rPr>
        <w:br w:type="page"/>
      </w:r>
    </w:p>
    <w:p w14:paraId="0213EDF6">
      <w:pPr>
        <w:pStyle w:val="8"/>
        <w:widowControl w:val="0"/>
        <w:overflowPunct w:val="0"/>
        <w:spacing w:line="240" w:lineRule="auto"/>
        <w:rPr>
          <w:rFonts w:ascii="宋体" w:hAnsi="宋体"/>
          <w:sz w:val="30"/>
          <w:szCs w:val="30"/>
        </w:rPr>
      </w:pPr>
      <w:bookmarkStart w:id="270" w:name="_Toc11015"/>
      <w:r>
        <w:rPr>
          <w:rFonts w:hint="eastAsia" w:ascii="宋体" w:hAnsi="宋体"/>
          <w:sz w:val="21"/>
          <w:szCs w:val="21"/>
        </w:rPr>
        <w:t>附件</w:t>
      </w:r>
      <w:r>
        <w:rPr>
          <w:rFonts w:hint="eastAsia" w:ascii="宋体" w:hAnsi="宋体"/>
          <w:sz w:val="21"/>
          <w:szCs w:val="21"/>
          <w:lang w:val="en-US" w:eastAsia="zh-CN"/>
        </w:rPr>
        <w:t>13</w:t>
      </w:r>
      <w:r>
        <w:rPr>
          <w:rFonts w:hint="eastAsia" w:ascii="宋体" w:hAnsi="宋体"/>
          <w:sz w:val="21"/>
          <w:szCs w:val="21"/>
        </w:rPr>
        <w:t>.业绩表</w:t>
      </w:r>
      <w:bookmarkEnd w:id="270"/>
    </w:p>
    <w:p w14:paraId="0C486814">
      <w:pPr>
        <w:jc w:val="center"/>
        <w:rPr>
          <w:rFonts w:ascii="黑体" w:eastAsia="黑体"/>
          <w:sz w:val="28"/>
          <w:szCs w:val="28"/>
        </w:rPr>
      </w:pPr>
      <w:r>
        <w:rPr>
          <w:rFonts w:hint="eastAsia" w:ascii="黑体" w:eastAsia="黑体"/>
          <w:sz w:val="28"/>
          <w:szCs w:val="28"/>
        </w:rPr>
        <w:t>业绩表</w:t>
      </w:r>
    </w:p>
    <w:tbl>
      <w:tblPr>
        <w:tblStyle w:val="32"/>
        <w:tblW w:w="85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705"/>
        <w:gridCol w:w="1706"/>
        <w:gridCol w:w="1705"/>
        <w:gridCol w:w="1697"/>
      </w:tblGrid>
      <w:tr w14:paraId="4148F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vAlign w:val="center"/>
          </w:tcPr>
          <w:p w14:paraId="64566737">
            <w:pPr>
              <w:adjustRightInd/>
              <w:snapToGrid/>
              <w:jc w:val="center"/>
              <w:rPr>
                <w:rFonts w:ascii="宋体" w:hAnsi="宋体"/>
                <w:szCs w:val="21"/>
              </w:rPr>
            </w:pPr>
            <w:r>
              <w:rPr>
                <w:rFonts w:hint="eastAsia" w:ascii="宋体" w:hAnsi="宋体"/>
                <w:szCs w:val="21"/>
              </w:rPr>
              <w:t>序号</w:t>
            </w:r>
          </w:p>
        </w:tc>
        <w:tc>
          <w:tcPr>
            <w:tcW w:w="1705" w:type="dxa"/>
            <w:vAlign w:val="center"/>
          </w:tcPr>
          <w:p w14:paraId="30BE13B9">
            <w:pPr>
              <w:adjustRightInd/>
              <w:snapToGrid/>
              <w:jc w:val="center"/>
              <w:rPr>
                <w:rFonts w:ascii="宋体" w:hAnsi="宋体"/>
                <w:szCs w:val="21"/>
              </w:rPr>
            </w:pPr>
            <w:r>
              <w:rPr>
                <w:rFonts w:hint="eastAsia" w:ascii="宋体" w:hAnsi="宋体"/>
                <w:szCs w:val="21"/>
              </w:rPr>
              <w:t>项目名称</w:t>
            </w:r>
          </w:p>
        </w:tc>
        <w:tc>
          <w:tcPr>
            <w:tcW w:w="1706" w:type="dxa"/>
            <w:vAlign w:val="center"/>
          </w:tcPr>
          <w:p w14:paraId="382FBC13">
            <w:pPr>
              <w:adjustRightInd/>
              <w:snapToGrid/>
              <w:jc w:val="center"/>
              <w:rPr>
                <w:rFonts w:ascii="宋体" w:hAnsi="宋体"/>
                <w:szCs w:val="21"/>
              </w:rPr>
            </w:pPr>
            <w:r>
              <w:rPr>
                <w:rFonts w:hint="eastAsia" w:ascii="宋体" w:hAnsi="宋体"/>
                <w:szCs w:val="21"/>
              </w:rPr>
              <w:t>项目金额</w:t>
            </w:r>
          </w:p>
        </w:tc>
        <w:tc>
          <w:tcPr>
            <w:tcW w:w="1705" w:type="dxa"/>
            <w:vAlign w:val="center"/>
          </w:tcPr>
          <w:p w14:paraId="673E7C1E">
            <w:pPr>
              <w:adjustRightInd/>
              <w:snapToGrid/>
              <w:jc w:val="center"/>
              <w:rPr>
                <w:rFonts w:ascii="宋体" w:hAnsi="宋体"/>
                <w:szCs w:val="21"/>
              </w:rPr>
            </w:pPr>
            <w:r>
              <w:rPr>
                <w:rFonts w:hint="eastAsia" w:ascii="宋体" w:hAnsi="宋体"/>
                <w:szCs w:val="21"/>
              </w:rPr>
              <w:t>项目合同签订时间</w:t>
            </w:r>
          </w:p>
        </w:tc>
        <w:tc>
          <w:tcPr>
            <w:tcW w:w="1697" w:type="dxa"/>
            <w:vAlign w:val="center"/>
          </w:tcPr>
          <w:p w14:paraId="7CE14D40">
            <w:pPr>
              <w:adjustRightInd/>
              <w:snapToGrid/>
              <w:jc w:val="center"/>
              <w:rPr>
                <w:rFonts w:ascii="宋体" w:hAnsi="宋体"/>
                <w:szCs w:val="21"/>
              </w:rPr>
            </w:pPr>
            <w:r>
              <w:rPr>
                <w:rFonts w:hint="eastAsia" w:ascii="宋体" w:hAnsi="宋体"/>
                <w:szCs w:val="21"/>
              </w:rPr>
              <w:t>备注</w:t>
            </w:r>
          </w:p>
        </w:tc>
      </w:tr>
      <w:tr w14:paraId="24426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vAlign w:val="center"/>
          </w:tcPr>
          <w:p w14:paraId="309A4D8A">
            <w:pPr>
              <w:adjustRightInd/>
              <w:snapToGrid/>
              <w:jc w:val="center"/>
              <w:rPr>
                <w:rFonts w:ascii="宋体" w:hAnsi="宋体"/>
                <w:szCs w:val="21"/>
              </w:rPr>
            </w:pPr>
          </w:p>
        </w:tc>
        <w:tc>
          <w:tcPr>
            <w:tcW w:w="1705" w:type="dxa"/>
            <w:vAlign w:val="center"/>
          </w:tcPr>
          <w:p w14:paraId="1498790E">
            <w:pPr>
              <w:adjustRightInd/>
              <w:snapToGrid/>
              <w:jc w:val="center"/>
              <w:rPr>
                <w:rFonts w:ascii="宋体" w:hAnsi="宋体"/>
                <w:szCs w:val="21"/>
              </w:rPr>
            </w:pPr>
          </w:p>
        </w:tc>
        <w:tc>
          <w:tcPr>
            <w:tcW w:w="1706" w:type="dxa"/>
            <w:vAlign w:val="center"/>
          </w:tcPr>
          <w:p w14:paraId="61EDC28F">
            <w:pPr>
              <w:adjustRightInd/>
              <w:snapToGrid/>
              <w:jc w:val="center"/>
              <w:rPr>
                <w:rFonts w:ascii="宋体" w:hAnsi="宋体"/>
                <w:szCs w:val="21"/>
              </w:rPr>
            </w:pPr>
          </w:p>
        </w:tc>
        <w:tc>
          <w:tcPr>
            <w:tcW w:w="1705" w:type="dxa"/>
            <w:vAlign w:val="center"/>
          </w:tcPr>
          <w:p w14:paraId="292B25FE">
            <w:pPr>
              <w:adjustRightInd/>
              <w:snapToGrid/>
              <w:jc w:val="center"/>
              <w:rPr>
                <w:rFonts w:ascii="宋体" w:hAnsi="宋体"/>
                <w:szCs w:val="21"/>
              </w:rPr>
            </w:pPr>
          </w:p>
        </w:tc>
        <w:tc>
          <w:tcPr>
            <w:tcW w:w="1697" w:type="dxa"/>
            <w:vAlign w:val="center"/>
          </w:tcPr>
          <w:p w14:paraId="2D3D9775">
            <w:pPr>
              <w:adjustRightInd/>
              <w:snapToGrid/>
              <w:jc w:val="center"/>
              <w:rPr>
                <w:rFonts w:ascii="宋体" w:hAnsi="宋体"/>
                <w:szCs w:val="21"/>
              </w:rPr>
            </w:pPr>
          </w:p>
        </w:tc>
      </w:tr>
      <w:tr w14:paraId="319CF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tcPr>
          <w:p w14:paraId="057EB3EB">
            <w:pPr>
              <w:adjustRightInd/>
              <w:snapToGrid/>
              <w:rPr>
                <w:rFonts w:ascii="宋体" w:hAnsi="宋体"/>
                <w:szCs w:val="21"/>
              </w:rPr>
            </w:pPr>
          </w:p>
        </w:tc>
        <w:tc>
          <w:tcPr>
            <w:tcW w:w="1705" w:type="dxa"/>
          </w:tcPr>
          <w:p w14:paraId="21E97641">
            <w:pPr>
              <w:adjustRightInd/>
              <w:snapToGrid/>
              <w:rPr>
                <w:rFonts w:ascii="宋体" w:hAnsi="宋体"/>
                <w:szCs w:val="21"/>
              </w:rPr>
            </w:pPr>
          </w:p>
        </w:tc>
        <w:tc>
          <w:tcPr>
            <w:tcW w:w="1706" w:type="dxa"/>
          </w:tcPr>
          <w:p w14:paraId="08C567B0">
            <w:pPr>
              <w:adjustRightInd/>
              <w:snapToGrid/>
              <w:rPr>
                <w:rFonts w:ascii="宋体" w:hAnsi="宋体"/>
                <w:szCs w:val="21"/>
              </w:rPr>
            </w:pPr>
          </w:p>
        </w:tc>
        <w:tc>
          <w:tcPr>
            <w:tcW w:w="1705" w:type="dxa"/>
          </w:tcPr>
          <w:p w14:paraId="715B0A19">
            <w:pPr>
              <w:adjustRightInd/>
              <w:snapToGrid/>
              <w:rPr>
                <w:rFonts w:ascii="宋体" w:hAnsi="宋体"/>
                <w:szCs w:val="21"/>
              </w:rPr>
            </w:pPr>
          </w:p>
        </w:tc>
        <w:tc>
          <w:tcPr>
            <w:tcW w:w="1697" w:type="dxa"/>
          </w:tcPr>
          <w:p w14:paraId="0A60634F">
            <w:pPr>
              <w:adjustRightInd/>
              <w:snapToGrid/>
              <w:rPr>
                <w:rFonts w:ascii="宋体" w:hAnsi="宋体"/>
                <w:szCs w:val="21"/>
              </w:rPr>
            </w:pPr>
          </w:p>
        </w:tc>
      </w:tr>
      <w:tr w14:paraId="5134C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tcPr>
          <w:p w14:paraId="15643672">
            <w:pPr>
              <w:adjustRightInd/>
              <w:snapToGrid/>
              <w:rPr>
                <w:rFonts w:ascii="宋体" w:hAnsi="宋体"/>
                <w:szCs w:val="21"/>
              </w:rPr>
            </w:pPr>
          </w:p>
        </w:tc>
        <w:tc>
          <w:tcPr>
            <w:tcW w:w="1705" w:type="dxa"/>
          </w:tcPr>
          <w:p w14:paraId="118A1D8A">
            <w:pPr>
              <w:adjustRightInd/>
              <w:snapToGrid/>
              <w:rPr>
                <w:rFonts w:ascii="宋体" w:hAnsi="宋体"/>
                <w:szCs w:val="21"/>
              </w:rPr>
            </w:pPr>
          </w:p>
        </w:tc>
        <w:tc>
          <w:tcPr>
            <w:tcW w:w="1706" w:type="dxa"/>
          </w:tcPr>
          <w:p w14:paraId="1CF84061">
            <w:pPr>
              <w:adjustRightInd/>
              <w:snapToGrid/>
              <w:rPr>
                <w:rFonts w:ascii="宋体" w:hAnsi="宋体"/>
                <w:szCs w:val="21"/>
              </w:rPr>
            </w:pPr>
          </w:p>
        </w:tc>
        <w:tc>
          <w:tcPr>
            <w:tcW w:w="1705" w:type="dxa"/>
          </w:tcPr>
          <w:p w14:paraId="15FC34B8">
            <w:pPr>
              <w:adjustRightInd/>
              <w:snapToGrid/>
              <w:rPr>
                <w:rFonts w:ascii="宋体" w:hAnsi="宋体"/>
                <w:szCs w:val="21"/>
              </w:rPr>
            </w:pPr>
          </w:p>
        </w:tc>
        <w:tc>
          <w:tcPr>
            <w:tcW w:w="1697" w:type="dxa"/>
          </w:tcPr>
          <w:p w14:paraId="1A53B00C">
            <w:pPr>
              <w:adjustRightInd/>
              <w:snapToGrid/>
              <w:rPr>
                <w:rFonts w:ascii="宋体" w:hAnsi="宋体"/>
                <w:szCs w:val="21"/>
              </w:rPr>
            </w:pPr>
          </w:p>
        </w:tc>
      </w:tr>
      <w:tr w14:paraId="22D85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tcPr>
          <w:p w14:paraId="2DA85CDE">
            <w:pPr>
              <w:adjustRightInd/>
              <w:snapToGrid/>
              <w:rPr>
                <w:rFonts w:ascii="宋体" w:hAnsi="宋体"/>
                <w:szCs w:val="21"/>
              </w:rPr>
            </w:pPr>
          </w:p>
        </w:tc>
        <w:tc>
          <w:tcPr>
            <w:tcW w:w="1705" w:type="dxa"/>
          </w:tcPr>
          <w:p w14:paraId="710D1045">
            <w:pPr>
              <w:adjustRightInd/>
              <w:snapToGrid/>
              <w:rPr>
                <w:rFonts w:ascii="宋体" w:hAnsi="宋体"/>
                <w:szCs w:val="21"/>
              </w:rPr>
            </w:pPr>
          </w:p>
        </w:tc>
        <w:tc>
          <w:tcPr>
            <w:tcW w:w="1706" w:type="dxa"/>
          </w:tcPr>
          <w:p w14:paraId="7E5E230E">
            <w:pPr>
              <w:adjustRightInd/>
              <w:snapToGrid/>
              <w:rPr>
                <w:rFonts w:ascii="宋体" w:hAnsi="宋体"/>
                <w:szCs w:val="21"/>
              </w:rPr>
            </w:pPr>
          </w:p>
        </w:tc>
        <w:tc>
          <w:tcPr>
            <w:tcW w:w="1705" w:type="dxa"/>
          </w:tcPr>
          <w:p w14:paraId="5402F5D0">
            <w:pPr>
              <w:adjustRightInd/>
              <w:snapToGrid/>
              <w:rPr>
                <w:rFonts w:ascii="宋体" w:hAnsi="宋体"/>
                <w:szCs w:val="21"/>
              </w:rPr>
            </w:pPr>
          </w:p>
        </w:tc>
        <w:tc>
          <w:tcPr>
            <w:tcW w:w="1697" w:type="dxa"/>
          </w:tcPr>
          <w:p w14:paraId="594F8022">
            <w:pPr>
              <w:adjustRightInd/>
              <w:snapToGrid/>
              <w:rPr>
                <w:rFonts w:ascii="宋体" w:hAnsi="宋体"/>
                <w:szCs w:val="21"/>
              </w:rPr>
            </w:pPr>
          </w:p>
        </w:tc>
      </w:tr>
      <w:tr w14:paraId="30AC0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tcPr>
          <w:p w14:paraId="357EA8FE">
            <w:pPr>
              <w:adjustRightInd/>
              <w:snapToGrid/>
              <w:rPr>
                <w:rFonts w:ascii="宋体" w:hAnsi="宋体"/>
                <w:szCs w:val="21"/>
              </w:rPr>
            </w:pPr>
          </w:p>
        </w:tc>
        <w:tc>
          <w:tcPr>
            <w:tcW w:w="1705" w:type="dxa"/>
          </w:tcPr>
          <w:p w14:paraId="5FDF773E">
            <w:pPr>
              <w:adjustRightInd/>
              <w:snapToGrid/>
              <w:rPr>
                <w:rFonts w:ascii="宋体" w:hAnsi="宋体"/>
                <w:szCs w:val="21"/>
              </w:rPr>
            </w:pPr>
          </w:p>
        </w:tc>
        <w:tc>
          <w:tcPr>
            <w:tcW w:w="1706" w:type="dxa"/>
          </w:tcPr>
          <w:p w14:paraId="3F6DB416">
            <w:pPr>
              <w:adjustRightInd/>
              <w:snapToGrid/>
              <w:rPr>
                <w:rFonts w:ascii="宋体" w:hAnsi="宋体"/>
                <w:szCs w:val="21"/>
              </w:rPr>
            </w:pPr>
          </w:p>
        </w:tc>
        <w:tc>
          <w:tcPr>
            <w:tcW w:w="1705" w:type="dxa"/>
          </w:tcPr>
          <w:p w14:paraId="64FC49D7">
            <w:pPr>
              <w:adjustRightInd/>
              <w:snapToGrid/>
              <w:rPr>
                <w:rFonts w:ascii="宋体" w:hAnsi="宋体"/>
                <w:szCs w:val="21"/>
              </w:rPr>
            </w:pPr>
          </w:p>
        </w:tc>
        <w:tc>
          <w:tcPr>
            <w:tcW w:w="1697" w:type="dxa"/>
          </w:tcPr>
          <w:p w14:paraId="3A1DA09B">
            <w:pPr>
              <w:adjustRightInd/>
              <w:snapToGrid/>
              <w:rPr>
                <w:rFonts w:ascii="宋体" w:hAnsi="宋体"/>
                <w:szCs w:val="21"/>
              </w:rPr>
            </w:pPr>
          </w:p>
        </w:tc>
      </w:tr>
      <w:tr w14:paraId="56736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7" w:hRule="atLeast"/>
        </w:trPr>
        <w:tc>
          <w:tcPr>
            <w:tcW w:w="1705" w:type="dxa"/>
          </w:tcPr>
          <w:p w14:paraId="64602930">
            <w:pPr>
              <w:adjustRightInd/>
              <w:snapToGrid/>
              <w:rPr>
                <w:rFonts w:ascii="宋体" w:hAnsi="宋体"/>
                <w:szCs w:val="21"/>
              </w:rPr>
            </w:pPr>
          </w:p>
        </w:tc>
        <w:tc>
          <w:tcPr>
            <w:tcW w:w="1705" w:type="dxa"/>
          </w:tcPr>
          <w:p w14:paraId="3F5FE1DE">
            <w:pPr>
              <w:adjustRightInd/>
              <w:snapToGrid/>
              <w:rPr>
                <w:rFonts w:ascii="宋体" w:hAnsi="宋体"/>
                <w:szCs w:val="21"/>
              </w:rPr>
            </w:pPr>
          </w:p>
        </w:tc>
        <w:tc>
          <w:tcPr>
            <w:tcW w:w="1706" w:type="dxa"/>
          </w:tcPr>
          <w:p w14:paraId="2DB0AF2A">
            <w:pPr>
              <w:adjustRightInd/>
              <w:snapToGrid/>
              <w:rPr>
                <w:rFonts w:ascii="宋体" w:hAnsi="宋体"/>
                <w:szCs w:val="21"/>
              </w:rPr>
            </w:pPr>
          </w:p>
        </w:tc>
        <w:tc>
          <w:tcPr>
            <w:tcW w:w="1705" w:type="dxa"/>
          </w:tcPr>
          <w:p w14:paraId="7BEB7CE1">
            <w:pPr>
              <w:adjustRightInd/>
              <w:snapToGrid/>
              <w:rPr>
                <w:rFonts w:ascii="宋体" w:hAnsi="宋体"/>
                <w:szCs w:val="21"/>
              </w:rPr>
            </w:pPr>
          </w:p>
        </w:tc>
        <w:tc>
          <w:tcPr>
            <w:tcW w:w="1697" w:type="dxa"/>
          </w:tcPr>
          <w:p w14:paraId="40A9A88C">
            <w:pPr>
              <w:adjustRightInd/>
              <w:snapToGrid/>
              <w:rPr>
                <w:rFonts w:ascii="宋体" w:hAnsi="宋体"/>
                <w:szCs w:val="21"/>
              </w:rPr>
            </w:pPr>
          </w:p>
        </w:tc>
      </w:tr>
    </w:tbl>
    <w:p w14:paraId="759830DD">
      <w:pPr>
        <w:pStyle w:val="43"/>
        <w:rPr>
          <w:rFonts w:ascii="宋体" w:hAnsi="宋体"/>
          <w:szCs w:val="21"/>
        </w:rPr>
      </w:pPr>
    </w:p>
    <w:p w14:paraId="642BC403">
      <w:pPr>
        <w:pStyle w:val="43"/>
        <w:rPr>
          <w:rFonts w:ascii="宋体" w:hAnsi="宋体"/>
          <w:szCs w:val="21"/>
        </w:rPr>
      </w:pPr>
      <w:r>
        <w:rPr>
          <w:rFonts w:hint="eastAsia" w:ascii="宋体" w:hAnsi="宋体"/>
          <w:szCs w:val="21"/>
        </w:rPr>
        <w:t>注：</w:t>
      </w:r>
    </w:p>
    <w:p w14:paraId="75453BC3">
      <w:pPr>
        <w:pStyle w:val="43"/>
        <w:numPr>
          <w:ilvl w:val="0"/>
          <w:numId w:val="11"/>
        </w:numPr>
        <w:rPr>
          <w:rFonts w:ascii="宋体" w:hAnsi="宋体"/>
          <w:szCs w:val="21"/>
        </w:rPr>
      </w:pPr>
      <w:r>
        <w:rPr>
          <w:rFonts w:hint="eastAsia" w:ascii="宋体" w:hAnsi="宋体"/>
          <w:szCs w:val="21"/>
        </w:rPr>
        <w:t>该表格为参考格式，投标人可按实际情况自行制订。</w:t>
      </w:r>
    </w:p>
    <w:p w14:paraId="6673D7AD">
      <w:pPr>
        <w:pStyle w:val="43"/>
        <w:numPr>
          <w:ilvl w:val="0"/>
          <w:numId w:val="11"/>
        </w:numPr>
        <w:rPr>
          <w:rFonts w:ascii="宋体" w:hAnsi="宋体"/>
          <w:szCs w:val="21"/>
        </w:rPr>
      </w:pPr>
      <w:r>
        <w:rPr>
          <w:rFonts w:hint="eastAsia" w:ascii="宋体" w:hAnsi="宋体"/>
          <w:szCs w:val="21"/>
        </w:rPr>
        <w:t>业绩表所列出的材料应为真实准确的，并应提供相关证明材料复印件加盖公章。请勿提供虚假、过期材料，否则将依据相关规定严肃处理。</w:t>
      </w:r>
    </w:p>
    <w:p w14:paraId="4F6E6F3C">
      <w:pPr>
        <w:rPr>
          <w:rFonts w:ascii="宋体" w:hAnsi="宋体"/>
          <w:szCs w:val="21"/>
        </w:rPr>
      </w:pPr>
      <w:r>
        <w:rPr>
          <w:rFonts w:hint="eastAsia" w:ascii="宋体" w:hAnsi="宋体"/>
          <w:szCs w:val="21"/>
        </w:rPr>
        <w:br w:type="page"/>
      </w:r>
    </w:p>
    <w:p w14:paraId="3E9E740E">
      <w:pPr>
        <w:pStyle w:val="2"/>
        <w:rPr>
          <w:szCs w:val="21"/>
        </w:rPr>
        <w:sectPr>
          <w:footerReference r:id="rId14" w:type="first"/>
          <w:footerReference r:id="rId13" w:type="default"/>
          <w:pgSz w:w="11906" w:h="16838"/>
          <w:pgMar w:top="1440" w:right="1800" w:bottom="1440" w:left="1800" w:header="708" w:footer="708" w:gutter="0"/>
          <w:pgNumType w:fmt="decimal" w:start="1"/>
          <w:cols w:space="708" w:num="1"/>
          <w:titlePg/>
          <w:docGrid w:type="lines" w:linePitch="360" w:charSpace="0"/>
        </w:sectPr>
      </w:pPr>
    </w:p>
    <w:p w14:paraId="3ED59D07">
      <w:pPr>
        <w:pStyle w:val="8"/>
        <w:widowControl w:val="0"/>
        <w:overflowPunct w:val="0"/>
        <w:spacing w:line="240" w:lineRule="auto"/>
        <w:rPr>
          <w:highlight w:val="none"/>
        </w:rPr>
      </w:pPr>
      <w:bookmarkStart w:id="271" w:name="_Toc26235"/>
      <w:r>
        <w:rPr>
          <w:rFonts w:hint="eastAsia" w:ascii="宋体" w:hAnsi="宋体"/>
          <w:sz w:val="21"/>
          <w:szCs w:val="21"/>
          <w:highlight w:val="none"/>
        </w:rPr>
        <w:t>附件</w:t>
      </w:r>
      <w:r>
        <w:rPr>
          <w:rFonts w:hint="eastAsia" w:ascii="宋体" w:hAnsi="宋体"/>
          <w:sz w:val="21"/>
          <w:szCs w:val="21"/>
          <w:highlight w:val="none"/>
          <w:lang w:val="en-US" w:eastAsia="zh-CN"/>
        </w:rPr>
        <w:t>14</w:t>
      </w:r>
      <w:r>
        <w:rPr>
          <w:rFonts w:hint="eastAsia" w:ascii="宋体" w:hAnsi="宋体"/>
          <w:sz w:val="21"/>
          <w:szCs w:val="21"/>
          <w:highlight w:val="none"/>
        </w:rPr>
        <w:t>.联合体协议书</w:t>
      </w:r>
      <w:r>
        <w:rPr>
          <w:rFonts w:hint="eastAsia"/>
          <w:highlight w:val="none"/>
        </w:rPr>
        <w:t>（如有）</w:t>
      </w:r>
      <w:bookmarkEnd w:id="271"/>
    </w:p>
    <w:p w14:paraId="5B6D0D58">
      <w:pPr>
        <w:rPr>
          <w:highlight w:val="none"/>
        </w:rPr>
      </w:pPr>
    </w:p>
    <w:p w14:paraId="3CCC4C03">
      <w:pPr>
        <w:jc w:val="center"/>
        <w:rPr>
          <w:rFonts w:hAnsi="宋体" w:cs="宋体"/>
          <w:highlight w:val="none"/>
        </w:rPr>
      </w:pPr>
      <w:r>
        <w:rPr>
          <w:rFonts w:hint="eastAsia" w:hAnsi="宋体" w:cs="宋体"/>
          <w:b/>
          <w:bCs/>
          <w:highlight w:val="none"/>
        </w:rPr>
        <w:t>联合体共同投标协议书</w:t>
      </w:r>
    </w:p>
    <w:p w14:paraId="0D7044F1">
      <w:pPr>
        <w:jc w:val="center"/>
        <w:rPr>
          <w:rFonts w:hAnsi="宋体" w:cs="宋体"/>
          <w:highlight w:val="none"/>
        </w:rPr>
      </w:pPr>
    </w:p>
    <w:p w14:paraId="77F238FB">
      <w:pPr>
        <w:rPr>
          <w:rFonts w:hAnsi="宋体" w:cs="宋体"/>
          <w:szCs w:val="21"/>
          <w:highlight w:val="none"/>
        </w:rPr>
      </w:pPr>
      <w:r>
        <w:rPr>
          <w:rFonts w:hint="eastAsia" w:hAnsi="宋体" w:cs="宋体"/>
          <w:szCs w:val="21"/>
          <w:highlight w:val="none"/>
        </w:rPr>
        <w:t>立约方：（甲公司全称）</w:t>
      </w:r>
    </w:p>
    <w:p w14:paraId="19E91336">
      <w:pPr>
        <w:rPr>
          <w:rFonts w:hAnsi="宋体" w:cs="宋体"/>
          <w:szCs w:val="21"/>
          <w:highlight w:val="none"/>
        </w:rPr>
      </w:pPr>
      <w:r>
        <w:rPr>
          <w:rFonts w:hint="eastAsia" w:hAnsi="宋体" w:cs="宋体"/>
          <w:szCs w:val="21"/>
          <w:highlight w:val="none"/>
        </w:rPr>
        <w:t>（乙公司全称）</w:t>
      </w:r>
    </w:p>
    <w:p w14:paraId="5B7D7554">
      <w:pPr>
        <w:rPr>
          <w:rFonts w:hAnsi="宋体" w:cs="宋体"/>
          <w:szCs w:val="21"/>
          <w:highlight w:val="none"/>
        </w:rPr>
      </w:pPr>
      <w:r>
        <w:rPr>
          <w:rFonts w:hint="eastAsia" w:hAnsi="宋体" w:cs="宋体"/>
          <w:szCs w:val="21"/>
          <w:highlight w:val="none"/>
        </w:rPr>
        <w:t>（……公司全称）</w:t>
      </w:r>
    </w:p>
    <w:p w14:paraId="319F7ECA">
      <w:pPr>
        <w:rPr>
          <w:rFonts w:hAnsi="宋体" w:cs="宋体"/>
          <w:szCs w:val="21"/>
        </w:rPr>
      </w:pPr>
      <w:r>
        <w:rPr>
          <w:rFonts w:hint="eastAsia" w:hAnsi="宋体" w:cs="宋体"/>
          <w:szCs w:val="21"/>
          <w:highlight w:val="none"/>
          <w:u w:val="single"/>
        </w:rPr>
        <w:t>（甲公司全称）、（乙公司全称）、（……公司全称</w:t>
      </w:r>
      <w:r>
        <w:rPr>
          <w:rFonts w:hint="eastAsia" w:hAnsi="宋体" w:cs="宋体"/>
          <w:szCs w:val="21"/>
          <w:u w:val="single"/>
        </w:rPr>
        <w:t>）</w:t>
      </w:r>
      <w:r>
        <w:rPr>
          <w:rFonts w:hint="eastAsia" w:hAnsi="宋体" w:cs="宋体"/>
          <w:szCs w:val="21"/>
        </w:rPr>
        <w:t>自愿组成联合体，以一个投标人的身份共同参加</w:t>
      </w:r>
      <w:r>
        <w:rPr>
          <w:rFonts w:hint="eastAsia" w:hAnsi="宋体" w:cs="宋体"/>
          <w:szCs w:val="21"/>
          <w:u w:val="single"/>
        </w:rPr>
        <w:t>（xxxx项目） （项目编号：xxxx）</w:t>
      </w:r>
      <w:r>
        <w:rPr>
          <w:rFonts w:hint="eastAsia" w:hAnsi="宋体" w:cs="宋体"/>
          <w:szCs w:val="21"/>
        </w:rPr>
        <w:t>的招标活动。经各方充分协商一致，就项目的投标和合同实施阶段的有关事务协商一致订立协议如下：</w:t>
      </w:r>
    </w:p>
    <w:p w14:paraId="256C77A4">
      <w:pPr>
        <w:rPr>
          <w:rFonts w:hAnsi="宋体" w:cs="宋体"/>
          <w:szCs w:val="21"/>
        </w:rPr>
      </w:pPr>
      <w:r>
        <w:rPr>
          <w:rFonts w:hint="eastAsia" w:hAnsi="宋体" w:cs="宋体"/>
          <w:szCs w:val="21"/>
        </w:rPr>
        <w:t>一、联合体各方关系</w:t>
      </w:r>
    </w:p>
    <w:p w14:paraId="2B8D0A3B">
      <w:pPr>
        <w:rPr>
          <w:rFonts w:hAnsi="宋体" w:cs="宋体"/>
          <w:szCs w:val="21"/>
        </w:rPr>
      </w:pPr>
      <w:r>
        <w:rPr>
          <w:rFonts w:hint="eastAsia" w:hAnsi="宋体" w:cs="宋体"/>
          <w:szCs w:val="21"/>
          <w:u w:val="single"/>
        </w:rPr>
        <w:t>1.（甲公司全称）、（乙公司全称）、（……公司全称）</w:t>
      </w:r>
      <w:r>
        <w:rPr>
          <w:rFonts w:hint="eastAsia" w:hAnsi="宋体" w:cs="宋体"/>
          <w:szCs w:val="21"/>
        </w:rPr>
        <w:t>共同组成一个联合体，以一个投标人的身份共同参加本项目的投标。</w:t>
      </w:r>
      <w:r>
        <w:rPr>
          <w:rFonts w:hint="eastAsia" w:hAnsi="宋体" w:cs="宋体"/>
          <w:szCs w:val="21"/>
          <w:u w:val="single"/>
        </w:rPr>
        <w:t>（甲公司全称）、（乙公司全称）、（……公司全称）</w:t>
      </w:r>
      <w:r>
        <w:rPr>
          <w:rFonts w:hint="eastAsia" w:hAnsi="宋体" w:cs="宋体"/>
          <w:szCs w:val="21"/>
        </w:rPr>
        <w:t>作为联合体成员，若中标，联合体各方共同与</w:t>
      </w:r>
      <w:r>
        <w:rPr>
          <w:rFonts w:hint="eastAsia" w:hAnsi="宋体" w:cs="宋体"/>
          <w:szCs w:val="21"/>
          <w:u w:val="single"/>
        </w:rPr>
        <w:t>（采购人）</w:t>
      </w:r>
      <w:r>
        <w:rPr>
          <w:rFonts w:hint="eastAsia" w:hAnsi="宋体" w:cs="宋体"/>
          <w:szCs w:val="21"/>
        </w:rPr>
        <w:t>签订合同。</w:t>
      </w:r>
    </w:p>
    <w:p w14:paraId="6F9EBCEF">
      <w:pPr>
        <w:rPr>
          <w:rFonts w:hAnsi="宋体" w:cs="宋体"/>
          <w:szCs w:val="21"/>
        </w:rPr>
      </w:pPr>
      <w:r>
        <w:rPr>
          <w:rFonts w:hint="eastAsia" w:hAnsi="宋体" w:cs="宋体"/>
          <w:szCs w:val="21"/>
        </w:rPr>
        <w:t>2.本次投标中，以</w:t>
      </w:r>
      <w:r>
        <w:rPr>
          <w:rFonts w:hint="eastAsia" w:hAnsi="宋体" w:cs="宋体"/>
          <w:szCs w:val="21"/>
          <w:u w:val="single"/>
        </w:rPr>
        <w:t>（公司全称）</w:t>
      </w:r>
      <w:r>
        <w:rPr>
          <w:rFonts w:hint="eastAsia" w:hAnsi="宋体" w:cs="宋体"/>
          <w:szCs w:val="21"/>
        </w:rPr>
        <w:t>为联合体牵头人。</w:t>
      </w:r>
    </w:p>
    <w:p w14:paraId="64748436">
      <w:pPr>
        <w:rPr>
          <w:rFonts w:hAnsi="宋体" w:cs="宋体"/>
          <w:szCs w:val="21"/>
        </w:rPr>
      </w:pPr>
      <w:r>
        <w:rPr>
          <w:rFonts w:hint="eastAsia" w:hAnsi="宋体" w:cs="宋体"/>
          <w:szCs w:val="21"/>
        </w:rPr>
        <w:t>二、联合体内部有关事项约定如下：</w:t>
      </w:r>
    </w:p>
    <w:p w14:paraId="172B389F">
      <w:pPr>
        <w:rPr>
          <w:rFonts w:hAnsi="宋体" w:cs="宋体"/>
          <w:szCs w:val="21"/>
        </w:rPr>
      </w:pPr>
      <w:r>
        <w:rPr>
          <w:rFonts w:hint="eastAsia" w:hAnsi="宋体"/>
          <w:szCs w:val="21"/>
        </w:rPr>
        <w:t>1.联合体牵头人合法代表联合体各成员，负责本项目投标文件编制和投标工作，并代表联合体成员递交和接受相关的资料、信息及指示，并处理与之有关的一切事务，负责合同实施阶段的主办、组织和协调工作。</w:t>
      </w:r>
    </w:p>
    <w:p w14:paraId="262A257B">
      <w:pPr>
        <w:rPr>
          <w:rFonts w:hAnsi="宋体" w:cs="宋体"/>
          <w:szCs w:val="21"/>
        </w:rPr>
      </w:pPr>
      <w:r>
        <w:rPr>
          <w:rFonts w:hint="eastAsia" w:hAnsi="宋体" w:cs="宋体"/>
          <w:szCs w:val="21"/>
        </w:rPr>
        <w:t>2.联合体将严格按照文件的各项要求，递交投标文件，切实执行一切合同文件，共同承担合同规定的一切义务和责任，同时按照内部职责的划分，承担自身所负的责任和风险，在法律上承担连带责任。</w:t>
      </w:r>
    </w:p>
    <w:p w14:paraId="65C5F16C">
      <w:pPr>
        <w:rPr>
          <w:rFonts w:hAnsi="宋体" w:cs="宋体"/>
          <w:szCs w:val="21"/>
        </w:rPr>
      </w:pPr>
      <w:r>
        <w:rPr>
          <w:rFonts w:hint="eastAsia" w:hAnsi="宋体" w:cs="宋体"/>
          <w:szCs w:val="21"/>
        </w:rPr>
        <w:t>3.如中标，联合体各方共同与（采购人）签订合同书，并就中标项目向采购人负有连带的和各自的法律责任；</w:t>
      </w:r>
    </w:p>
    <w:p w14:paraId="5137CB30">
      <w:pPr>
        <w:rPr>
          <w:rFonts w:hAnsi="宋体" w:cs="宋体"/>
          <w:szCs w:val="21"/>
        </w:rPr>
      </w:pPr>
      <w:r>
        <w:rPr>
          <w:rFonts w:hint="eastAsia" w:hAnsi="宋体" w:cs="宋体"/>
          <w:szCs w:val="21"/>
        </w:rPr>
        <w:t>4.联合体各成员单位内部的职责分工如下：</w:t>
      </w:r>
    </w:p>
    <w:p w14:paraId="701C5374">
      <w:pPr>
        <w:rPr>
          <w:rFonts w:hAnsi="宋体" w:cs="宋体"/>
          <w:szCs w:val="21"/>
        </w:rPr>
      </w:pPr>
      <w:r>
        <w:rPr>
          <w:rFonts w:hint="eastAsia" w:hAnsi="宋体" w:cs="宋体"/>
          <w:szCs w:val="21"/>
        </w:rPr>
        <w:t>（1）</w:t>
      </w:r>
    </w:p>
    <w:p w14:paraId="792F81CB">
      <w:r>
        <w:rPr>
          <w:rFonts w:hint="eastAsia" w:hAnsi="宋体" w:cs="宋体"/>
          <w:szCs w:val="21"/>
        </w:rPr>
        <w:t>（2）</w:t>
      </w:r>
    </w:p>
    <w:p w14:paraId="5C36FF98">
      <w:pPr>
        <w:rPr>
          <w:rFonts w:hAnsi="宋体" w:cs="宋体"/>
          <w:szCs w:val="21"/>
        </w:rPr>
      </w:pPr>
      <w:r>
        <w:rPr>
          <w:rFonts w:hint="eastAsia" w:hAnsi="宋体" w:cs="宋体"/>
          <w:szCs w:val="21"/>
        </w:rPr>
        <w:t>三、联合体各方不得再以自己名义参与本项目投标，联合体各方不能作为其它联合体或单独投标单位的项目组成员参加本项目投标。因发生上述问题导致联合体成为无效投标，联合体的其他成员可追究其违约责任和经济损失。</w:t>
      </w:r>
    </w:p>
    <w:p w14:paraId="051E3BDF">
      <w:pPr>
        <w:rPr>
          <w:rFonts w:hAnsi="宋体" w:cs="宋体"/>
          <w:szCs w:val="21"/>
        </w:rPr>
      </w:pPr>
      <w:r>
        <w:rPr>
          <w:rFonts w:hint="eastAsia" w:hAnsi="宋体" w:cs="宋体"/>
          <w:szCs w:val="21"/>
        </w:rPr>
        <w:t>四、联合体如因违约过失责任而导致采购人经济损失或被索赔时，本联合体任何一方均同意无条件优先清偿采购人的一切债务和经济赔偿。</w:t>
      </w:r>
    </w:p>
    <w:p w14:paraId="3D95420D">
      <w:pPr>
        <w:rPr>
          <w:rFonts w:hAnsi="宋体" w:cs="宋体"/>
          <w:szCs w:val="21"/>
        </w:rPr>
      </w:pPr>
      <w:r>
        <w:rPr>
          <w:rFonts w:hint="eastAsia"/>
          <w:szCs w:val="21"/>
        </w:rPr>
        <w:t>五、联合体中标后，本联合体协议是合同的附件，对联合体各成员单位有合同约束力。</w:t>
      </w:r>
    </w:p>
    <w:p w14:paraId="61BCD883">
      <w:pPr>
        <w:rPr>
          <w:rFonts w:hAnsi="宋体" w:cs="宋体"/>
          <w:szCs w:val="21"/>
        </w:rPr>
      </w:pPr>
      <w:r>
        <w:rPr>
          <w:rFonts w:hint="eastAsia" w:hAnsi="宋体" w:cs="宋体"/>
          <w:szCs w:val="21"/>
        </w:rPr>
        <w:t>六、本协议在自签署之日起生效，投标有效期内有效，如获中标资格，本协议有效期延续至合同履行完毕之日。</w:t>
      </w:r>
    </w:p>
    <w:p w14:paraId="3E2BE07D">
      <w:pPr>
        <w:rPr>
          <w:rFonts w:hAnsi="宋体" w:cs="宋体"/>
          <w:szCs w:val="21"/>
        </w:rPr>
      </w:pPr>
      <w:r>
        <w:rPr>
          <w:rFonts w:hint="eastAsia" w:hAnsi="宋体" w:cs="宋体"/>
          <w:szCs w:val="21"/>
        </w:rPr>
        <w:t xml:space="preserve">七、本协议书一式____份，联合体成员和采购人各执一份。 </w:t>
      </w:r>
    </w:p>
    <w:p w14:paraId="026C4131">
      <w:pPr>
        <w:rPr>
          <w:rFonts w:hAnsi="宋体" w:cs="宋体"/>
          <w:szCs w:val="21"/>
        </w:rPr>
      </w:pPr>
    </w:p>
    <w:p w14:paraId="4AF321EF">
      <w:pPr>
        <w:pStyle w:val="2"/>
        <w:rPr>
          <w:sz w:val="21"/>
          <w:szCs w:val="21"/>
        </w:rPr>
      </w:pPr>
      <w:r>
        <w:rPr>
          <w:rFonts w:hint="eastAsia"/>
          <w:sz w:val="21"/>
          <w:szCs w:val="21"/>
        </w:rPr>
        <w:t>注：本协议书由委托人签字的，应附法定代表人签字的授权委托书。</w:t>
      </w:r>
    </w:p>
    <w:p w14:paraId="49F72D2F">
      <w:pPr>
        <w:pStyle w:val="2"/>
        <w:rPr>
          <w:sz w:val="21"/>
          <w:szCs w:val="21"/>
        </w:rPr>
      </w:pPr>
      <w:r>
        <w:rPr>
          <w:rFonts w:hint="eastAsia"/>
          <w:sz w:val="21"/>
          <w:szCs w:val="21"/>
        </w:rPr>
        <w:t>牵头人名称：_______________________（盖单位公章）</w:t>
      </w:r>
    </w:p>
    <w:p w14:paraId="2FBF9755">
      <w:pPr>
        <w:pStyle w:val="2"/>
        <w:rPr>
          <w:sz w:val="21"/>
          <w:szCs w:val="21"/>
        </w:rPr>
      </w:pPr>
      <w:r>
        <w:rPr>
          <w:rFonts w:hint="eastAsia"/>
          <w:sz w:val="21"/>
          <w:szCs w:val="21"/>
        </w:rPr>
        <w:t>法定代表人或其委托代理人：_____________（签字）</w:t>
      </w:r>
    </w:p>
    <w:p w14:paraId="411A0D4D">
      <w:pPr>
        <w:pStyle w:val="2"/>
        <w:rPr>
          <w:sz w:val="21"/>
          <w:szCs w:val="21"/>
        </w:rPr>
      </w:pPr>
    </w:p>
    <w:p w14:paraId="1ADF9E00">
      <w:pPr>
        <w:pStyle w:val="2"/>
        <w:rPr>
          <w:sz w:val="21"/>
          <w:szCs w:val="21"/>
        </w:rPr>
      </w:pPr>
      <w:r>
        <w:rPr>
          <w:rFonts w:hint="eastAsia"/>
          <w:sz w:val="21"/>
          <w:szCs w:val="21"/>
        </w:rPr>
        <w:t>成员一名称：_______________________（盖单位公章）</w:t>
      </w:r>
    </w:p>
    <w:p w14:paraId="317919D6">
      <w:pPr>
        <w:pStyle w:val="2"/>
        <w:rPr>
          <w:sz w:val="21"/>
          <w:szCs w:val="21"/>
        </w:rPr>
      </w:pPr>
      <w:r>
        <w:rPr>
          <w:rFonts w:hint="eastAsia"/>
          <w:sz w:val="21"/>
          <w:szCs w:val="21"/>
        </w:rPr>
        <w:t>法定代表人或其委托代理人：_____________（签字）</w:t>
      </w:r>
    </w:p>
    <w:p w14:paraId="4673EB39">
      <w:pPr>
        <w:pStyle w:val="2"/>
        <w:rPr>
          <w:sz w:val="21"/>
          <w:szCs w:val="21"/>
        </w:rPr>
      </w:pPr>
    </w:p>
    <w:p w14:paraId="7655ABB0">
      <w:pPr>
        <w:pStyle w:val="2"/>
        <w:rPr>
          <w:sz w:val="21"/>
          <w:szCs w:val="21"/>
        </w:rPr>
      </w:pPr>
      <w:r>
        <w:rPr>
          <w:rFonts w:hint="eastAsia"/>
          <w:sz w:val="21"/>
          <w:szCs w:val="21"/>
        </w:rPr>
        <w:t>成员二名称：_______________________（盖单位公章）</w:t>
      </w:r>
    </w:p>
    <w:p w14:paraId="13FCEDA0">
      <w:pPr>
        <w:pStyle w:val="2"/>
        <w:rPr>
          <w:sz w:val="21"/>
          <w:szCs w:val="21"/>
        </w:rPr>
      </w:pPr>
      <w:r>
        <w:rPr>
          <w:rFonts w:hint="eastAsia"/>
          <w:sz w:val="21"/>
          <w:szCs w:val="21"/>
        </w:rPr>
        <w:t>法定代表人或其委托代理人：_____________（签字）</w:t>
      </w:r>
    </w:p>
    <w:p w14:paraId="4A5C5DBE">
      <w:pPr>
        <w:pStyle w:val="2"/>
        <w:ind w:firstLine="210" w:firstLineChars="100"/>
        <w:jc w:val="both"/>
        <w:rPr>
          <w:sz w:val="21"/>
          <w:szCs w:val="21"/>
        </w:rPr>
      </w:pPr>
      <w:r>
        <w:rPr>
          <w:rFonts w:hint="eastAsia"/>
          <w:sz w:val="21"/>
          <w:szCs w:val="21"/>
        </w:rPr>
        <w:t>……</w:t>
      </w:r>
    </w:p>
    <w:p w14:paraId="146CE257">
      <w:pPr>
        <w:pStyle w:val="2"/>
        <w:rPr>
          <w:lang w:val="en-US"/>
        </w:rPr>
        <w:sectPr>
          <w:pgSz w:w="11906" w:h="16838"/>
          <w:pgMar w:top="1440" w:right="1800" w:bottom="1440" w:left="1800" w:header="708" w:footer="708" w:gutter="0"/>
          <w:pgNumType w:fmt="decimal"/>
          <w:cols w:space="708" w:num="1"/>
          <w:titlePg/>
          <w:docGrid w:type="lines" w:linePitch="360" w:charSpace="0"/>
        </w:sectPr>
      </w:pPr>
      <w:r>
        <w:rPr>
          <w:rFonts w:hint="eastAsia"/>
          <w:sz w:val="21"/>
          <w:szCs w:val="21"/>
        </w:rPr>
        <w:t xml:space="preserve">        年     月     日</w:t>
      </w:r>
    </w:p>
    <w:p w14:paraId="7CD7F4FA">
      <w:pPr>
        <w:pStyle w:val="2"/>
      </w:pPr>
    </w:p>
    <w:p w14:paraId="50F64589">
      <w:pPr>
        <w:pStyle w:val="6"/>
        <w:spacing w:before="0" w:after="0" w:line="360" w:lineRule="auto"/>
        <w:jc w:val="center"/>
        <w:rPr>
          <w:sz w:val="72"/>
          <w:szCs w:val="72"/>
        </w:rPr>
      </w:pPr>
      <w:bookmarkStart w:id="272" w:name="_Toc433"/>
      <w:bookmarkStart w:id="273" w:name="_Toc2045"/>
      <w:r>
        <w:rPr>
          <w:rFonts w:hint="eastAsia"/>
          <w:sz w:val="72"/>
          <w:szCs w:val="72"/>
        </w:rPr>
        <w:t>技术文件</w:t>
      </w:r>
      <w:bookmarkEnd w:id="272"/>
      <w:bookmarkEnd w:id="273"/>
    </w:p>
    <w:p w14:paraId="4587DF54">
      <w:pPr>
        <w:jc w:val="center"/>
        <w:rPr>
          <w:rFonts w:ascii="黑体" w:eastAsia="黑体"/>
          <w:sz w:val="72"/>
          <w:szCs w:val="72"/>
        </w:rPr>
      </w:pPr>
      <w:r>
        <w:rPr>
          <w:rFonts w:hint="eastAsia" w:ascii="黑体" w:eastAsia="黑体"/>
          <w:sz w:val="72"/>
          <w:szCs w:val="72"/>
        </w:rPr>
        <w:t>（单独装订成册）</w:t>
      </w:r>
    </w:p>
    <w:p w14:paraId="61804922"/>
    <w:p w14:paraId="322DB5EE">
      <w:pPr>
        <w:pStyle w:val="2"/>
      </w:pPr>
    </w:p>
    <w:p w14:paraId="762AC38E">
      <w:pPr>
        <w:pStyle w:val="29"/>
        <w:ind w:firstLine="240"/>
      </w:pPr>
    </w:p>
    <w:p w14:paraId="63A76B65">
      <w:pPr>
        <w:rPr>
          <w:rFonts w:ascii="宋体" w:hAnsi="宋体" w:cs="宋体"/>
          <w:b/>
          <w:bCs/>
          <w:spacing w:val="-6"/>
          <w:sz w:val="32"/>
          <w:szCs w:val="32"/>
        </w:rPr>
      </w:pPr>
      <w:r>
        <w:rPr>
          <w:rFonts w:hint="eastAsia" w:ascii="宋体" w:hAnsi="宋体" w:cs="宋体"/>
          <w:b/>
          <w:bCs/>
          <w:spacing w:val="53"/>
          <w:kern w:val="0"/>
          <w:sz w:val="32"/>
          <w:szCs w:val="32"/>
          <w:fitText w:val="1600" w:id="292250509"/>
        </w:rPr>
        <w:t>项目名</w:t>
      </w:r>
      <w:r>
        <w:rPr>
          <w:rFonts w:hint="eastAsia" w:ascii="宋体" w:hAnsi="宋体" w:cs="宋体"/>
          <w:b/>
          <w:bCs/>
          <w:spacing w:val="1"/>
          <w:kern w:val="0"/>
          <w:sz w:val="32"/>
          <w:szCs w:val="32"/>
          <w:fitText w:val="1600" w:id="292250509"/>
        </w:rPr>
        <w:t>称</w:t>
      </w:r>
      <w:r>
        <w:rPr>
          <w:rFonts w:hint="eastAsia" w:ascii="宋体" w:hAnsi="宋体" w:cs="宋体"/>
          <w:b/>
          <w:bCs/>
          <w:spacing w:val="-6"/>
          <w:sz w:val="32"/>
          <w:szCs w:val="32"/>
        </w:rPr>
        <w:t>：</w:t>
      </w:r>
    </w:p>
    <w:p w14:paraId="13B7FD95">
      <w:pPr>
        <w:rPr>
          <w:rFonts w:ascii="宋体" w:hAnsi="宋体" w:cs="宋体"/>
          <w:b/>
          <w:bCs/>
          <w:sz w:val="32"/>
          <w:szCs w:val="32"/>
        </w:rPr>
      </w:pPr>
      <w:r>
        <w:rPr>
          <w:rFonts w:hint="eastAsia" w:ascii="宋体" w:hAnsi="宋体" w:cs="宋体"/>
          <w:b/>
          <w:bCs/>
          <w:spacing w:val="53"/>
          <w:kern w:val="0"/>
          <w:sz w:val="32"/>
          <w:szCs w:val="32"/>
          <w:fitText w:val="1600" w:id="1231831253"/>
        </w:rPr>
        <w:t>项目编</w:t>
      </w:r>
      <w:r>
        <w:rPr>
          <w:rFonts w:hint="eastAsia" w:ascii="宋体" w:hAnsi="宋体" w:cs="宋体"/>
          <w:b/>
          <w:bCs/>
          <w:spacing w:val="1"/>
          <w:kern w:val="0"/>
          <w:sz w:val="32"/>
          <w:szCs w:val="32"/>
          <w:fitText w:val="1600" w:id="1231831253"/>
        </w:rPr>
        <w:t>号</w:t>
      </w:r>
      <w:r>
        <w:rPr>
          <w:rFonts w:hint="eastAsia" w:ascii="宋体" w:hAnsi="宋体" w:cs="宋体"/>
          <w:b/>
          <w:bCs/>
          <w:sz w:val="32"/>
          <w:szCs w:val="32"/>
        </w:rPr>
        <w:t>：</w:t>
      </w:r>
    </w:p>
    <w:p w14:paraId="201DCC97">
      <w:pPr>
        <w:pStyle w:val="2"/>
        <w:ind w:left="0"/>
        <w:rPr>
          <w:b/>
          <w:spacing w:val="1280"/>
          <w:sz w:val="32"/>
          <w:szCs w:val="32"/>
          <w:highlight w:val="none"/>
        </w:rPr>
      </w:pPr>
      <w:r>
        <w:rPr>
          <w:b/>
          <w:spacing w:val="106"/>
          <w:sz w:val="32"/>
          <w:szCs w:val="32"/>
          <w:highlight w:val="none"/>
          <w:lang w:val="en-US" w:bidi="ar-SA"/>
        </w:rPr>
        <w:t>包组号（如有）：</w:t>
      </w:r>
    </w:p>
    <w:p w14:paraId="3F1908D3">
      <w:pPr>
        <w:rPr>
          <w:rFonts w:ascii="宋体" w:hAnsi="宋体" w:cs="宋体"/>
          <w:b/>
          <w:sz w:val="32"/>
          <w:szCs w:val="32"/>
          <w:highlight w:val="none"/>
        </w:rPr>
      </w:pPr>
      <w:r>
        <w:rPr>
          <w:rFonts w:hint="eastAsia" w:ascii="宋体" w:hAnsi="宋体" w:cs="宋体"/>
          <w:b/>
          <w:spacing w:val="0"/>
          <w:kern w:val="0"/>
          <w:sz w:val="32"/>
          <w:szCs w:val="32"/>
          <w:highlight w:val="none"/>
          <w:fitText w:val="1600" w:id="1764384445"/>
        </w:rPr>
        <w:t>投标人名称</w:t>
      </w:r>
      <w:r>
        <w:rPr>
          <w:rFonts w:hint="eastAsia" w:ascii="宋体" w:hAnsi="宋体" w:cs="宋体"/>
          <w:b/>
          <w:sz w:val="32"/>
          <w:szCs w:val="32"/>
          <w:highlight w:val="none"/>
        </w:rPr>
        <w:t>：</w:t>
      </w:r>
    </w:p>
    <w:p w14:paraId="29F0229F">
      <w:pPr>
        <w:rPr>
          <w:rFonts w:ascii="宋体" w:hAnsi="宋体" w:cs="宋体"/>
          <w:b/>
          <w:sz w:val="32"/>
          <w:szCs w:val="32"/>
          <w:highlight w:val="none"/>
        </w:rPr>
      </w:pPr>
      <w:r>
        <w:rPr>
          <w:rFonts w:hint="eastAsia" w:ascii="宋体" w:hAnsi="宋体" w:cs="宋体"/>
          <w:b/>
          <w:spacing w:val="32"/>
          <w:kern w:val="0"/>
          <w:sz w:val="32"/>
          <w:szCs w:val="32"/>
          <w:highlight w:val="none"/>
          <w:fitText w:val="1600" w:id="2061173831"/>
        </w:rPr>
        <w:t xml:space="preserve">日    </w:t>
      </w:r>
      <w:r>
        <w:rPr>
          <w:rFonts w:hint="eastAsia" w:ascii="宋体" w:hAnsi="宋体" w:cs="宋体"/>
          <w:b/>
          <w:spacing w:val="0"/>
          <w:kern w:val="0"/>
          <w:sz w:val="32"/>
          <w:szCs w:val="32"/>
          <w:highlight w:val="none"/>
          <w:fitText w:val="1600" w:id="2061173831"/>
        </w:rPr>
        <w:t>期</w:t>
      </w:r>
      <w:r>
        <w:rPr>
          <w:rFonts w:hint="eastAsia" w:ascii="宋体" w:hAnsi="宋体" w:cs="宋体"/>
          <w:b/>
          <w:sz w:val="32"/>
          <w:szCs w:val="32"/>
          <w:highlight w:val="none"/>
        </w:rPr>
        <w:t>：</w:t>
      </w:r>
    </w:p>
    <w:p w14:paraId="4E6B0FBA">
      <w:pPr>
        <w:rPr>
          <w:rFonts w:ascii="宋体" w:hAnsi="宋体"/>
          <w:szCs w:val="21"/>
          <w:highlight w:val="none"/>
        </w:rPr>
      </w:pPr>
      <w:r>
        <w:rPr>
          <w:rFonts w:hint="eastAsia" w:ascii="宋体" w:hAnsi="宋体"/>
          <w:szCs w:val="21"/>
          <w:highlight w:val="none"/>
        </w:rPr>
        <w:br w:type="page"/>
      </w:r>
    </w:p>
    <w:p w14:paraId="70962AE9">
      <w:pPr>
        <w:pStyle w:val="8"/>
        <w:widowControl w:val="0"/>
        <w:overflowPunct w:val="0"/>
        <w:spacing w:line="240" w:lineRule="auto"/>
        <w:rPr>
          <w:rFonts w:ascii="宋体" w:hAnsi="宋体"/>
          <w:sz w:val="21"/>
          <w:szCs w:val="21"/>
        </w:rPr>
      </w:pPr>
      <w:bookmarkStart w:id="274" w:name="_Toc15949"/>
      <w:r>
        <w:rPr>
          <w:rFonts w:hint="eastAsia" w:ascii="宋体" w:hAnsi="宋体"/>
          <w:sz w:val="21"/>
          <w:szCs w:val="21"/>
        </w:rPr>
        <w:t>附件1</w:t>
      </w:r>
      <w:r>
        <w:rPr>
          <w:rFonts w:hint="eastAsia" w:ascii="宋体" w:hAnsi="宋体"/>
          <w:sz w:val="21"/>
          <w:szCs w:val="21"/>
          <w:lang w:val="en-US" w:eastAsia="zh-CN"/>
        </w:rPr>
        <w:t>5</w:t>
      </w:r>
      <w:r>
        <w:rPr>
          <w:rFonts w:hint="eastAsia" w:ascii="宋体" w:hAnsi="宋体"/>
          <w:sz w:val="21"/>
          <w:szCs w:val="21"/>
        </w:rPr>
        <w:t>. 技术规格偏离表格式</w:t>
      </w:r>
      <w:bookmarkEnd w:id="274"/>
    </w:p>
    <w:p w14:paraId="4A702A5F">
      <w:pPr>
        <w:jc w:val="center"/>
        <w:rPr>
          <w:rFonts w:ascii="黑体" w:eastAsia="黑体"/>
          <w:sz w:val="28"/>
          <w:szCs w:val="28"/>
        </w:rPr>
      </w:pPr>
    </w:p>
    <w:p w14:paraId="279B4BE7">
      <w:pPr>
        <w:jc w:val="center"/>
        <w:rPr>
          <w:rFonts w:ascii="黑体" w:eastAsia="黑体"/>
          <w:sz w:val="28"/>
          <w:szCs w:val="28"/>
        </w:rPr>
      </w:pPr>
      <w:r>
        <w:rPr>
          <w:rFonts w:hint="eastAsia" w:ascii="黑体" w:eastAsia="黑体"/>
          <w:sz w:val="28"/>
          <w:szCs w:val="28"/>
        </w:rPr>
        <w:t>技术规格偏离表</w:t>
      </w:r>
    </w:p>
    <w:tbl>
      <w:tblPr>
        <w:tblStyle w:val="3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1902"/>
        <w:gridCol w:w="1370"/>
        <w:gridCol w:w="1629"/>
        <w:gridCol w:w="1239"/>
        <w:gridCol w:w="1544"/>
      </w:tblGrid>
      <w:tr w14:paraId="61E20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838" w:type="dxa"/>
            <w:vAlign w:val="center"/>
          </w:tcPr>
          <w:p w14:paraId="22C11894">
            <w:pPr>
              <w:jc w:val="center"/>
              <w:rPr>
                <w:rFonts w:ascii="宋体" w:hAnsi="宋体"/>
                <w:szCs w:val="21"/>
              </w:rPr>
            </w:pPr>
            <w:r>
              <w:rPr>
                <w:rFonts w:hint="eastAsia" w:ascii="宋体" w:hAnsi="宋体"/>
                <w:szCs w:val="21"/>
              </w:rPr>
              <w:t>序号</w:t>
            </w:r>
          </w:p>
        </w:tc>
        <w:tc>
          <w:tcPr>
            <w:tcW w:w="1902" w:type="dxa"/>
            <w:vAlign w:val="center"/>
          </w:tcPr>
          <w:p w14:paraId="4B91A065">
            <w:pPr>
              <w:jc w:val="center"/>
              <w:rPr>
                <w:rFonts w:ascii="宋体" w:hAnsi="宋体"/>
                <w:szCs w:val="21"/>
              </w:rPr>
            </w:pPr>
            <w:r>
              <w:rPr>
                <w:rFonts w:hint="eastAsia" w:ascii="宋体" w:hAnsi="宋体"/>
                <w:szCs w:val="21"/>
              </w:rPr>
              <w:t>服务项目名称</w:t>
            </w:r>
          </w:p>
        </w:tc>
        <w:tc>
          <w:tcPr>
            <w:tcW w:w="1370" w:type="dxa"/>
            <w:vAlign w:val="center"/>
          </w:tcPr>
          <w:p w14:paraId="3CC21BFA">
            <w:pPr>
              <w:jc w:val="center"/>
              <w:rPr>
                <w:rFonts w:ascii="宋体" w:hAnsi="宋体"/>
                <w:szCs w:val="21"/>
              </w:rPr>
            </w:pPr>
            <w:r>
              <w:rPr>
                <w:rFonts w:hint="eastAsia" w:ascii="宋体" w:hAnsi="宋体"/>
                <w:szCs w:val="21"/>
              </w:rPr>
              <w:t>采购要求</w:t>
            </w:r>
          </w:p>
        </w:tc>
        <w:tc>
          <w:tcPr>
            <w:tcW w:w="1629" w:type="dxa"/>
            <w:vAlign w:val="center"/>
          </w:tcPr>
          <w:p w14:paraId="5D4836AD">
            <w:pPr>
              <w:jc w:val="center"/>
              <w:rPr>
                <w:rFonts w:ascii="宋体" w:hAnsi="宋体"/>
                <w:szCs w:val="21"/>
              </w:rPr>
            </w:pPr>
            <w:r>
              <w:rPr>
                <w:rFonts w:hint="eastAsia" w:ascii="宋体" w:hAnsi="宋体"/>
                <w:szCs w:val="21"/>
              </w:rPr>
              <w:t>投标实际响应</w:t>
            </w:r>
          </w:p>
        </w:tc>
        <w:tc>
          <w:tcPr>
            <w:tcW w:w="1239" w:type="dxa"/>
            <w:vAlign w:val="center"/>
          </w:tcPr>
          <w:p w14:paraId="6FE1C074">
            <w:pPr>
              <w:jc w:val="center"/>
              <w:rPr>
                <w:rFonts w:ascii="宋体" w:hAnsi="宋体"/>
                <w:szCs w:val="21"/>
              </w:rPr>
            </w:pPr>
            <w:r>
              <w:rPr>
                <w:rFonts w:hint="eastAsia" w:ascii="宋体" w:hAnsi="宋体"/>
                <w:szCs w:val="21"/>
              </w:rPr>
              <w:t>是否偏离</w:t>
            </w:r>
          </w:p>
        </w:tc>
        <w:tc>
          <w:tcPr>
            <w:tcW w:w="1544" w:type="dxa"/>
            <w:vAlign w:val="center"/>
          </w:tcPr>
          <w:p w14:paraId="5D0B8E3B">
            <w:pPr>
              <w:jc w:val="center"/>
              <w:rPr>
                <w:rFonts w:ascii="宋体" w:hAnsi="宋体"/>
                <w:szCs w:val="21"/>
              </w:rPr>
            </w:pPr>
            <w:r>
              <w:rPr>
                <w:rFonts w:hint="eastAsia" w:ascii="宋体" w:hAnsi="宋体"/>
                <w:szCs w:val="21"/>
              </w:rPr>
              <w:t>说明</w:t>
            </w:r>
          </w:p>
        </w:tc>
      </w:tr>
      <w:tr w14:paraId="5DB0E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14:paraId="3FA0B4EF">
            <w:pPr>
              <w:jc w:val="center"/>
              <w:rPr>
                <w:rFonts w:ascii="宋体" w:hAnsi="宋体"/>
                <w:szCs w:val="21"/>
              </w:rPr>
            </w:pPr>
          </w:p>
        </w:tc>
        <w:tc>
          <w:tcPr>
            <w:tcW w:w="1902" w:type="dxa"/>
            <w:vAlign w:val="center"/>
          </w:tcPr>
          <w:p w14:paraId="060DA32E">
            <w:pPr>
              <w:jc w:val="center"/>
              <w:rPr>
                <w:rFonts w:ascii="宋体" w:hAnsi="宋体"/>
                <w:szCs w:val="21"/>
              </w:rPr>
            </w:pPr>
          </w:p>
        </w:tc>
        <w:tc>
          <w:tcPr>
            <w:tcW w:w="1370" w:type="dxa"/>
            <w:vAlign w:val="center"/>
          </w:tcPr>
          <w:p w14:paraId="6ECAF096">
            <w:pPr>
              <w:jc w:val="center"/>
              <w:rPr>
                <w:rFonts w:ascii="宋体" w:hAnsi="宋体"/>
                <w:szCs w:val="21"/>
              </w:rPr>
            </w:pPr>
          </w:p>
        </w:tc>
        <w:tc>
          <w:tcPr>
            <w:tcW w:w="1629" w:type="dxa"/>
            <w:vAlign w:val="center"/>
          </w:tcPr>
          <w:p w14:paraId="258F2C8C">
            <w:pPr>
              <w:jc w:val="center"/>
              <w:rPr>
                <w:rFonts w:ascii="宋体" w:hAnsi="宋体"/>
                <w:szCs w:val="21"/>
              </w:rPr>
            </w:pPr>
          </w:p>
        </w:tc>
        <w:tc>
          <w:tcPr>
            <w:tcW w:w="1239" w:type="dxa"/>
            <w:vAlign w:val="center"/>
          </w:tcPr>
          <w:p w14:paraId="2EFE0BBD">
            <w:pPr>
              <w:jc w:val="center"/>
              <w:rPr>
                <w:rFonts w:ascii="宋体" w:hAnsi="宋体"/>
                <w:szCs w:val="21"/>
              </w:rPr>
            </w:pPr>
          </w:p>
        </w:tc>
        <w:tc>
          <w:tcPr>
            <w:tcW w:w="1544" w:type="dxa"/>
            <w:vAlign w:val="center"/>
          </w:tcPr>
          <w:p w14:paraId="0AF453DB">
            <w:pPr>
              <w:jc w:val="center"/>
              <w:rPr>
                <w:rFonts w:ascii="宋体" w:hAnsi="宋体"/>
                <w:szCs w:val="21"/>
              </w:rPr>
            </w:pPr>
          </w:p>
        </w:tc>
      </w:tr>
      <w:tr w14:paraId="769B0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14:paraId="487839E1">
            <w:pPr>
              <w:jc w:val="center"/>
              <w:rPr>
                <w:rFonts w:ascii="宋体" w:hAnsi="宋体"/>
                <w:szCs w:val="21"/>
              </w:rPr>
            </w:pPr>
          </w:p>
        </w:tc>
        <w:tc>
          <w:tcPr>
            <w:tcW w:w="1902" w:type="dxa"/>
            <w:vAlign w:val="center"/>
          </w:tcPr>
          <w:p w14:paraId="551E5FB4">
            <w:pPr>
              <w:jc w:val="center"/>
              <w:rPr>
                <w:rFonts w:ascii="宋体" w:hAnsi="宋体"/>
                <w:szCs w:val="21"/>
              </w:rPr>
            </w:pPr>
          </w:p>
        </w:tc>
        <w:tc>
          <w:tcPr>
            <w:tcW w:w="1370" w:type="dxa"/>
            <w:vAlign w:val="center"/>
          </w:tcPr>
          <w:p w14:paraId="5FF39122">
            <w:pPr>
              <w:jc w:val="center"/>
              <w:rPr>
                <w:rFonts w:ascii="宋体" w:hAnsi="宋体"/>
                <w:szCs w:val="21"/>
              </w:rPr>
            </w:pPr>
          </w:p>
        </w:tc>
        <w:tc>
          <w:tcPr>
            <w:tcW w:w="1629" w:type="dxa"/>
            <w:vAlign w:val="center"/>
          </w:tcPr>
          <w:p w14:paraId="1284EDC1">
            <w:pPr>
              <w:jc w:val="center"/>
              <w:rPr>
                <w:rFonts w:ascii="宋体" w:hAnsi="宋体"/>
                <w:szCs w:val="21"/>
              </w:rPr>
            </w:pPr>
          </w:p>
        </w:tc>
        <w:tc>
          <w:tcPr>
            <w:tcW w:w="1239" w:type="dxa"/>
            <w:vAlign w:val="center"/>
          </w:tcPr>
          <w:p w14:paraId="0215849E">
            <w:pPr>
              <w:jc w:val="center"/>
              <w:rPr>
                <w:rFonts w:ascii="宋体" w:hAnsi="宋体"/>
                <w:szCs w:val="21"/>
              </w:rPr>
            </w:pPr>
          </w:p>
        </w:tc>
        <w:tc>
          <w:tcPr>
            <w:tcW w:w="1544" w:type="dxa"/>
            <w:vAlign w:val="center"/>
          </w:tcPr>
          <w:p w14:paraId="1439CB55">
            <w:pPr>
              <w:jc w:val="center"/>
              <w:rPr>
                <w:rFonts w:ascii="宋体" w:hAnsi="宋体"/>
                <w:szCs w:val="21"/>
              </w:rPr>
            </w:pPr>
          </w:p>
        </w:tc>
      </w:tr>
      <w:tr w14:paraId="41714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14:paraId="5018764D">
            <w:pPr>
              <w:jc w:val="center"/>
              <w:rPr>
                <w:rFonts w:ascii="宋体" w:hAnsi="宋体"/>
                <w:szCs w:val="21"/>
              </w:rPr>
            </w:pPr>
          </w:p>
        </w:tc>
        <w:tc>
          <w:tcPr>
            <w:tcW w:w="1902" w:type="dxa"/>
            <w:vAlign w:val="center"/>
          </w:tcPr>
          <w:p w14:paraId="3BD9C51C">
            <w:pPr>
              <w:jc w:val="center"/>
              <w:rPr>
                <w:rFonts w:ascii="宋体" w:hAnsi="宋体"/>
                <w:szCs w:val="21"/>
              </w:rPr>
            </w:pPr>
          </w:p>
        </w:tc>
        <w:tc>
          <w:tcPr>
            <w:tcW w:w="1370" w:type="dxa"/>
            <w:vAlign w:val="center"/>
          </w:tcPr>
          <w:p w14:paraId="48DA4E23">
            <w:pPr>
              <w:jc w:val="center"/>
              <w:rPr>
                <w:rFonts w:ascii="宋体" w:hAnsi="宋体"/>
                <w:szCs w:val="21"/>
              </w:rPr>
            </w:pPr>
          </w:p>
        </w:tc>
        <w:tc>
          <w:tcPr>
            <w:tcW w:w="1629" w:type="dxa"/>
            <w:vAlign w:val="center"/>
          </w:tcPr>
          <w:p w14:paraId="16E3D5EC">
            <w:pPr>
              <w:jc w:val="center"/>
              <w:rPr>
                <w:rFonts w:ascii="宋体" w:hAnsi="宋体"/>
                <w:szCs w:val="21"/>
              </w:rPr>
            </w:pPr>
          </w:p>
        </w:tc>
        <w:tc>
          <w:tcPr>
            <w:tcW w:w="1239" w:type="dxa"/>
            <w:vAlign w:val="center"/>
          </w:tcPr>
          <w:p w14:paraId="3BB780CD">
            <w:pPr>
              <w:jc w:val="center"/>
              <w:rPr>
                <w:rFonts w:ascii="宋体" w:hAnsi="宋体"/>
                <w:szCs w:val="21"/>
              </w:rPr>
            </w:pPr>
          </w:p>
        </w:tc>
        <w:tc>
          <w:tcPr>
            <w:tcW w:w="1544" w:type="dxa"/>
            <w:vAlign w:val="center"/>
          </w:tcPr>
          <w:p w14:paraId="1E07D021">
            <w:pPr>
              <w:jc w:val="center"/>
              <w:rPr>
                <w:rFonts w:ascii="宋体" w:hAnsi="宋体"/>
                <w:szCs w:val="21"/>
              </w:rPr>
            </w:pPr>
          </w:p>
        </w:tc>
      </w:tr>
      <w:tr w14:paraId="24979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14:paraId="1135B4C7">
            <w:pPr>
              <w:jc w:val="center"/>
              <w:rPr>
                <w:rFonts w:ascii="宋体" w:hAnsi="宋体"/>
                <w:szCs w:val="21"/>
              </w:rPr>
            </w:pPr>
          </w:p>
        </w:tc>
        <w:tc>
          <w:tcPr>
            <w:tcW w:w="1902" w:type="dxa"/>
            <w:vAlign w:val="center"/>
          </w:tcPr>
          <w:p w14:paraId="4DCEB4B9">
            <w:pPr>
              <w:jc w:val="center"/>
              <w:rPr>
                <w:rFonts w:ascii="宋体" w:hAnsi="宋体"/>
                <w:szCs w:val="21"/>
              </w:rPr>
            </w:pPr>
          </w:p>
        </w:tc>
        <w:tc>
          <w:tcPr>
            <w:tcW w:w="1370" w:type="dxa"/>
            <w:vAlign w:val="center"/>
          </w:tcPr>
          <w:p w14:paraId="2A8C5CC2">
            <w:pPr>
              <w:jc w:val="center"/>
              <w:rPr>
                <w:rFonts w:ascii="宋体" w:hAnsi="宋体"/>
                <w:szCs w:val="21"/>
              </w:rPr>
            </w:pPr>
          </w:p>
        </w:tc>
        <w:tc>
          <w:tcPr>
            <w:tcW w:w="1629" w:type="dxa"/>
            <w:vAlign w:val="center"/>
          </w:tcPr>
          <w:p w14:paraId="4D178925">
            <w:pPr>
              <w:jc w:val="center"/>
              <w:rPr>
                <w:rFonts w:ascii="宋体" w:hAnsi="宋体"/>
                <w:szCs w:val="21"/>
              </w:rPr>
            </w:pPr>
          </w:p>
        </w:tc>
        <w:tc>
          <w:tcPr>
            <w:tcW w:w="1239" w:type="dxa"/>
            <w:vAlign w:val="center"/>
          </w:tcPr>
          <w:p w14:paraId="0F0E9EF0">
            <w:pPr>
              <w:jc w:val="center"/>
              <w:rPr>
                <w:rFonts w:ascii="宋体" w:hAnsi="宋体"/>
                <w:szCs w:val="21"/>
              </w:rPr>
            </w:pPr>
          </w:p>
        </w:tc>
        <w:tc>
          <w:tcPr>
            <w:tcW w:w="1544" w:type="dxa"/>
            <w:vAlign w:val="center"/>
          </w:tcPr>
          <w:p w14:paraId="3BC1F822">
            <w:pPr>
              <w:jc w:val="center"/>
              <w:rPr>
                <w:rFonts w:ascii="宋体" w:hAnsi="宋体"/>
                <w:szCs w:val="21"/>
              </w:rPr>
            </w:pPr>
          </w:p>
        </w:tc>
      </w:tr>
      <w:tr w14:paraId="31ED9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14:paraId="084C5CB9">
            <w:pPr>
              <w:jc w:val="center"/>
              <w:rPr>
                <w:rFonts w:ascii="宋体" w:hAnsi="宋体"/>
                <w:szCs w:val="21"/>
              </w:rPr>
            </w:pPr>
          </w:p>
        </w:tc>
        <w:tc>
          <w:tcPr>
            <w:tcW w:w="1902" w:type="dxa"/>
            <w:vAlign w:val="center"/>
          </w:tcPr>
          <w:p w14:paraId="263BCC04">
            <w:pPr>
              <w:jc w:val="center"/>
              <w:rPr>
                <w:rFonts w:ascii="宋体" w:hAnsi="宋体"/>
                <w:szCs w:val="21"/>
              </w:rPr>
            </w:pPr>
          </w:p>
        </w:tc>
        <w:tc>
          <w:tcPr>
            <w:tcW w:w="1370" w:type="dxa"/>
            <w:vAlign w:val="center"/>
          </w:tcPr>
          <w:p w14:paraId="573D374E">
            <w:pPr>
              <w:jc w:val="center"/>
              <w:rPr>
                <w:rFonts w:ascii="宋体" w:hAnsi="宋体"/>
                <w:szCs w:val="21"/>
              </w:rPr>
            </w:pPr>
          </w:p>
        </w:tc>
        <w:tc>
          <w:tcPr>
            <w:tcW w:w="1629" w:type="dxa"/>
            <w:vAlign w:val="center"/>
          </w:tcPr>
          <w:p w14:paraId="47D1BADC">
            <w:pPr>
              <w:jc w:val="center"/>
              <w:rPr>
                <w:rFonts w:ascii="宋体" w:hAnsi="宋体"/>
                <w:szCs w:val="21"/>
              </w:rPr>
            </w:pPr>
          </w:p>
        </w:tc>
        <w:tc>
          <w:tcPr>
            <w:tcW w:w="1239" w:type="dxa"/>
            <w:vAlign w:val="center"/>
          </w:tcPr>
          <w:p w14:paraId="485EFAB2">
            <w:pPr>
              <w:jc w:val="center"/>
              <w:rPr>
                <w:rFonts w:ascii="宋体" w:hAnsi="宋体"/>
                <w:szCs w:val="21"/>
              </w:rPr>
            </w:pPr>
          </w:p>
        </w:tc>
        <w:tc>
          <w:tcPr>
            <w:tcW w:w="1544" w:type="dxa"/>
            <w:vAlign w:val="center"/>
          </w:tcPr>
          <w:p w14:paraId="61EF052B">
            <w:pPr>
              <w:jc w:val="center"/>
              <w:rPr>
                <w:rFonts w:ascii="宋体" w:hAnsi="宋体"/>
                <w:szCs w:val="21"/>
              </w:rPr>
            </w:pPr>
          </w:p>
        </w:tc>
      </w:tr>
      <w:tr w14:paraId="360CF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14:paraId="796FAF5D">
            <w:pPr>
              <w:jc w:val="center"/>
              <w:rPr>
                <w:rFonts w:ascii="宋体" w:hAnsi="宋体"/>
                <w:szCs w:val="21"/>
              </w:rPr>
            </w:pPr>
          </w:p>
        </w:tc>
        <w:tc>
          <w:tcPr>
            <w:tcW w:w="1902" w:type="dxa"/>
            <w:vAlign w:val="center"/>
          </w:tcPr>
          <w:p w14:paraId="4CE9B9A3">
            <w:pPr>
              <w:jc w:val="center"/>
              <w:rPr>
                <w:rFonts w:ascii="宋体" w:hAnsi="宋体"/>
                <w:szCs w:val="21"/>
              </w:rPr>
            </w:pPr>
          </w:p>
        </w:tc>
        <w:tc>
          <w:tcPr>
            <w:tcW w:w="1370" w:type="dxa"/>
            <w:vAlign w:val="center"/>
          </w:tcPr>
          <w:p w14:paraId="3F905438">
            <w:pPr>
              <w:jc w:val="center"/>
              <w:rPr>
                <w:rFonts w:ascii="宋体" w:hAnsi="宋体"/>
                <w:szCs w:val="21"/>
              </w:rPr>
            </w:pPr>
          </w:p>
        </w:tc>
        <w:tc>
          <w:tcPr>
            <w:tcW w:w="1629" w:type="dxa"/>
            <w:vAlign w:val="center"/>
          </w:tcPr>
          <w:p w14:paraId="67D06D6B">
            <w:pPr>
              <w:jc w:val="center"/>
              <w:rPr>
                <w:rFonts w:ascii="宋体" w:hAnsi="宋体"/>
                <w:szCs w:val="21"/>
              </w:rPr>
            </w:pPr>
          </w:p>
        </w:tc>
        <w:tc>
          <w:tcPr>
            <w:tcW w:w="1239" w:type="dxa"/>
            <w:vAlign w:val="center"/>
          </w:tcPr>
          <w:p w14:paraId="42AC15C8">
            <w:pPr>
              <w:jc w:val="center"/>
              <w:rPr>
                <w:rFonts w:ascii="宋体" w:hAnsi="宋体"/>
                <w:szCs w:val="21"/>
              </w:rPr>
            </w:pPr>
          </w:p>
        </w:tc>
        <w:tc>
          <w:tcPr>
            <w:tcW w:w="1544" w:type="dxa"/>
            <w:vAlign w:val="center"/>
          </w:tcPr>
          <w:p w14:paraId="2C0EE472">
            <w:pPr>
              <w:jc w:val="center"/>
              <w:rPr>
                <w:rFonts w:ascii="宋体" w:hAnsi="宋体"/>
                <w:szCs w:val="21"/>
              </w:rPr>
            </w:pPr>
          </w:p>
        </w:tc>
      </w:tr>
      <w:tr w14:paraId="5CA3C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14:paraId="13A41CCB">
            <w:pPr>
              <w:jc w:val="center"/>
              <w:rPr>
                <w:rFonts w:ascii="宋体" w:hAnsi="宋体"/>
                <w:szCs w:val="21"/>
              </w:rPr>
            </w:pPr>
          </w:p>
        </w:tc>
        <w:tc>
          <w:tcPr>
            <w:tcW w:w="1902" w:type="dxa"/>
            <w:vAlign w:val="center"/>
          </w:tcPr>
          <w:p w14:paraId="4C6D405B">
            <w:pPr>
              <w:jc w:val="center"/>
              <w:rPr>
                <w:rFonts w:ascii="宋体" w:hAnsi="宋体"/>
                <w:szCs w:val="21"/>
              </w:rPr>
            </w:pPr>
          </w:p>
        </w:tc>
        <w:tc>
          <w:tcPr>
            <w:tcW w:w="1370" w:type="dxa"/>
            <w:vAlign w:val="center"/>
          </w:tcPr>
          <w:p w14:paraId="045EE7F4">
            <w:pPr>
              <w:jc w:val="center"/>
              <w:rPr>
                <w:rFonts w:ascii="宋体" w:hAnsi="宋体"/>
                <w:szCs w:val="21"/>
              </w:rPr>
            </w:pPr>
          </w:p>
        </w:tc>
        <w:tc>
          <w:tcPr>
            <w:tcW w:w="1629" w:type="dxa"/>
            <w:vAlign w:val="center"/>
          </w:tcPr>
          <w:p w14:paraId="1D309B38">
            <w:pPr>
              <w:jc w:val="center"/>
              <w:rPr>
                <w:rFonts w:ascii="宋体" w:hAnsi="宋体"/>
                <w:szCs w:val="21"/>
              </w:rPr>
            </w:pPr>
          </w:p>
        </w:tc>
        <w:tc>
          <w:tcPr>
            <w:tcW w:w="1239" w:type="dxa"/>
            <w:vAlign w:val="center"/>
          </w:tcPr>
          <w:p w14:paraId="12DF2B52">
            <w:pPr>
              <w:jc w:val="center"/>
              <w:rPr>
                <w:rFonts w:ascii="宋体" w:hAnsi="宋体"/>
                <w:szCs w:val="21"/>
              </w:rPr>
            </w:pPr>
          </w:p>
        </w:tc>
        <w:tc>
          <w:tcPr>
            <w:tcW w:w="1544" w:type="dxa"/>
            <w:vAlign w:val="center"/>
          </w:tcPr>
          <w:p w14:paraId="12C23865">
            <w:pPr>
              <w:jc w:val="center"/>
              <w:rPr>
                <w:rFonts w:ascii="宋体" w:hAnsi="宋体"/>
                <w:szCs w:val="21"/>
              </w:rPr>
            </w:pPr>
          </w:p>
        </w:tc>
      </w:tr>
      <w:tr w14:paraId="211D8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14:paraId="65EB806D">
            <w:pPr>
              <w:jc w:val="center"/>
              <w:rPr>
                <w:rFonts w:ascii="宋体" w:hAnsi="宋体"/>
                <w:szCs w:val="21"/>
              </w:rPr>
            </w:pPr>
          </w:p>
        </w:tc>
        <w:tc>
          <w:tcPr>
            <w:tcW w:w="1902" w:type="dxa"/>
            <w:vAlign w:val="center"/>
          </w:tcPr>
          <w:p w14:paraId="04089052">
            <w:pPr>
              <w:jc w:val="center"/>
              <w:rPr>
                <w:rFonts w:ascii="宋体" w:hAnsi="宋体"/>
                <w:szCs w:val="21"/>
              </w:rPr>
            </w:pPr>
          </w:p>
        </w:tc>
        <w:tc>
          <w:tcPr>
            <w:tcW w:w="1370" w:type="dxa"/>
            <w:vAlign w:val="center"/>
          </w:tcPr>
          <w:p w14:paraId="5B20C70C">
            <w:pPr>
              <w:jc w:val="center"/>
              <w:rPr>
                <w:rFonts w:ascii="宋体" w:hAnsi="宋体"/>
                <w:szCs w:val="21"/>
              </w:rPr>
            </w:pPr>
          </w:p>
        </w:tc>
        <w:tc>
          <w:tcPr>
            <w:tcW w:w="1629" w:type="dxa"/>
            <w:vAlign w:val="center"/>
          </w:tcPr>
          <w:p w14:paraId="6CBCDBF0">
            <w:pPr>
              <w:jc w:val="center"/>
              <w:rPr>
                <w:rFonts w:ascii="宋体" w:hAnsi="宋体"/>
                <w:szCs w:val="21"/>
              </w:rPr>
            </w:pPr>
          </w:p>
        </w:tc>
        <w:tc>
          <w:tcPr>
            <w:tcW w:w="1239" w:type="dxa"/>
            <w:vAlign w:val="center"/>
          </w:tcPr>
          <w:p w14:paraId="47AE7F51">
            <w:pPr>
              <w:jc w:val="center"/>
              <w:rPr>
                <w:rFonts w:ascii="宋体" w:hAnsi="宋体"/>
                <w:szCs w:val="21"/>
              </w:rPr>
            </w:pPr>
          </w:p>
        </w:tc>
        <w:tc>
          <w:tcPr>
            <w:tcW w:w="1544" w:type="dxa"/>
            <w:vAlign w:val="center"/>
          </w:tcPr>
          <w:p w14:paraId="286E6631">
            <w:pPr>
              <w:jc w:val="center"/>
              <w:rPr>
                <w:rFonts w:ascii="宋体" w:hAnsi="宋体"/>
                <w:szCs w:val="21"/>
              </w:rPr>
            </w:pPr>
          </w:p>
        </w:tc>
      </w:tr>
      <w:tr w14:paraId="6567E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14:paraId="2980915C">
            <w:pPr>
              <w:jc w:val="center"/>
              <w:rPr>
                <w:rFonts w:ascii="宋体" w:hAnsi="宋体"/>
                <w:szCs w:val="21"/>
              </w:rPr>
            </w:pPr>
          </w:p>
        </w:tc>
        <w:tc>
          <w:tcPr>
            <w:tcW w:w="1902" w:type="dxa"/>
            <w:vAlign w:val="center"/>
          </w:tcPr>
          <w:p w14:paraId="58D7810F">
            <w:pPr>
              <w:jc w:val="center"/>
              <w:rPr>
                <w:rFonts w:ascii="宋体" w:hAnsi="宋体"/>
                <w:szCs w:val="21"/>
              </w:rPr>
            </w:pPr>
          </w:p>
        </w:tc>
        <w:tc>
          <w:tcPr>
            <w:tcW w:w="1370" w:type="dxa"/>
            <w:vAlign w:val="center"/>
          </w:tcPr>
          <w:p w14:paraId="018AFF19">
            <w:pPr>
              <w:jc w:val="center"/>
              <w:rPr>
                <w:rFonts w:ascii="宋体" w:hAnsi="宋体"/>
                <w:szCs w:val="21"/>
              </w:rPr>
            </w:pPr>
          </w:p>
        </w:tc>
        <w:tc>
          <w:tcPr>
            <w:tcW w:w="1629" w:type="dxa"/>
            <w:vAlign w:val="center"/>
          </w:tcPr>
          <w:p w14:paraId="7F0D907B">
            <w:pPr>
              <w:jc w:val="center"/>
              <w:rPr>
                <w:rFonts w:ascii="宋体" w:hAnsi="宋体"/>
                <w:szCs w:val="21"/>
              </w:rPr>
            </w:pPr>
          </w:p>
        </w:tc>
        <w:tc>
          <w:tcPr>
            <w:tcW w:w="1239" w:type="dxa"/>
            <w:vAlign w:val="center"/>
          </w:tcPr>
          <w:p w14:paraId="61EE7745">
            <w:pPr>
              <w:jc w:val="center"/>
              <w:rPr>
                <w:rFonts w:ascii="宋体" w:hAnsi="宋体"/>
                <w:szCs w:val="21"/>
              </w:rPr>
            </w:pPr>
          </w:p>
        </w:tc>
        <w:tc>
          <w:tcPr>
            <w:tcW w:w="1544" w:type="dxa"/>
            <w:vAlign w:val="center"/>
          </w:tcPr>
          <w:p w14:paraId="6B2E7048">
            <w:pPr>
              <w:jc w:val="center"/>
              <w:rPr>
                <w:rFonts w:ascii="宋体" w:hAnsi="宋体"/>
                <w:szCs w:val="21"/>
              </w:rPr>
            </w:pPr>
          </w:p>
        </w:tc>
      </w:tr>
      <w:tr w14:paraId="2C80C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14:paraId="01B2E551">
            <w:pPr>
              <w:jc w:val="center"/>
              <w:rPr>
                <w:rFonts w:ascii="宋体" w:hAnsi="宋体"/>
                <w:szCs w:val="21"/>
              </w:rPr>
            </w:pPr>
          </w:p>
        </w:tc>
        <w:tc>
          <w:tcPr>
            <w:tcW w:w="1902" w:type="dxa"/>
            <w:vAlign w:val="center"/>
          </w:tcPr>
          <w:p w14:paraId="421BC0C2">
            <w:pPr>
              <w:jc w:val="center"/>
              <w:rPr>
                <w:rFonts w:ascii="宋体" w:hAnsi="宋体"/>
                <w:szCs w:val="21"/>
              </w:rPr>
            </w:pPr>
          </w:p>
        </w:tc>
        <w:tc>
          <w:tcPr>
            <w:tcW w:w="1370" w:type="dxa"/>
            <w:vAlign w:val="center"/>
          </w:tcPr>
          <w:p w14:paraId="07542CC2">
            <w:pPr>
              <w:jc w:val="center"/>
              <w:rPr>
                <w:rFonts w:ascii="宋体" w:hAnsi="宋体"/>
                <w:szCs w:val="21"/>
              </w:rPr>
            </w:pPr>
          </w:p>
        </w:tc>
        <w:tc>
          <w:tcPr>
            <w:tcW w:w="1629" w:type="dxa"/>
            <w:vAlign w:val="center"/>
          </w:tcPr>
          <w:p w14:paraId="26281357">
            <w:pPr>
              <w:jc w:val="center"/>
              <w:rPr>
                <w:rFonts w:ascii="宋体" w:hAnsi="宋体"/>
                <w:szCs w:val="21"/>
              </w:rPr>
            </w:pPr>
          </w:p>
        </w:tc>
        <w:tc>
          <w:tcPr>
            <w:tcW w:w="1239" w:type="dxa"/>
            <w:vAlign w:val="center"/>
          </w:tcPr>
          <w:p w14:paraId="2874FA87">
            <w:pPr>
              <w:jc w:val="center"/>
              <w:rPr>
                <w:rFonts w:ascii="宋体" w:hAnsi="宋体"/>
                <w:szCs w:val="21"/>
              </w:rPr>
            </w:pPr>
          </w:p>
        </w:tc>
        <w:tc>
          <w:tcPr>
            <w:tcW w:w="1544" w:type="dxa"/>
            <w:vAlign w:val="center"/>
          </w:tcPr>
          <w:p w14:paraId="1F59CA6C">
            <w:pPr>
              <w:jc w:val="center"/>
              <w:rPr>
                <w:rFonts w:ascii="宋体" w:hAnsi="宋体"/>
                <w:szCs w:val="21"/>
              </w:rPr>
            </w:pPr>
          </w:p>
        </w:tc>
      </w:tr>
    </w:tbl>
    <w:p w14:paraId="3867DFE5">
      <w:pPr>
        <w:rPr>
          <w:rFonts w:ascii="宋体" w:hAnsi="宋体"/>
          <w:szCs w:val="21"/>
        </w:rPr>
      </w:pPr>
    </w:p>
    <w:p w14:paraId="7AE86928">
      <w:pPr>
        <w:rPr>
          <w:rFonts w:ascii="宋体" w:hAnsi="宋体"/>
          <w:szCs w:val="21"/>
        </w:rPr>
      </w:pPr>
      <w:r>
        <w:rPr>
          <w:rFonts w:hint="eastAsia" w:ascii="宋体" w:hAnsi="宋体"/>
          <w:szCs w:val="21"/>
        </w:rPr>
        <w:t>投标人代表签字：</w:t>
      </w:r>
    </w:p>
    <w:p w14:paraId="2090F120">
      <w:pPr>
        <w:rPr>
          <w:rFonts w:ascii="宋体" w:hAnsi="宋体"/>
          <w:szCs w:val="21"/>
        </w:rPr>
      </w:pPr>
      <w:r>
        <w:rPr>
          <w:rFonts w:hint="eastAsia" w:ascii="宋体" w:hAnsi="宋体"/>
          <w:szCs w:val="21"/>
        </w:rPr>
        <w:t>投标人盖章：</w:t>
      </w:r>
    </w:p>
    <w:p w14:paraId="1FA7861F">
      <w:pPr>
        <w:ind w:firstLine="178" w:firstLineChars="85"/>
        <w:rPr>
          <w:rFonts w:ascii="宋体" w:hAnsi="宋体"/>
          <w:szCs w:val="21"/>
        </w:rPr>
      </w:pPr>
    </w:p>
    <w:p w14:paraId="24557DA0">
      <w:pPr>
        <w:rPr>
          <w:rFonts w:ascii="宋体" w:hAnsi="宋体"/>
          <w:szCs w:val="21"/>
        </w:rPr>
      </w:pPr>
      <w:r>
        <w:rPr>
          <w:rFonts w:hint="eastAsia" w:ascii="宋体" w:hAnsi="宋体"/>
          <w:szCs w:val="21"/>
        </w:rPr>
        <w:t>注：</w:t>
      </w:r>
    </w:p>
    <w:p w14:paraId="249E3371">
      <w:pPr>
        <w:rPr>
          <w:rFonts w:ascii="宋体" w:hAnsi="宋体"/>
          <w:szCs w:val="21"/>
          <w:highlight w:val="none"/>
        </w:rPr>
      </w:pPr>
      <w:r>
        <w:rPr>
          <w:rFonts w:hint="eastAsia" w:ascii="宋体" w:hAnsi="宋体"/>
          <w:szCs w:val="21"/>
        </w:rPr>
        <w:t>1、投标人</w:t>
      </w:r>
      <w:r>
        <w:rPr>
          <w:rFonts w:hint="eastAsia" w:ascii="宋体" w:hAnsi="宋体"/>
          <w:szCs w:val="21"/>
          <w:highlight w:val="none"/>
        </w:rPr>
        <w:t>应对照采购文件技术需求书中技术规格，说明所提供服务已对采购文件的技术规格做出了实质性的响应，并申明与技术规格条文的偏差和例外。特别对有具体参数要求的指标，投标人必须提供所投设备的具体参数值。</w:t>
      </w:r>
    </w:p>
    <w:p w14:paraId="192DD500">
      <w:pPr>
        <w:rPr>
          <w:rFonts w:ascii="宋体" w:hAnsi="宋体"/>
          <w:szCs w:val="21"/>
          <w:highlight w:val="none"/>
        </w:rPr>
      </w:pPr>
      <w:r>
        <w:rPr>
          <w:rFonts w:hint="eastAsia" w:ascii="宋体" w:hAnsi="宋体"/>
          <w:szCs w:val="21"/>
          <w:highlight w:val="none"/>
        </w:rPr>
        <w:t>2、</w:t>
      </w:r>
      <w:r>
        <w:rPr>
          <w:rFonts w:hint="eastAsia" w:hAnsi="宋体" w:cs="宋体"/>
          <w:szCs w:val="21"/>
          <w:highlight w:val="none"/>
        </w:rPr>
        <w:t>不论出于何种原因此表未填写</w:t>
      </w:r>
      <w:r>
        <w:rPr>
          <w:rFonts w:hint="eastAsia" w:ascii="宋体" w:hAnsi="宋体"/>
          <w:szCs w:val="21"/>
          <w:highlight w:val="none"/>
        </w:rPr>
        <w:t>完整</w:t>
      </w:r>
      <w:r>
        <w:rPr>
          <w:rFonts w:hint="eastAsia" w:hAnsi="宋体" w:cs="宋体"/>
          <w:szCs w:val="21"/>
          <w:highlight w:val="none"/>
        </w:rPr>
        <w:t>，投标人都被认为已清楚了解采购文件“技术需求书”的内容并对采购人所需的服务要求作全面响应，投标人必须承担完成“技术需求书”所描述内容的义务</w:t>
      </w:r>
      <w:r>
        <w:rPr>
          <w:rFonts w:hint="eastAsia" w:ascii="宋体" w:hAnsi="宋体"/>
          <w:szCs w:val="21"/>
          <w:highlight w:val="none"/>
        </w:rPr>
        <w:t>，因此对投标人投标产生负面影响的，投标人自行承担后果。</w:t>
      </w:r>
    </w:p>
    <w:p w14:paraId="3BDCCCA5">
      <w:pPr>
        <w:rPr>
          <w:rFonts w:ascii="宋体" w:hAnsi="宋体"/>
          <w:szCs w:val="21"/>
          <w:highlight w:val="none"/>
        </w:rPr>
      </w:pPr>
      <w:r>
        <w:rPr>
          <w:rFonts w:hint="eastAsia" w:ascii="宋体" w:hAnsi="宋体"/>
          <w:szCs w:val="21"/>
          <w:highlight w:val="none"/>
        </w:rPr>
        <w:t>3、</w:t>
      </w:r>
      <w:r>
        <w:rPr>
          <w:rFonts w:hint="eastAsia" w:hAnsi="宋体" w:cs="宋体"/>
          <w:szCs w:val="21"/>
          <w:highlight w:val="none"/>
        </w:rPr>
        <w:t>如有偏离，应在“偏离情况”栏内注明“正”、“负”或“无”，并在“说明”栏内予以说明。</w:t>
      </w:r>
    </w:p>
    <w:p w14:paraId="4927E8C5">
      <w:pPr>
        <w:rPr>
          <w:rFonts w:ascii="宋体" w:hAnsi="宋体"/>
          <w:szCs w:val="21"/>
          <w:highlight w:val="none"/>
        </w:rPr>
      </w:pPr>
      <w:r>
        <w:rPr>
          <w:rFonts w:hint="eastAsia" w:ascii="宋体" w:hAnsi="宋体"/>
          <w:szCs w:val="21"/>
          <w:highlight w:val="none"/>
        </w:rPr>
        <w:t>4、</w:t>
      </w:r>
      <w:r>
        <w:rPr>
          <w:rFonts w:hint="eastAsia" w:hAnsi="宋体" w:cs="宋体"/>
          <w:szCs w:val="21"/>
          <w:highlight w:val="none"/>
        </w:rPr>
        <w:t>如投标人差异内容较多可另附页说明。</w:t>
      </w:r>
    </w:p>
    <w:p w14:paraId="783281BF">
      <w:pPr>
        <w:rPr>
          <w:rFonts w:ascii="宋体" w:hAnsi="宋体"/>
          <w:szCs w:val="21"/>
          <w:highlight w:val="none"/>
        </w:rPr>
      </w:pPr>
      <w:r>
        <w:rPr>
          <w:rFonts w:hint="eastAsia" w:ascii="宋体" w:hAnsi="宋体"/>
          <w:szCs w:val="21"/>
          <w:highlight w:val="none"/>
        </w:rPr>
        <w:t>5、</w:t>
      </w:r>
      <w:r>
        <w:rPr>
          <w:rFonts w:hint="eastAsia" w:hAnsi="宋体" w:cs="宋体"/>
          <w:szCs w:val="21"/>
          <w:highlight w:val="none"/>
        </w:rPr>
        <w:t>如投标人对用户需求书商务要求的条款全部响应的，也可以在表格下面用文字总括性的说明。</w:t>
      </w:r>
    </w:p>
    <w:p w14:paraId="60A4FFC7">
      <w:pPr>
        <w:adjustRightInd/>
        <w:snapToGrid/>
        <w:spacing w:line="276" w:lineRule="auto"/>
        <w:rPr>
          <w:highlight w:val="none"/>
        </w:rPr>
      </w:pPr>
    </w:p>
    <w:p w14:paraId="0C4A67A6">
      <w:pPr>
        <w:adjustRightInd/>
        <w:snapToGrid/>
        <w:spacing w:line="276" w:lineRule="auto"/>
      </w:pPr>
    </w:p>
    <w:p w14:paraId="57AF28F3">
      <w:pPr>
        <w:rPr>
          <w:rFonts w:ascii="宋体" w:hAnsi="宋体"/>
          <w:szCs w:val="21"/>
        </w:rPr>
      </w:pPr>
      <w:bookmarkStart w:id="275" w:name="_Toc17691"/>
      <w:r>
        <w:rPr>
          <w:rFonts w:hint="eastAsia" w:ascii="宋体" w:hAnsi="宋体"/>
          <w:szCs w:val="21"/>
        </w:rPr>
        <w:br w:type="page"/>
      </w:r>
    </w:p>
    <w:bookmarkEnd w:id="275"/>
    <w:p w14:paraId="071B8CFF">
      <w:pPr>
        <w:pStyle w:val="8"/>
        <w:widowControl w:val="0"/>
        <w:overflowPunct w:val="0"/>
        <w:spacing w:line="240" w:lineRule="auto"/>
        <w:rPr>
          <w:rFonts w:ascii="宋体" w:hAnsi="宋体"/>
          <w:sz w:val="21"/>
          <w:szCs w:val="21"/>
        </w:rPr>
      </w:pPr>
      <w:bookmarkStart w:id="276" w:name="_Toc14576"/>
      <w:r>
        <w:rPr>
          <w:rFonts w:hint="eastAsia" w:ascii="宋体" w:hAnsi="宋体"/>
          <w:sz w:val="21"/>
          <w:szCs w:val="21"/>
        </w:rPr>
        <w:t>附件1</w:t>
      </w:r>
      <w:r>
        <w:rPr>
          <w:rFonts w:hint="eastAsia" w:ascii="宋体" w:hAnsi="宋体"/>
          <w:sz w:val="21"/>
          <w:szCs w:val="21"/>
          <w:lang w:val="en-US" w:eastAsia="zh-CN"/>
        </w:rPr>
        <w:t>6</w:t>
      </w:r>
      <w:r>
        <w:rPr>
          <w:rFonts w:hint="eastAsia" w:ascii="宋体" w:hAnsi="宋体"/>
          <w:sz w:val="21"/>
          <w:szCs w:val="21"/>
        </w:rPr>
        <w:t>.项目实施方案格式</w:t>
      </w:r>
      <w:bookmarkEnd w:id="276"/>
    </w:p>
    <w:p w14:paraId="29DAEB2C">
      <w:pPr>
        <w:jc w:val="center"/>
        <w:rPr>
          <w:rFonts w:ascii="黑体" w:eastAsia="黑体"/>
          <w:sz w:val="32"/>
          <w:szCs w:val="32"/>
        </w:rPr>
      </w:pPr>
    </w:p>
    <w:p w14:paraId="29E39C87">
      <w:pPr>
        <w:jc w:val="center"/>
        <w:rPr>
          <w:rFonts w:ascii="黑体" w:eastAsia="黑体"/>
          <w:sz w:val="32"/>
          <w:szCs w:val="32"/>
        </w:rPr>
      </w:pPr>
      <w:r>
        <w:rPr>
          <w:rFonts w:hint="eastAsia" w:ascii="黑体" w:eastAsia="黑体"/>
          <w:sz w:val="32"/>
          <w:szCs w:val="32"/>
        </w:rPr>
        <w:t>项目实施方案</w:t>
      </w:r>
    </w:p>
    <w:p w14:paraId="2A6145F7">
      <w:pPr>
        <w:jc w:val="center"/>
        <w:rPr>
          <w:rFonts w:ascii="黑体" w:eastAsia="黑体"/>
          <w:sz w:val="32"/>
          <w:szCs w:val="32"/>
        </w:rPr>
      </w:pPr>
    </w:p>
    <w:p w14:paraId="72987F9D">
      <w:pPr>
        <w:ind w:left="718" w:leftChars="200" w:hanging="298" w:hangingChars="142"/>
        <w:rPr>
          <w:rFonts w:ascii="宋体" w:hAnsi="宋体"/>
          <w:szCs w:val="21"/>
        </w:rPr>
      </w:pPr>
      <w:r>
        <w:rPr>
          <w:rFonts w:hint="eastAsia" w:ascii="宋体" w:hAnsi="宋体"/>
          <w:szCs w:val="21"/>
        </w:rPr>
        <w:t>1、</w:t>
      </w:r>
      <w:r>
        <w:t>整体设计方案</w:t>
      </w:r>
    </w:p>
    <w:p w14:paraId="7CA5D137">
      <w:pPr>
        <w:ind w:left="718" w:leftChars="200" w:hanging="298" w:hangingChars="142"/>
        <w:rPr>
          <w:rFonts w:ascii="宋体" w:hAnsi="宋体"/>
          <w:szCs w:val="21"/>
        </w:rPr>
      </w:pPr>
      <w:r>
        <w:rPr>
          <w:rFonts w:hint="eastAsia" w:ascii="宋体" w:hAnsi="宋体"/>
          <w:szCs w:val="21"/>
        </w:rPr>
        <w:t>2、</w:t>
      </w:r>
      <w:r>
        <w:t>项目重点难点分析</w:t>
      </w:r>
    </w:p>
    <w:p w14:paraId="7B0FD9BE">
      <w:pPr>
        <w:ind w:left="718" w:leftChars="200" w:hanging="298" w:hangingChars="142"/>
        <w:rPr>
          <w:rFonts w:ascii="宋体" w:hAnsi="宋体"/>
          <w:szCs w:val="21"/>
        </w:rPr>
      </w:pPr>
      <w:r>
        <w:rPr>
          <w:rFonts w:hint="eastAsia" w:ascii="宋体" w:hAnsi="宋体"/>
          <w:szCs w:val="21"/>
        </w:rPr>
        <w:t>3、</w:t>
      </w:r>
      <w:r>
        <w:rPr>
          <w:rFonts w:hint="eastAsia" w:hAnsi="宋体" w:cs="宋体"/>
          <w:spacing w:val="2"/>
          <w:szCs w:val="21"/>
          <w:u w:val="none"/>
        </w:rPr>
        <w:t>服务质量承诺及措施</w:t>
      </w:r>
    </w:p>
    <w:p w14:paraId="6CF15693">
      <w:pPr>
        <w:ind w:left="718" w:leftChars="200" w:hanging="298" w:hangingChars="142"/>
        <w:rPr>
          <w:rFonts w:ascii="宋体" w:hAnsi="宋体"/>
          <w:szCs w:val="21"/>
        </w:rPr>
      </w:pPr>
      <w:r>
        <w:rPr>
          <w:rFonts w:hint="eastAsia" w:ascii="宋体" w:hAnsi="宋体"/>
          <w:szCs w:val="21"/>
        </w:rPr>
        <w:t>4、</w:t>
      </w:r>
      <w:r>
        <w:rPr>
          <w:rFonts w:hint="eastAsia" w:ascii="Tahoma" w:hAnsi="宋体" w:eastAsia="宋体" w:cs="宋体"/>
          <w:spacing w:val="2"/>
          <w:sz w:val="21"/>
          <w:szCs w:val="21"/>
          <w:u w:val="none"/>
          <w:lang w:val="en-US" w:eastAsia="zh-CN" w:bidi="ar-SA"/>
        </w:rPr>
        <w:t>培训方案</w:t>
      </w:r>
    </w:p>
    <w:p w14:paraId="146CFD01">
      <w:pPr>
        <w:ind w:left="718" w:leftChars="200" w:hanging="298" w:hangingChars="142"/>
        <w:rPr>
          <w:rFonts w:hint="eastAsia" w:ascii="宋体" w:hAnsi="宋体"/>
          <w:szCs w:val="21"/>
        </w:rPr>
      </w:pPr>
      <w:r>
        <w:rPr>
          <w:rFonts w:hint="eastAsia" w:ascii="宋体" w:hAnsi="宋体"/>
          <w:szCs w:val="21"/>
        </w:rPr>
        <w:t>5、</w:t>
      </w:r>
      <w:r>
        <w:rPr>
          <w:rFonts w:hint="eastAsia" w:hAnsi="宋体" w:cs="宋体"/>
          <w:spacing w:val="2"/>
          <w:szCs w:val="21"/>
          <w:u w:val="none"/>
        </w:rPr>
        <w:t>售后服务</w:t>
      </w:r>
    </w:p>
    <w:p w14:paraId="1CB57C6D">
      <w:pPr>
        <w:ind w:left="718" w:leftChars="200" w:hanging="298" w:hangingChars="142"/>
        <w:rPr>
          <w:rFonts w:hint="eastAsia" w:ascii="宋体" w:hAnsi="宋体"/>
          <w:szCs w:val="21"/>
        </w:rPr>
      </w:pPr>
      <w:r>
        <w:rPr>
          <w:rFonts w:hint="eastAsia" w:ascii="宋体" w:hAnsi="宋体"/>
          <w:szCs w:val="21"/>
          <w:lang w:val="en-US" w:eastAsia="zh-CN"/>
        </w:rPr>
        <w:t>6</w:t>
      </w:r>
      <w:r>
        <w:rPr>
          <w:rFonts w:hint="eastAsia" w:ascii="宋体" w:hAnsi="宋体"/>
          <w:szCs w:val="21"/>
        </w:rPr>
        <w:t>、..........</w:t>
      </w:r>
    </w:p>
    <w:p w14:paraId="2F2713BC">
      <w:pPr>
        <w:ind w:left="718" w:leftChars="200" w:hanging="298" w:hangingChars="142"/>
        <w:rPr>
          <w:rFonts w:ascii="宋体" w:hAnsi="宋体" w:cs="Times New Roman"/>
          <w:szCs w:val="21"/>
        </w:rPr>
      </w:pPr>
      <w:r>
        <w:rPr>
          <w:rFonts w:hint="eastAsia" w:ascii="宋体" w:hAnsi="宋体"/>
          <w:szCs w:val="21"/>
        </w:rPr>
        <w:t>自行编写。</w:t>
      </w:r>
    </w:p>
    <w:p w14:paraId="7CCB3AD9">
      <w:pPr>
        <w:ind w:left="718" w:leftChars="200" w:hanging="298" w:hangingChars="142"/>
        <w:rPr>
          <w:rFonts w:ascii="宋体" w:hAnsi="宋体"/>
          <w:szCs w:val="21"/>
        </w:rPr>
      </w:pPr>
    </w:p>
    <w:p w14:paraId="0B8CC889">
      <w:pPr>
        <w:ind w:left="718" w:leftChars="200" w:hanging="298" w:hangingChars="142"/>
        <w:rPr>
          <w:rFonts w:ascii="宋体" w:hAnsi="宋体"/>
          <w:szCs w:val="21"/>
        </w:rPr>
      </w:pPr>
    </w:p>
    <w:p w14:paraId="0F83FAB8">
      <w:pPr>
        <w:ind w:left="718" w:leftChars="200" w:hanging="298" w:hangingChars="142"/>
        <w:rPr>
          <w:rFonts w:ascii="宋体" w:hAnsi="宋体"/>
          <w:szCs w:val="21"/>
        </w:rPr>
      </w:pPr>
      <w:r>
        <w:rPr>
          <w:rFonts w:hint="eastAsia" w:ascii="宋体" w:hAnsi="宋体"/>
          <w:szCs w:val="21"/>
        </w:rPr>
        <w:br w:type="page"/>
      </w:r>
    </w:p>
    <w:p w14:paraId="2A9B1A03">
      <w:pPr>
        <w:pStyle w:val="8"/>
        <w:widowControl w:val="0"/>
        <w:overflowPunct w:val="0"/>
        <w:spacing w:line="240" w:lineRule="auto"/>
        <w:rPr>
          <w:rFonts w:ascii="宋体" w:hAnsi="宋体"/>
          <w:sz w:val="21"/>
          <w:szCs w:val="21"/>
        </w:rPr>
      </w:pPr>
      <w:bookmarkStart w:id="277" w:name="_Toc26125"/>
      <w:r>
        <w:rPr>
          <w:rFonts w:hint="eastAsia" w:ascii="宋体" w:hAnsi="宋体"/>
          <w:sz w:val="21"/>
          <w:szCs w:val="21"/>
        </w:rPr>
        <w:t>附件1</w:t>
      </w:r>
      <w:r>
        <w:rPr>
          <w:rFonts w:hint="eastAsia" w:ascii="宋体" w:hAnsi="宋体"/>
          <w:sz w:val="21"/>
          <w:szCs w:val="21"/>
          <w:lang w:val="en-US" w:eastAsia="zh-CN"/>
        </w:rPr>
        <w:t>7</w:t>
      </w:r>
      <w:r>
        <w:rPr>
          <w:rFonts w:hint="eastAsia" w:ascii="宋体" w:hAnsi="宋体"/>
          <w:sz w:val="21"/>
          <w:szCs w:val="21"/>
        </w:rPr>
        <w:t>.实施本项目的有关人员资料表格式</w:t>
      </w:r>
      <w:bookmarkEnd w:id="277"/>
    </w:p>
    <w:p w14:paraId="7C22FC2C">
      <w:pPr>
        <w:jc w:val="center"/>
        <w:rPr>
          <w:rFonts w:ascii="宋体" w:hAnsi="宋体"/>
          <w:szCs w:val="21"/>
        </w:rPr>
      </w:pPr>
    </w:p>
    <w:p w14:paraId="78F95B95">
      <w:pPr>
        <w:jc w:val="center"/>
        <w:rPr>
          <w:rFonts w:ascii="黑体" w:eastAsia="黑体"/>
          <w:sz w:val="32"/>
          <w:szCs w:val="32"/>
        </w:rPr>
      </w:pPr>
      <w:r>
        <w:rPr>
          <w:rFonts w:hint="eastAsia" w:ascii="黑体" w:eastAsia="黑体"/>
          <w:sz w:val="32"/>
          <w:szCs w:val="32"/>
        </w:rPr>
        <w:t>实施本项目的有关人员资料表</w:t>
      </w:r>
    </w:p>
    <w:tbl>
      <w:tblPr>
        <w:tblStyle w:val="3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2"/>
        <w:gridCol w:w="702"/>
        <w:gridCol w:w="1861"/>
        <w:gridCol w:w="702"/>
        <w:gridCol w:w="702"/>
        <w:gridCol w:w="1164"/>
        <w:gridCol w:w="818"/>
        <w:gridCol w:w="1165"/>
        <w:gridCol w:w="703"/>
      </w:tblGrid>
      <w:tr w14:paraId="40034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2" w:type="pct"/>
            <w:vAlign w:val="center"/>
          </w:tcPr>
          <w:p w14:paraId="71448BD3">
            <w:pPr>
              <w:jc w:val="center"/>
              <w:rPr>
                <w:rFonts w:ascii="宋体" w:hAnsi="宋体"/>
                <w:szCs w:val="21"/>
              </w:rPr>
            </w:pPr>
            <w:r>
              <w:rPr>
                <w:rFonts w:hint="eastAsia" w:ascii="宋体" w:hAnsi="宋体"/>
                <w:szCs w:val="21"/>
              </w:rPr>
              <w:t>序号</w:t>
            </w:r>
          </w:p>
        </w:tc>
        <w:tc>
          <w:tcPr>
            <w:tcW w:w="412" w:type="pct"/>
            <w:vAlign w:val="center"/>
          </w:tcPr>
          <w:p w14:paraId="7840131D">
            <w:pPr>
              <w:jc w:val="center"/>
              <w:rPr>
                <w:rFonts w:ascii="宋体" w:hAnsi="宋体"/>
                <w:szCs w:val="21"/>
              </w:rPr>
            </w:pPr>
            <w:r>
              <w:rPr>
                <w:rFonts w:hint="eastAsia" w:ascii="宋体" w:hAnsi="宋体"/>
                <w:szCs w:val="21"/>
              </w:rPr>
              <w:t>姓名</w:t>
            </w:r>
          </w:p>
        </w:tc>
        <w:tc>
          <w:tcPr>
            <w:tcW w:w="1092" w:type="pct"/>
            <w:vAlign w:val="center"/>
          </w:tcPr>
          <w:p w14:paraId="12651FE7">
            <w:pPr>
              <w:jc w:val="center"/>
              <w:rPr>
                <w:rFonts w:ascii="宋体" w:hAnsi="宋体"/>
                <w:szCs w:val="21"/>
              </w:rPr>
            </w:pPr>
            <w:r>
              <w:rPr>
                <w:rFonts w:hint="eastAsia" w:ascii="宋体" w:hAnsi="宋体"/>
                <w:szCs w:val="21"/>
              </w:rPr>
              <w:t>本项目拟任岗位</w:t>
            </w:r>
          </w:p>
        </w:tc>
        <w:tc>
          <w:tcPr>
            <w:tcW w:w="412" w:type="pct"/>
            <w:vAlign w:val="center"/>
          </w:tcPr>
          <w:p w14:paraId="6DE7FC5C">
            <w:pPr>
              <w:jc w:val="center"/>
              <w:rPr>
                <w:rFonts w:ascii="宋体" w:hAnsi="宋体"/>
                <w:szCs w:val="21"/>
              </w:rPr>
            </w:pPr>
            <w:r>
              <w:rPr>
                <w:rFonts w:hint="eastAsia" w:ascii="宋体" w:hAnsi="宋体"/>
                <w:szCs w:val="21"/>
              </w:rPr>
              <w:t>性别</w:t>
            </w:r>
          </w:p>
        </w:tc>
        <w:tc>
          <w:tcPr>
            <w:tcW w:w="412" w:type="pct"/>
            <w:vAlign w:val="center"/>
          </w:tcPr>
          <w:p w14:paraId="737DAE2E">
            <w:pPr>
              <w:jc w:val="center"/>
              <w:rPr>
                <w:rFonts w:ascii="宋体" w:hAnsi="宋体"/>
                <w:szCs w:val="21"/>
              </w:rPr>
            </w:pPr>
            <w:r>
              <w:rPr>
                <w:rFonts w:hint="eastAsia" w:ascii="宋体" w:hAnsi="宋体"/>
                <w:szCs w:val="21"/>
              </w:rPr>
              <w:t>年龄</w:t>
            </w:r>
          </w:p>
        </w:tc>
        <w:tc>
          <w:tcPr>
            <w:tcW w:w="683" w:type="pct"/>
            <w:vAlign w:val="center"/>
          </w:tcPr>
          <w:p w14:paraId="4F7B3328">
            <w:pPr>
              <w:jc w:val="center"/>
              <w:rPr>
                <w:rFonts w:ascii="宋体" w:hAnsi="宋体"/>
                <w:szCs w:val="21"/>
              </w:rPr>
            </w:pPr>
            <w:r>
              <w:rPr>
                <w:rFonts w:hint="eastAsia" w:ascii="宋体" w:hAnsi="宋体"/>
                <w:szCs w:val="21"/>
              </w:rPr>
              <w:t>技术职称</w:t>
            </w:r>
          </w:p>
        </w:tc>
        <w:tc>
          <w:tcPr>
            <w:tcW w:w="480" w:type="pct"/>
            <w:vAlign w:val="center"/>
          </w:tcPr>
          <w:p w14:paraId="492907E4">
            <w:pPr>
              <w:jc w:val="center"/>
              <w:rPr>
                <w:rFonts w:ascii="宋体" w:hAnsi="宋体"/>
                <w:szCs w:val="21"/>
              </w:rPr>
            </w:pPr>
            <w:r>
              <w:rPr>
                <w:rFonts w:hint="eastAsia" w:ascii="宋体" w:hAnsi="宋体"/>
                <w:szCs w:val="21"/>
              </w:rPr>
              <w:t>专 业</w:t>
            </w:r>
          </w:p>
        </w:tc>
        <w:tc>
          <w:tcPr>
            <w:tcW w:w="683" w:type="pct"/>
            <w:vAlign w:val="center"/>
          </w:tcPr>
          <w:p w14:paraId="5FF2D5CD">
            <w:pPr>
              <w:jc w:val="center"/>
              <w:rPr>
                <w:rFonts w:ascii="宋体" w:hAnsi="宋体"/>
                <w:szCs w:val="21"/>
              </w:rPr>
            </w:pPr>
            <w:r>
              <w:rPr>
                <w:rFonts w:hint="eastAsia" w:ascii="宋体" w:hAnsi="宋体"/>
                <w:szCs w:val="21"/>
              </w:rPr>
              <w:t>资质证书</w:t>
            </w:r>
          </w:p>
        </w:tc>
        <w:tc>
          <w:tcPr>
            <w:tcW w:w="412" w:type="pct"/>
            <w:tcBorders>
              <w:right w:val="single" w:color="auto" w:sz="6" w:space="0"/>
            </w:tcBorders>
            <w:vAlign w:val="center"/>
          </w:tcPr>
          <w:p w14:paraId="71079E06">
            <w:pPr>
              <w:jc w:val="center"/>
              <w:rPr>
                <w:rFonts w:ascii="宋体" w:hAnsi="宋体"/>
                <w:szCs w:val="21"/>
              </w:rPr>
            </w:pPr>
            <w:r>
              <w:rPr>
                <w:rFonts w:hint="eastAsia" w:ascii="宋体" w:hAnsi="宋体"/>
                <w:szCs w:val="21"/>
              </w:rPr>
              <w:t>备注</w:t>
            </w:r>
          </w:p>
        </w:tc>
      </w:tr>
      <w:tr w14:paraId="3ABDB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2" w:type="pct"/>
            <w:vAlign w:val="center"/>
          </w:tcPr>
          <w:p w14:paraId="076B2D25">
            <w:pPr>
              <w:spacing w:line="288" w:lineRule="auto"/>
              <w:jc w:val="center"/>
              <w:rPr>
                <w:rFonts w:ascii="宋体" w:hAnsi="宋体"/>
                <w:szCs w:val="21"/>
              </w:rPr>
            </w:pPr>
          </w:p>
        </w:tc>
        <w:tc>
          <w:tcPr>
            <w:tcW w:w="412" w:type="pct"/>
            <w:vAlign w:val="center"/>
          </w:tcPr>
          <w:p w14:paraId="4CDF0E89">
            <w:pPr>
              <w:spacing w:line="288" w:lineRule="auto"/>
              <w:jc w:val="center"/>
              <w:rPr>
                <w:rFonts w:ascii="宋体" w:hAnsi="宋体"/>
                <w:szCs w:val="21"/>
              </w:rPr>
            </w:pPr>
          </w:p>
        </w:tc>
        <w:tc>
          <w:tcPr>
            <w:tcW w:w="1092" w:type="pct"/>
            <w:vAlign w:val="center"/>
          </w:tcPr>
          <w:p w14:paraId="31166FE6">
            <w:pPr>
              <w:spacing w:line="288" w:lineRule="auto"/>
              <w:jc w:val="center"/>
              <w:rPr>
                <w:rFonts w:ascii="宋体" w:hAnsi="宋体"/>
                <w:szCs w:val="21"/>
              </w:rPr>
            </w:pPr>
          </w:p>
        </w:tc>
        <w:tc>
          <w:tcPr>
            <w:tcW w:w="412" w:type="pct"/>
            <w:vAlign w:val="center"/>
          </w:tcPr>
          <w:p w14:paraId="2A3FAACD">
            <w:pPr>
              <w:spacing w:line="288" w:lineRule="auto"/>
              <w:jc w:val="center"/>
              <w:rPr>
                <w:rFonts w:ascii="宋体" w:hAnsi="宋体"/>
                <w:szCs w:val="21"/>
              </w:rPr>
            </w:pPr>
          </w:p>
        </w:tc>
        <w:tc>
          <w:tcPr>
            <w:tcW w:w="412" w:type="pct"/>
            <w:vAlign w:val="center"/>
          </w:tcPr>
          <w:p w14:paraId="35273301">
            <w:pPr>
              <w:spacing w:line="288" w:lineRule="auto"/>
              <w:jc w:val="center"/>
              <w:rPr>
                <w:rFonts w:ascii="宋体" w:hAnsi="宋体"/>
                <w:szCs w:val="21"/>
              </w:rPr>
            </w:pPr>
          </w:p>
        </w:tc>
        <w:tc>
          <w:tcPr>
            <w:tcW w:w="683" w:type="pct"/>
            <w:vAlign w:val="center"/>
          </w:tcPr>
          <w:p w14:paraId="60EBC4B0">
            <w:pPr>
              <w:spacing w:line="288" w:lineRule="auto"/>
              <w:jc w:val="center"/>
              <w:rPr>
                <w:rFonts w:ascii="宋体" w:hAnsi="宋体"/>
                <w:szCs w:val="21"/>
              </w:rPr>
            </w:pPr>
          </w:p>
        </w:tc>
        <w:tc>
          <w:tcPr>
            <w:tcW w:w="480" w:type="pct"/>
            <w:vAlign w:val="center"/>
          </w:tcPr>
          <w:p w14:paraId="7FB50504">
            <w:pPr>
              <w:spacing w:line="288" w:lineRule="auto"/>
              <w:jc w:val="center"/>
              <w:rPr>
                <w:rFonts w:ascii="宋体" w:hAnsi="宋体"/>
                <w:szCs w:val="21"/>
              </w:rPr>
            </w:pPr>
          </w:p>
        </w:tc>
        <w:tc>
          <w:tcPr>
            <w:tcW w:w="683" w:type="pct"/>
            <w:vAlign w:val="center"/>
          </w:tcPr>
          <w:p w14:paraId="66778427">
            <w:pPr>
              <w:spacing w:line="288" w:lineRule="auto"/>
              <w:jc w:val="center"/>
              <w:rPr>
                <w:rFonts w:ascii="宋体" w:hAnsi="宋体"/>
                <w:szCs w:val="21"/>
              </w:rPr>
            </w:pPr>
          </w:p>
        </w:tc>
        <w:tc>
          <w:tcPr>
            <w:tcW w:w="412" w:type="pct"/>
            <w:tcBorders>
              <w:right w:val="single" w:color="auto" w:sz="6" w:space="0"/>
            </w:tcBorders>
            <w:vAlign w:val="center"/>
          </w:tcPr>
          <w:p w14:paraId="33157173">
            <w:pPr>
              <w:spacing w:line="288" w:lineRule="auto"/>
              <w:jc w:val="center"/>
              <w:rPr>
                <w:rFonts w:ascii="宋体" w:hAnsi="宋体"/>
                <w:szCs w:val="21"/>
              </w:rPr>
            </w:pPr>
          </w:p>
        </w:tc>
      </w:tr>
      <w:tr w14:paraId="6D701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2" w:type="pct"/>
            <w:vAlign w:val="center"/>
          </w:tcPr>
          <w:p w14:paraId="035910A4">
            <w:pPr>
              <w:spacing w:line="288" w:lineRule="auto"/>
              <w:jc w:val="center"/>
              <w:rPr>
                <w:rFonts w:ascii="宋体" w:hAnsi="宋体"/>
                <w:szCs w:val="21"/>
              </w:rPr>
            </w:pPr>
          </w:p>
        </w:tc>
        <w:tc>
          <w:tcPr>
            <w:tcW w:w="412" w:type="pct"/>
            <w:vAlign w:val="center"/>
          </w:tcPr>
          <w:p w14:paraId="20E6CA0A">
            <w:pPr>
              <w:spacing w:line="288" w:lineRule="auto"/>
              <w:jc w:val="center"/>
              <w:rPr>
                <w:rFonts w:ascii="宋体" w:hAnsi="宋体"/>
                <w:szCs w:val="21"/>
              </w:rPr>
            </w:pPr>
          </w:p>
        </w:tc>
        <w:tc>
          <w:tcPr>
            <w:tcW w:w="1092" w:type="pct"/>
            <w:vAlign w:val="center"/>
          </w:tcPr>
          <w:p w14:paraId="5DFBFF40">
            <w:pPr>
              <w:spacing w:line="288" w:lineRule="auto"/>
              <w:jc w:val="center"/>
              <w:rPr>
                <w:rFonts w:ascii="宋体" w:hAnsi="宋体"/>
                <w:szCs w:val="21"/>
              </w:rPr>
            </w:pPr>
          </w:p>
        </w:tc>
        <w:tc>
          <w:tcPr>
            <w:tcW w:w="412" w:type="pct"/>
            <w:vAlign w:val="center"/>
          </w:tcPr>
          <w:p w14:paraId="6747E124">
            <w:pPr>
              <w:spacing w:line="288" w:lineRule="auto"/>
              <w:jc w:val="center"/>
              <w:rPr>
                <w:rFonts w:ascii="宋体" w:hAnsi="宋体"/>
                <w:szCs w:val="21"/>
              </w:rPr>
            </w:pPr>
          </w:p>
        </w:tc>
        <w:tc>
          <w:tcPr>
            <w:tcW w:w="412" w:type="pct"/>
            <w:vAlign w:val="center"/>
          </w:tcPr>
          <w:p w14:paraId="6AF6DA49">
            <w:pPr>
              <w:spacing w:line="288" w:lineRule="auto"/>
              <w:jc w:val="center"/>
              <w:rPr>
                <w:rFonts w:ascii="宋体" w:hAnsi="宋体"/>
                <w:szCs w:val="21"/>
              </w:rPr>
            </w:pPr>
          </w:p>
        </w:tc>
        <w:tc>
          <w:tcPr>
            <w:tcW w:w="683" w:type="pct"/>
            <w:vAlign w:val="center"/>
          </w:tcPr>
          <w:p w14:paraId="188E3FC3">
            <w:pPr>
              <w:spacing w:line="288" w:lineRule="auto"/>
              <w:jc w:val="center"/>
              <w:rPr>
                <w:rFonts w:ascii="宋体" w:hAnsi="宋体"/>
                <w:szCs w:val="21"/>
              </w:rPr>
            </w:pPr>
          </w:p>
        </w:tc>
        <w:tc>
          <w:tcPr>
            <w:tcW w:w="480" w:type="pct"/>
            <w:vAlign w:val="center"/>
          </w:tcPr>
          <w:p w14:paraId="4B93F5A3">
            <w:pPr>
              <w:spacing w:line="288" w:lineRule="auto"/>
              <w:jc w:val="center"/>
              <w:rPr>
                <w:rFonts w:ascii="宋体" w:hAnsi="宋体"/>
                <w:szCs w:val="21"/>
              </w:rPr>
            </w:pPr>
          </w:p>
        </w:tc>
        <w:tc>
          <w:tcPr>
            <w:tcW w:w="683" w:type="pct"/>
            <w:vAlign w:val="center"/>
          </w:tcPr>
          <w:p w14:paraId="5A3D84A7">
            <w:pPr>
              <w:spacing w:line="288" w:lineRule="auto"/>
              <w:jc w:val="center"/>
              <w:rPr>
                <w:rFonts w:ascii="宋体" w:hAnsi="宋体"/>
                <w:szCs w:val="21"/>
              </w:rPr>
            </w:pPr>
          </w:p>
        </w:tc>
        <w:tc>
          <w:tcPr>
            <w:tcW w:w="412" w:type="pct"/>
            <w:tcBorders>
              <w:right w:val="single" w:color="auto" w:sz="6" w:space="0"/>
            </w:tcBorders>
            <w:vAlign w:val="center"/>
          </w:tcPr>
          <w:p w14:paraId="200EF494">
            <w:pPr>
              <w:spacing w:line="288" w:lineRule="auto"/>
              <w:jc w:val="center"/>
              <w:rPr>
                <w:rFonts w:ascii="宋体" w:hAnsi="宋体"/>
                <w:szCs w:val="21"/>
              </w:rPr>
            </w:pPr>
          </w:p>
        </w:tc>
      </w:tr>
      <w:tr w14:paraId="307A8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2" w:type="pct"/>
            <w:vAlign w:val="center"/>
          </w:tcPr>
          <w:p w14:paraId="30FB7282">
            <w:pPr>
              <w:spacing w:line="288" w:lineRule="auto"/>
              <w:jc w:val="center"/>
              <w:rPr>
                <w:rFonts w:ascii="宋体" w:hAnsi="宋体"/>
                <w:szCs w:val="21"/>
              </w:rPr>
            </w:pPr>
          </w:p>
        </w:tc>
        <w:tc>
          <w:tcPr>
            <w:tcW w:w="412" w:type="pct"/>
            <w:vAlign w:val="center"/>
          </w:tcPr>
          <w:p w14:paraId="34E477F0">
            <w:pPr>
              <w:spacing w:line="288" w:lineRule="auto"/>
              <w:jc w:val="center"/>
              <w:rPr>
                <w:rFonts w:ascii="宋体" w:hAnsi="宋体"/>
                <w:szCs w:val="21"/>
              </w:rPr>
            </w:pPr>
          </w:p>
        </w:tc>
        <w:tc>
          <w:tcPr>
            <w:tcW w:w="1092" w:type="pct"/>
            <w:vAlign w:val="center"/>
          </w:tcPr>
          <w:p w14:paraId="5A40BB37">
            <w:pPr>
              <w:spacing w:line="288" w:lineRule="auto"/>
              <w:jc w:val="center"/>
              <w:rPr>
                <w:rFonts w:ascii="宋体" w:hAnsi="宋体"/>
                <w:szCs w:val="21"/>
              </w:rPr>
            </w:pPr>
          </w:p>
        </w:tc>
        <w:tc>
          <w:tcPr>
            <w:tcW w:w="412" w:type="pct"/>
            <w:vAlign w:val="center"/>
          </w:tcPr>
          <w:p w14:paraId="79617BB4">
            <w:pPr>
              <w:spacing w:line="288" w:lineRule="auto"/>
              <w:jc w:val="center"/>
              <w:rPr>
                <w:rFonts w:ascii="宋体" w:hAnsi="宋体"/>
                <w:szCs w:val="21"/>
              </w:rPr>
            </w:pPr>
          </w:p>
        </w:tc>
        <w:tc>
          <w:tcPr>
            <w:tcW w:w="412" w:type="pct"/>
            <w:vAlign w:val="center"/>
          </w:tcPr>
          <w:p w14:paraId="10650F76">
            <w:pPr>
              <w:spacing w:line="288" w:lineRule="auto"/>
              <w:jc w:val="center"/>
              <w:rPr>
                <w:rFonts w:ascii="宋体" w:hAnsi="宋体"/>
                <w:szCs w:val="21"/>
              </w:rPr>
            </w:pPr>
          </w:p>
        </w:tc>
        <w:tc>
          <w:tcPr>
            <w:tcW w:w="683" w:type="pct"/>
            <w:vAlign w:val="center"/>
          </w:tcPr>
          <w:p w14:paraId="330775B0">
            <w:pPr>
              <w:spacing w:line="288" w:lineRule="auto"/>
              <w:jc w:val="center"/>
              <w:rPr>
                <w:rFonts w:ascii="宋体" w:hAnsi="宋体"/>
                <w:szCs w:val="21"/>
              </w:rPr>
            </w:pPr>
          </w:p>
        </w:tc>
        <w:tc>
          <w:tcPr>
            <w:tcW w:w="480" w:type="pct"/>
            <w:vAlign w:val="center"/>
          </w:tcPr>
          <w:p w14:paraId="21EF1AA0">
            <w:pPr>
              <w:spacing w:line="288" w:lineRule="auto"/>
              <w:jc w:val="center"/>
              <w:rPr>
                <w:rFonts w:ascii="宋体" w:hAnsi="宋体"/>
                <w:szCs w:val="21"/>
              </w:rPr>
            </w:pPr>
          </w:p>
        </w:tc>
        <w:tc>
          <w:tcPr>
            <w:tcW w:w="683" w:type="pct"/>
            <w:vAlign w:val="center"/>
          </w:tcPr>
          <w:p w14:paraId="2045DB95">
            <w:pPr>
              <w:spacing w:line="288" w:lineRule="auto"/>
              <w:jc w:val="center"/>
              <w:rPr>
                <w:rFonts w:ascii="宋体" w:hAnsi="宋体"/>
                <w:szCs w:val="21"/>
              </w:rPr>
            </w:pPr>
          </w:p>
        </w:tc>
        <w:tc>
          <w:tcPr>
            <w:tcW w:w="412" w:type="pct"/>
            <w:tcBorders>
              <w:right w:val="single" w:color="auto" w:sz="6" w:space="0"/>
            </w:tcBorders>
            <w:vAlign w:val="center"/>
          </w:tcPr>
          <w:p w14:paraId="544250B4">
            <w:pPr>
              <w:spacing w:line="288" w:lineRule="auto"/>
              <w:jc w:val="center"/>
              <w:rPr>
                <w:rFonts w:ascii="宋体" w:hAnsi="宋体"/>
                <w:szCs w:val="21"/>
              </w:rPr>
            </w:pPr>
          </w:p>
        </w:tc>
      </w:tr>
      <w:tr w14:paraId="66F8F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2" w:type="pct"/>
            <w:vAlign w:val="center"/>
          </w:tcPr>
          <w:p w14:paraId="55B21CC3">
            <w:pPr>
              <w:spacing w:line="288" w:lineRule="auto"/>
              <w:jc w:val="center"/>
              <w:rPr>
                <w:rFonts w:ascii="宋体" w:hAnsi="宋体"/>
                <w:szCs w:val="21"/>
              </w:rPr>
            </w:pPr>
          </w:p>
        </w:tc>
        <w:tc>
          <w:tcPr>
            <w:tcW w:w="412" w:type="pct"/>
            <w:vAlign w:val="center"/>
          </w:tcPr>
          <w:p w14:paraId="452674C5">
            <w:pPr>
              <w:spacing w:line="288" w:lineRule="auto"/>
              <w:jc w:val="center"/>
              <w:rPr>
                <w:rFonts w:ascii="宋体" w:hAnsi="宋体"/>
                <w:szCs w:val="21"/>
              </w:rPr>
            </w:pPr>
          </w:p>
        </w:tc>
        <w:tc>
          <w:tcPr>
            <w:tcW w:w="1092" w:type="pct"/>
            <w:vAlign w:val="center"/>
          </w:tcPr>
          <w:p w14:paraId="3A87FA7B">
            <w:pPr>
              <w:spacing w:line="288" w:lineRule="auto"/>
              <w:jc w:val="center"/>
              <w:rPr>
                <w:rFonts w:ascii="宋体" w:hAnsi="宋体"/>
                <w:szCs w:val="21"/>
              </w:rPr>
            </w:pPr>
          </w:p>
        </w:tc>
        <w:tc>
          <w:tcPr>
            <w:tcW w:w="412" w:type="pct"/>
            <w:vAlign w:val="center"/>
          </w:tcPr>
          <w:p w14:paraId="5E9601E6">
            <w:pPr>
              <w:spacing w:line="288" w:lineRule="auto"/>
              <w:jc w:val="center"/>
              <w:rPr>
                <w:rFonts w:ascii="宋体" w:hAnsi="宋体"/>
                <w:szCs w:val="21"/>
              </w:rPr>
            </w:pPr>
          </w:p>
        </w:tc>
        <w:tc>
          <w:tcPr>
            <w:tcW w:w="412" w:type="pct"/>
            <w:vAlign w:val="center"/>
          </w:tcPr>
          <w:p w14:paraId="29DE05F8">
            <w:pPr>
              <w:spacing w:line="288" w:lineRule="auto"/>
              <w:jc w:val="center"/>
              <w:rPr>
                <w:rFonts w:ascii="宋体" w:hAnsi="宋体"/>
                <w:szCs w:val="21"/>
              </w:rPr>
            </w:pPr>
          </w:p>
        </w:tc>
        <w:tc>
          <w:tcPr>
            <w:tcW w:w="683" w:type="pct"/>
            <w:vAlign w:val="center"/>
          </w:tcPr>
          <w:p w14:paraId="51D59954">
            <w:pPr>
              <w:spacing w:line="288" w:lineRule="auto"/>
              <w:jc w:val="center"/>
              <w:rPr>
                <w:rFonts w:ascii="宋体" w:hAnsi="宋体"/>
                <w:szCs w:val="21"/>
              </w:rPr>
            </w:pPr>
          </w:p>
        </w:tc>
        <w:tc>
          <w:tcPr>
            <w:tcW w:w="480" w:type="pct"/>
            <w:vAlign w:val="center"/>
          </w:tcPr>
          <w:p w14:paraId="65AE072E">
            <w:pPr>
              <w:spacing w:line="288" w:lineRule="auto"/>
              <w:jc w:val="center"/>
              <w:rPr>
                <w:rFonts w:ascii="宋体" w:hAnsi="宋体"/>
                <w:szCs w:val="21"/>
              </w:rPr>
            </w:pPr>
          </w:p>
        </w:tc>
        <w:tc>
          <w:tcPr>
            <w:tcW w:w="683" w:type="pct"/>
            <w:vAlign w:val="center"/>
          </w:tcPr>
          <w:p w14:paraId="2F1C6A05">
            <w:pPr>
              <w:spacing w:line="288" w:lineRule="auto"/>
              <w:jc w:val="center"/>
              <w:rPr>
                <w:rFonts w:ascii="宋体" w:hAnsi="宋体"/>
                <w:szCs w:val="21"/>
              </w:rPr>
            </w:pPr>
          </w:p>
        </w:tc>
        <w:tc>
          <w:tcPr>
            <w:tcW w:w="412" w:type="pct"/>
            <w:tcBorders>
              <w:right w:val="single" w:color="auto" w:sz="6" w:space="0"/>
            </w:tcBorders>
            <w:vAlign w:val="center"/>
          </w:tcPr>
          <w:p w14:paraId="630C8CF6">
            <w:pPr>
              <w:spacing w:line="288" w:lineRule="auto"/>
              <w:jc w:val="center"/>
              <w:rPr>
                <w:rFonts w:ascii="宋体" w:hAnsi="宋体"/>
                <w:szCs w:val="21"/>
              </w:rPr>
            </w:pPr>
          </w:p>
        </w:tc>
      </w:tr>
      <w:tr w14:paraId="75042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2" w:type="pct"/>
            <w:vAlign w:val="center"/>
          </w:tcPr>
          <w:p w14:paraId="35D47CB5">
            <w:pPr>
              <w:spacing w:line="288" w:lineRule="auto"/>
              <w:jc w:val="center"/>
              <w:rPr>
                <w:rFonts w:ascii="宋体" w:hAnsi="宋体"/>
                <w:szCs w:val="21"/>
              </w:rPr>
            </w:pPr>
          </w:p>
        </w:tc>
        <w:tc>
          <w:tcPr>
            <w:tcW w:w="412" w:type="pct"/>
            <w:vAlign w:val="center"/>
          </w:tcPr>
          <w:p w14:paraId="4EA8DA71">
            <w:pPr>
              <w:spacing w:line="288" w:lineRule="auto"/>
              <w:jc w:val="center"/>
              <w:rPr>
                <w:rFonts w:ascii="宋体" w:hAnsi="宋体"/>
                <w:szCs w:val="21"/>
              </w:rPr>
            </w:pPr>
          </w:p>
        </w:tc>
        <w:tc>
          <w:tcPr>
            <w:tcW w:w="1092" w:type="pct"/>
            <w:vAlign w:val="center"/>
          </w:tcPr>
          <w:p w14:paraId="20D8B4E4">
            <w:pPr>
              <w:spacing w:line="288" w:lineRule="auto"/>
              <w:jc w:val="center"/>
              <w:rPr>
                <w:rFonts w:ascii="宋体" w:hAnsi="宋体"/>
                <w:szCs w:val="21"/>
              </w:rPr>
            </w:pPr>
          </w:p>
        </w:tc>
        <w:tc>
          <w:tcPr>
            <w:tcW w:w="412" w:type="pct"/>
            <w:vAlign w:val="center"/>
          </w:tcPr>
          <w:p w14:paraId="550AC6F9">
            <w:pPr>
              <w:spacing w:line="288" w:lineRule="auto"/>
              <w:jc w:val="center"/>
              <w:rPr>
                <w:rFonts w:ascii="宋体" w:hAnsi="宋体"/>
                <w:szCs w:val="21"/>
              </w:rPr>
            </w:pPr>
          </w:p>
        </w:tc>
        <w:tc>
          <w:tcPr>
            <w:tcW w:w="412" w:type="pct"/>
            <w:vAlign w:val="center"/>
          </w:tcPr>
          <w:p w14:paraId="031AD9E2">
            <w:pPr>
              <w:spacing w:line="288" w:lineRule="auto"/>
              <w:jc w:val="center"/>
              <w:rPr>
                <w:rFonts w:ascii="宋体" w:hAnsi="宋体"/>
                <w:szCs w:val="21"/>
              </w:rPr>
            </w:pPr>
          </w:p>
        </w:tc>
        <w:tc>
          <w:tcPr>
            <w:tcW w:w="683" w:type="pct"/>
            <w:vAlign w:val="center"/>
          </w:tcPr>
          <w:p w14:paraId="4397FB11">
            <w:pPr>
              <w:spacing w:line="288" w:lineRule="auto"/>
              <w:jc w:val="center"/>
              <w:rPr>
                <w:rFonts w:ascii="宋体" w:hAnsi="宋体"/>
                <w:szCs w:val="21"/>
              </w:rPr>
            </w:pPr>
          </w:p>
        </w:tc>
        <w:tc>
          <w:tcPr>
            <w:tcW w:w="480" w:type="pct"/>
            <w:vAlign w:val="center"/>
          </w:tcPr>
          <w:p w14:paraId="33E19BD2">
            <w:pPr>
              <w:spacing w:line="288" w:lineRule="auto"/>
              <w:jc w:val="center"/>
              <w:rPr>
                <w:rFonts w:ascii="宋体" w:hAnsi="宋体"/>
                <w:szCs w:val="21"/>
              </w:rPr>
            </w:pPr>
          </w:p>
        </w:tc>
        <w:tc>
          <w:tcPr>
            <w:tcW w:w="683" w:type="pct"/>
            <w:vAlign w:val="center"/>
          </w:tcPr>
          <w:p w14:paraId="471F4138">
            <w:pPr>
              <w:spacing w:line="288" w:lineRule="auto"/>
              <w:jc w:val="center"/>
              <w:rPr>
                <w:rFonts w:ascii="宋体" w:hAnsi="宋体"/>
                <w:szCs w:val="21"/>
              </w:rPr>
            </w:pPr>
          </w:p>
        </w:tc>
        <w:tc>
          <w:tcPr>
            <w:tcW w:w="412" w:type="pct"/>
            <w:tcBorders>
              <w:right w:val="single" w:color="auto" w:sz="6" w:space="0"/>
            </w:tcBorders>
            <w:vAlign w:val="center"/>
          </w:tcPr>
          <w:p w14:paraId="0D368706">
            <w:pPr>
              <w:spacing w:line="288" w:lineRule="auto"/>
              <w:jc w:val="center"/>
              <w:rPr>
                <w:rFonts w:ascii="宋体" w:hAnsi="宋体"/>
                <w:szCs w:val="21"/>
              </w:rPr>
            </w:pPr>
          </w:p>
        </w:tc>
      </w:tr>
      <w:tr w14:paraId="5AC69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2" w:type="pct"/>
            <w:vAlign w:val="center"/>
          </w:tcPr>
          <w:p w14:paraId="63F93ECC">
            <w:pPr>
              <w:spacing w:line="288" w:lineRule="auto"/>
              <w:jc w:val="center"/>
              <w:rPr>
                <w:rFonts w:ascii="宋体" w:hAnsi="宋体"/>
                <w:szCs w:val="21"/>
              </w:rPr>
            </w:pPr>
          </w:p>
        </w:tc>
        <w:tc>
          <w:tcPr>
            <w:tcW w:w="412" w:type="pct"/>
            <w:vAlign w:val="center"/>
          </w:tcPr>
          <w:p w14:paraId="65C7E246">
            <w:pPr>
              <w:spacing w:line="288" w:lineRule="auto"/>
              <w:jc w:val="center"/>
              <w:rPr>
                <w:rFonts w:ascii="宋体" w:hAnsi="宋体"/>
                <w:szCs w:val="21"/>
              </w:rPr>
            </w:pPr>
          </w:p>
        </w:tc>
        <w:tc>
          <w:tcPr>
            <w:tcW w:w="1092" w:type="pct"/>
            <w:vAlign w:val="center"/>
          </w:tcPr>
          <w:p w14:paraId="1A2B8324">
            <w:pPr>
              <w:spacing w:line="288" w:lineRule="auto"/>
              <w:jc w:val="center"/>
              <w:rPr>
                <w:rFonts w:ascii="宋体" w:hAnsi="宋体"/>
                <w:szCs w:val="21"/>
              </w:rPr>
            </w:pPr>
          </w:p>
        </w:tc>
        <w:tc>
          <w:tcPr>
            <w:tcW w:w="412" w:type="pct"/>
            <w:vAlign w:val="center"/>
          </w:tcPr>
          <w:p w14:paraId="0F92C8EB">
            <w:pPr>
              <w:spacing w:line="288" w:lineRule="auto"/>
              <w:jc w:val="center"/>
              <w:rPr>
                <w:rFonts w:ascii="宋体" w:hAnsi="宋体"/>
                <w:szCs w:val="21"/>
              </w:rPr>
            </w:pPr>
          </w:p>
        </w:tc>
        <w:tc>
          <w:tcPr>
            <w:tcW w:w="412" w:type="pct"/>
            <w:vAlign w:val="center"/>
          </w:tcPr>
          <w:p w14:paraId="21E4C979">
            <w:pPr>
              <w:spacing w:line="288" w:lineRule="auto"/>
              <w:jc w:val="center"/>
              <w:rPr>
                <w:rFonts w:ascii="宋体" w:hAnsi="宋体"/>
                <w:szCs w:val="21"/>
              </w:rPr>
            </w:pPr>
          </w:p>
        </w:tc>
        <w:tc>
          <w:tcPr>
            <w:tcW w:w="683" w:type="pct"/>
            <w:vAlign w:val="center"/>
          </w:tcPr>
          <w:p w14:paraId="0CB4A8CD">
            <w:pPr>
              <w:spacing w:line="288" w:lineRule="auto"/>
              <w:jc w:val="center"/>
              <w:rPr>
                <w:rFonts w:ascii="宋体" w:hAnsi="宋体"/>
                <w:szCs w:val="21"/>
              </w:rPr>
            </w:pPr>
          </w:p>
        </w:tc>
        <w:tc>
          <w:tcPr>
            <w:tcW w:w="480" w:type="pct"/>
            <w:vAlign w:val="center"/>
          </w:tcPr>
          <w:p w14:paraId="5266043F">
            <w:pPr>
              <w:spacing w:line="288" w:lineRule="auto"/>
              <w:jc w:val="center"/>
              <w:rPr>
                <w:rFonts w:ascii="宋体" w:hAnsi="宋体"/>
                <w:szCs w:val="21"/>
              </w:rPr>
            </w:pPr>
          </w:p>
        </w:tc>
        <w:tc>
          <w:tcPr>
            <w:tcW w:w="683" w:type="pct"/>
            <w:vAlign w:val="center"/>
          </w:tcPr>
          <w:p w14:paraId="2B2239D6">
            <w:pPr>
              <w:spacing w:line="288" w:lineRule="auto"/>
              <w:jc w:val="center"/>
              <w:rPr>
                <w:rFonts w:ascii="宋体" w:hAnsi="宋体"/>
                <w:szCs w:val="21"/>
              </w:rPr>
            </w:pPr>
          </w:p>
        </w:tc>
        <w:tc>
          <w:tcPr>
            <w:tcW w:w="412" w:type="pct"/>
            <w:tcBorders>
              <w:right w:val="single" w:color="auto" w:sz="6" w:space="0"/>
            </w:tcBorders>
            <w:vAlign w:val="center"/>
          </w:tcPr>
          <w:p w14:paraId="01970FBE">
            <w:pPr>
              <w:spacing w:line="288" w:lineRule="auto"/>
              <w:jc w:val="center"/>
              <w:rPr>
                <w:rFonts w:ascii="宋体" w:hAnsi="宋体"/>
                <w:szCs w:val="21"/>
              </w:rPr>
            </w:pPr>
          </w:p>
        </w:tc>
      </w:tr>
      <w:tr w14:paraId="4644D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2" w:type="pct"/>
            <w:vAlign w:val="center"/>
          </w:tcPr>
          <w:p w14:paraId="1368C979">
            <w:pPr>
              <w:spacing w:line="288" w:lineRule="auto"/>
              <w:jc w:val="center"/>
              <w:rPr>
                <w:rFonts w:ascii="宋体" w:hAnsi="宋体"/>
                <w:szCs w:val="21"/>
              </w:rPr>
            </w:pPr>
          </w:p>
        </w:tc>
        <w:tc>
          <w:tcPr>
            <w:tcW w:w="412" w:type="pct"/>
            <w:vAlign w:val="center"/>
          </w:tcPr>
          <w:p w14:paraId="72F99505">
            <w:pPr>
              <w:spacing w:line="288" w:lineRule="auto"/>
              <w:jc w:val="center"/>
              <w:rPr>
                <w:rFonts w:ascii="宋体" w:hAnsi="宋体"/>
                <w:szCs w:val="21"/>
              </w:rPr>
            </w:pPr>
          </w:p>
        </w:tc>
        <w:tc>
          <w:tcPr>
            <w:tcW w:w="1092" w:type="pct"/>
            <w:vAlign w:val="center"/>
          </w:tcPr>
          <w:p w14:paraId="5A2AE374">
            <w:pPr>
              <w:spacing w:line="288" w:lineRule="auto"/>
              <w:jc w:val="center"/>
              <w:rPr>
                <w:rFonts w:ascii="宋体" w:hAnsi="宋体"/>
                <w:szCs w:val="21"/>
              </w:rPr>
            </w:pPr>
          </w:p>
        </w:tc>
        <w:tc>
          <w:tcPr>
            <w:tcW w:w="412" w:type="pct"/>
            <w:vAlign w:val="center"/>
          </w:tcPr>
          <w:p w14:paraId="46BD919A">
            <w:pPr>
              <w:spacing w:line="288" w:lineRule="auto"/>
              <w:jc w:val="center"/>
              <w:rPr>
                <w:rFonts w:ascii="宋体" w:hAnsi="宋体"/>
                <w:szCs w:val="21"/>
              </w:rPr>
            </w:pPr>
          </w:p>
        </w:tc>
        <w:tc>
          <w:tcPr>
            <w:tcW w:w="412" w:type="pct"/>
            <w:vAlign w:val="center"/>
          </w:tcPr>
          <w:p w14:paraId="1254392F">
            <w:pPr>
              <w:spacing w:line="288" w:lineRule="auto"/>
              <w:jc w:val="center"/>
              <w:rPr>
                <w:rFonts w:ascii="宋体" w:hAnsi="宋体"/>
                <w:szCs w:val="21"/>
              </w:rPr>
            </w:pPr>
          </w:p>
        </w:tc>
        <w:tc>
          <w:tcPr>
            <w:tcW w:w="683" w:type="pct"/>
            <w:vAlign w:val="center"/>
          </w:tcPr>
          <w:p w14:paraId="66783A86">
            <w:pPr>
              <w:spacing w:line="288" w:lineRule="auto"/>
              <w:jc w:val="center"/>
              <w:rPr>
                <w:rFonts w:ascii="宋体" w:hAnsi="宋体"/>
                <w:szCs w:val="21"/>
              </w:rPr>
            </w:pPr>
          </w:p>
        </w:tc>
        <w:tc>
          <w:tcPr>
            <w:tcW w:w="480" w:type="pct"/>
            <w:vAlign w:val="center"/>
          </w:tcPr>
          <w:p w14:paraId="1EDB79E9">
            <w:pPr>
              <w:spacing w:line="288" w:lineRule="auto"/>
              <w:jc w:val="center"/>
              <w:rPr>
                <w:rFonts w:ascii="宋体" w:hAnsi="宋体"/>
                <w:szCs w:val="21"/>
              </w:rPr>
            </w:pPr>
          </w:p>
        </w:tc>
        <w:tc>
          <w:tcPr>
            <w:tcW w:w="683" w:type="pct"/>
            <w:vAlign w:val="center"/>
          </w:tcPr>
          <w:p w14:paraId="5FF82C75">
            <w:pPr>
              <w:spacing w:line="288" w:lineRule="auto"/>
              <w:jc w:val="center"/>
              <w:rPr>
                <w:rFonts w:ascii="宋体" w:hAnsi="宋体"/>
                <w:szCs w:val="21"/>
              </w:rPr>
            </w:pPr>
          </w:p>
        </w:tc>
        <w:tc>
          <w:tcPr>
            <w:tcW w:w="412" w:type="pct"/>
            <w:tcBorders>
              <w:right w:val="single" w:color="auto" w:sz="6" w:space="0"/>
            </w:tcBorders>
            <w:vAlign w:val="center"/>
          </w:tcPr>
          <w:p w14:paraId="73999091">
            <w:pPr>
              <w:spacing w:line="288" w:lineRule="auto"/>
              <w:jc w:val="center"/>
              <w:rPr>
                <w:rFonts w:ascii="宋体" w:hAnsi="宋体"/>
                <w:szCs w:val="21"/>
              </w:rPr>
            </w:pPr>
          </w:p>
        </w:tc>
      </w:tr>
      <w:tr w14:paraId="7E85C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2" w:type="pct"/>
            <w:vAlign w:val="center"/>
          </w:tcPr>
          <w:p w14:paraId="25CE4B0A">
            <w:pPr>
              <w:spacing w:line="288" w:lineRule="auto"/>
              <w:jc w:val="center"/>
              <w:rPr>
                <w:rFonts w:ascii="宋体" w:hAnsi="宋体"/>
                <w:szCs w:val="21"/>
              </w:rPr>
            </w:pPr>
          </w:p>
        </w:tc>
        <w:tc>
          <w:tcPr>
            <w:tcW w:w="412" w:type="pct"/>
            <w:vAlign w:val="center"/>
          </w:tcPr>
          <w:p w14:paraId="468A842D">
            <w:pPr>
              <w:spacing w:line="288" w:lineRule="auto"/>
              <w:jc w:val="center"/>
              <w:rPr>
                <w:rFonts w:ascii="宋体" w:hAnsi="宋体"/>
                <w:szCs w:val="21"/>
              </w:rPr>
            </w:pPr>
          </w:p>
        </w:tc>
        <w:tc>
          <w:tcPr>
            <w:tcW w:w="1092" w:type="pct"/>
            <w:vAlign w:val="center"/>
          </w:tcPr>
          <w:p w14:paraId="0731B3E4">
            <w:pPr>
              <w:spacing w:line="288" w:lineRule="auto"/>
              <w:jc w:val="center"/>
              <w:rPr>
                <w:rFonts w:ascii="宋体" w:hAnsi="宋体"/>
                <w:szCs w:val="21"/>
              </w:rPr>
            </w:pPr>
          </w:p>
        </w:tc>
        <w:tc>
          <w:tcPr>
            <w:tcW w:w="412" w:type="pct"/>
            <w:vAlign w:val="center"/>
          </w:tcPr>
          <w:p w14:paraId="5B2DCAA6">
            <w:pPr>
              <w:spacing w:line="288" w:lineRule="auto"/>
              <w:jc w:val="center"/>
              <w:rPr>
                <w:rFonts w:ascii="宋体" w:hAnsi="宋体"/>
                <w:szCs w:val="21"/>
              </w:rPr>
            </w:pPr>
          </w:p>
        </w:tc>
        <w:tc>
          <w:tcPr>
            <w:tcW w:w="412" w:type="pct"/>
            <w:vAlign w:val="center"/>
          </w:tcPr>
          <w:p w14:paraId="5DFE561F">
            <w:pPr>
              <w:spacing w:line="288" w:lineRule="auto"/>
              <w:jc w:val="center"/>
              <w:rPr>
                <w:rFonts w:ascii="宋体" w:hAnsi="宋体"/>
                <w:szCs w:val="21"/>
              </w:rPr>
            </w:pPr>
          </w:p>
        </w:tc>
        <w:tc>
          <w:tcPr>
            <w:tcW w:w="683" w:type="pct"/>
            <w:vAlign w:val="center"/>
          </w:tcPr>
          <w:p w14:paraId="6BA0654D">
            <w:pPr>
              <w:spacing w:line="288" w:lineRule="auto"/>
              <w:jc w:val="center"/>
              <w:rPr>
                <w:rFonts w:ascii="宋体" w:hAnsi="宋体"/>
                <w:szCs w:val="21"/>
              </w:rPr>
            </w:pPr>
          </w:p>
        </w:tc>
        <w:tc>
          <w:tcPr>
            <w:tcW w:w="480" w:type="pct"/>
            <w:vAlign w:val="center"/>
          </w:tcPr>
          <w:p w14:paraId="3F577FB2">
            <w:pPr>
              <w:spacing w:line="288" w:lineRule="auto"/>
              <w:jc w:val="center"/>
              <w:rPr>
                <w:rFonts w:ascii="宋体" w:hAnsi="宋体"/>
                <w:szCs w:val="21"/>
              </w:rPr>
            </w:pPr>
          </w:p>
        </w:tc>
        <w:tc>
          <w:tcPr>
            <w:tcW w:w="683" w:type="pct"/>
            <w:vAlign w:val="center"/>
          </w:tcPr>
          <w:p w14:paraId="79CBD368">
            <w:pPr>
              <w:spacing w:line="288" w:lineRule="auto"/>
              <w:jc w:val="center"/>
              <w:rPr>
                <w:rFonts w:ascii="宋体" w:hAnsi="宋体"/>
                <w:szCs w:val="21"/>
              </w:rPr>
            </w:pPr>
          </w:p>
        </w:tc>
        <w:tc>
          <w:tcPr>
            <w:tcW w:w="412" w:type="pct"/>
            <w:tcBorders>
              <w:right w:val="single" w:color="auto" w:sz="6" w:space="0"/>
            </w:tcBorders>
            <w:vAlign w:val="center"/>
          </w:tcPr>
          <w:p w14:paraId="191AD0FB">
            <w:pPr>
              <w:spacing w:line="288" w:lineRule="auto"/>
              <w:jc w:val="center"/>
              <w:rPr>
                <w:rFonts w:ascii="宋体" w:hAnsi="宋体"/>
                <w:szCs w:val="21"/>
              </w:rPr>
            </w:pPr>
          </w:p>
        </w:tc>
      </w:tr>
      <w:tr w14:paraId="0A0FD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12" w:type="pct"/>
            <w:vAlign w:val="center"/>
          </w:tcPr>
          <w:p w14:paraId="5E779320">
            <w:pPr>
              <w:spacing w:line="288" w:lineRule="auto"/>
              <w:jc w:val="center"/>
              <w:rPr>
                <w:rFonts w:ascii="宋体" w:hAnsi="宋体"/>
                <w:szCs w:val="21"/>
              </w:rPr>
            </w:pPr>
          </w:p>
        </w:tc>
        <w:tc>
          <w:tcPr>
            <w:tcW w:w="412" w:type="pct"/>
            <w:vAlign w:val="center"/>
          </w:tcPr>
          <w:p w14:paraId="6FAB64C8">
            <w:pPr>
              <w:spacing w:line="288" w:lineRule="auto"/>
              <w:jc w:val="center"/>
              <w:rPr>
                <w:rFonts w:ascii="宋体" w:hAnsi="宋体"/>
                <w:szCs w:val="21"/>
              </w:rPr>
            </w:pPr>
          </w:p>
        </w:tc>
        <w:tc>
          <w:tcPr>
            <w:tcW w:w="1092" w:type="pct"/>
            <w:vAlign w:val="center"/>
          </w:tcPr>
          <w:p w14:paraId="568E7367">
            <w:pPr>
              <w:spacing w:line="288" w:lineRule="auto"/>
              <w:jc w:val="center"/>
              <w:rPr>
                <w:rFonts w:ascii="宋体" w:hAnsi="宋体"/>
                <w:szCs w:val="21"/>
              </w:rPr>
            </w:pPr>
          </w:p>
        </w:tc>
        <w:tc>
          <w:tcPr>
            <w:tcW w:w="412" w:type="pct"/>
            <w:vAlign w:val="center"/>
          </w:tcPr>
          <w:p w14:paraId="4DF8DCA3">
            <w:pPr>
              <w:spacing w:line="288" w:lineRule="auto"/>
              <w:jc w:val="center"/>
              <w:rPr>
                <w:rFonts w:ascii="宋体" w:hAnsi="宋体"/>
                <w:szCs w:val="21"/>
              </w:rPr>
            </w:pPr>
          </w:p>
        </w:tc>
        <w:tc>
          <w:tcPr>
            <w:tcW w:w="412" w:type="pct"/>
            <w:vAlign w:val="center"/>
          </w:tcPr>
          <w:p w14:paraId="3B6023A7">
            <w:pPr>
              <w:spacing w:line="288" w:lineRule="auto"/>
              <w:jc w:val="center"/>
              <w:rPr>
                <w:rFonts w:ascii="宋体" w:hAnsi="宋体"/>
                <w:szCs w:val="21"/>
              </w:rPr>
            </w:pPr>
          </w:p>
        </w:tc>
        <w:tc>
          <w:tcPr>
            <w:tcW w:w="683" w:type="pct"/>
            <w:vAlign w:val="center"/>
          </w:tcPr>
          <w:p w14:paraId="5EB2F12B">
            <w:pPr>
              <w:spacing w:line="288" w:lineRule="auto"/>
              <w:jc w:val="center"/>
              <w:rPr>
                <w:rFonts w:ascii="宋体" w:hAnsi="宋体"/>
                <w:szCs w:val="21"/>
              </w:rPr>
            </w:pPr>
          </w:p>
        </w:tc>
        <w:tc>
          <w:tcPr>
            <w:tcW w:w="480" w:type="pct"/>
            <w:vAlign w:val="center"/>
          </w:tcPr>
          <w:p w14:paraId="0B0826AD">
            <w:pPr>
              <w:spacing w:line="288" w:lineRule="auto"/>
              <w:jc w:val="center"/>
              <w:rPr>
                <w:rFonts w:ascii="宋体" w:hAnsi="宋体"/>
                <w:szCs w:val="21"/>
              </w:rPr>
            </w:pPr>
          </w:p>
        </w:tc>
        <w:tc>
          <w:tcPr>
            <w:tcW w:w="683" w:type="pct"/>
            <w:vAlign w:val="center"/>
          </w:tcPr>
          <w:p w14:paraId="1B586D12">
            <w:pPr>
              <w:spacing w:line="288" w:lineRule="auto"/>
              <w:jc w:val="center"/>
              <w:rPr>
                <w:rFonts w:ascii="宋体" w:hAnsi="宋体"/>
                <w:szCs w:val="21"/>
              </w:rPr>
            </w:pPr>
          </w:p>
        </w:tc>
        <w:tc>
          <w:tcPr>
            <w:tcW w:w="412" w:type="pct"/>
            <w:tcBorders>
              <w:right w:val="single" w:color="auto" w:sz="6" w:space="0"/>
            </w:tcBorders>
            <w:vAlign w:val="center"/>
          </w:tcPr>
          <w:p w14:paraId="13519C72">
            <w:pPr>
              <w:spacing w:line="288" w:lineRule="auto"/>
              <w:jc w:val="center"/>
              <w:rPr>
                <w:rFonts w:ascii="宋体" w:hAnsi="宋体"/>
                <w:szCs w:val="21"/>
              </w:rPr>
            </w:pPr>
          </w:p>
        </w:tc>
      </w:tr>
      <w:tr w14:paraId="285B0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2" w:type="pct"/>
            <w:vAlign w:val="center"/>
          </w:tcPr>
          <w:p w14:paraId="18A7FB74">
            <w:pPr>
              <w:spacing w:line="288" w:lineRule="auto"/>
              <w:jc w:val="center"/>
              <w:rPr>
                <w:rFonts w:ascii="宋体" w:hAnsi="宋体"/>
                <w:szCs w:val="21"/>
              </w:rPr>
            </w:pPr>
          </w:p>
        </w:tc>
        <w:tc>
          <w:tcPr>
            <w:tcW w:w="412" w:type="pct"/>
            <w:vAlign w:val="center"/>
          </w:tcPr>
          <w:p w14:paraId="7FD0310D">
            <w:pPr>
              <w:spacing w:line="288" w:lineRule="auto"/>
              <w:jc w:val="center"/>
              <w:rPr>
                <w:rFonts w:ascii="宋体" w:hAnsi="宋体"/>
                <w:szCs w:val="21"/>
              </w:rPr>
            </w:pPr>
          </w:p>
        </w:tc>
        <w:tc>
          <w:tcPr>
            <w:tcW w:w="1092" w:type="pct"/>
            <w:vAlign w:val="center"/>
          </w:tcPr>
          <w:p w14:paraId="24028202">
            <w:pPr>
              <w:spacing w:line="288" w:lineRule="auto"/>
              <w:jc w:val="center"/>
              <w:rPr>
                <w:rFonts w:ascii="宋体" w:hAnsi="宋体"/>
                <w:szCs w:val="21"/>
              </w:rPr>
            </w:pPr>
          </w:p>
        </w:tc>
        <w:tc>
          <w:tcPr>
            <w:tcW w:w="412" w:type="pct"/>
            <w:vAlign w:val="center"/>
          </w:tcPr>
          <w:p w14:paraId="6AD78904">
            <w:pPr>
              <w:spacing w:line="288" w:lineRule="auto"/>
              <w:jc w:val="center"/>
              <w:rPr>
                <w:rFonts w:ascii="宋体" w:hAnsi="宋体"/>
                <w:szCs w:val="21"/>
              </w:rPr>
            </w:pPr>
          </w:p>
        </w:tc>
        <w:tc>
          <w:tcPr>
            <w:tcW w:w="412" w:type="pct"/>
            <w:vAlign w:val="center"/>
          </w:tcPr>
          <w:p w14:paraId="7A2AA0A7">
            <w:pPr>
              <w:spacing w:line="288" w:lineRule="auto"/>
              <w:jc w:val="center"/>
              <w:rPr>
                <w:rFonts w:ascii="宋体" w:hAnsi="宋体"/>
                <w:szCs w:val="21"/>
              </w:rPr>
            </w:pPr>
          </w:p>
        </w:tc>
        <w:tc>
          <w:tcPr>
            <w:tcW w:w="683" w:type="pct"/>
            <w:vAlign w:val="center"/>
          </w:tcPr>
          <w:p w14:paraId="7C8D8409">
            <w:pPr>
              <w:spacing w:line="288" w:lineRule="auto"/>
              <w:jc w:val="center"/>
              <w:rPr>
                <w:rFonts w:ascii="宋体" w:hAnsi="宋体"/>
                <w:szCs w:val="21"/>
              </w:rPr>
            </w:pPr>
          </w:p>
        </w:tc>
        <w:tc>
          <w:tcPr>
            <w:tcW w:w="480" w:type="pct"/>
            <w:vAlign w:val="center"/>
          </w:tcPr>
          <w:p w14:paraId="1CA1E287">
            <w:pPr>
              <w:spacing w:line="288" w:lineRule="auto"/>
              <w:jc w:val="center"/>
              <w:rPr>
                <w:rFonts w:ascii="宋体" w:hAnsi="宋体"/>
                <w:szCs w:val="21"/>
              </w:rPr>
            </w:pPr>
          </w:p>
        </w:tc>
        <w:tc>
          <w:tcPr>
            <w:tcW w:w="683" w:type="pct"/>
            <w:vAlign w:val="center"/>
          </w:tcPr>
          <w:p w14:paraId="3ABB7D65">
            <w:pPr>
              <w:spacing w:line="288" w:lineRule="auto"/>
              <w:jc w:val="center"/>
              <w:rPr>
                <w:rFonts w:ascii="宋体" w:hAnsi="宋体"/>
                <w:szCs w:val="21"/>
              </w:rPr>
            </w:pPr>
          </w:p>
        </w:tc>
        <w:tc>
          <w:tcPr>
            <w:tcW w:w="412" w:type="pct"/>
            <w:tcBorders>
              <w:right w:val="single" w:color="auto" w:sz="6" w:space="0"/>
            </w:tcBorders>
            <w:vAlign w:val="center"/>
          </w:tcPr>
          <w:p w14:paraId="1C65AF86">
            <w:pPr>
              <w:spacing w:line="288" w:lineRule="auto"/>
              <w:jc w:val="center"/>
              <w:rPr>
                <w:rFonts w:ascii="宋体" w:hAnsi="宋体"/>
                <w:szCs w:val="21"/>
              </w:rPr>
            </w:pPr>
          </w:p>
        </w:tc>
      </w:tr>
    </w:tbl>
    <w:p w14:paraId="0511D3DC">
      <w:pPr>
        <w:ind w:firstLine="178" w:firstLineChars="85"/>
        <w:rPr>
          <w:rFonts w:ascii="宋体" w:hAnsi="宋体"/>
          <w:szCs w:val="21"/>
        </w:rPr>
      </w:pPr>
    </w:p>
    <w:p w14:paraId="32FF82FA">
      <w:pPr>
        <w:ind w:firstLine="178" w:firstLineChars="85"/>
        <w:rPr>
          <w:rFonts w:ascii="宋体" w:hAnsi="宋体"/>
          <w:szCs w:val="21"/>
        </w:rPr>
      </w:pPr>
      <w:r>
        <w:rPr>
          <w:rFonts w:hint="eastAsia" w:ascii="宋体" w:hAnsi="宋体"/>
          <w:szCs w:val="21"/>
        </w:rPr>
        <w:t>附有关证明文件（复印件加盖公章）</w:t>
      </w:r>
    </w:p>
    <w:p w14:paraId="026BA586">
      <w:pPr>
        <w:ind w:firstLine="178" w:firstLineChars="85"/>
        <w:rPr>
          <w:rFonts w:ascii="宋体" w:hAnsi="宋体"/>
          <w:szCs w:val="21"/>
        </w:rPr>
      </w:pPr>
      <w:r>
        <w:rPr>
          <w:rFonts w:hint="eastAsia" w:ascii="宋体" w:hAnsi="宋体"/>
          <w:szCs w:val="21"/>
        </w:rPr>
        <w:t>投标人代表签字：</w:t>
      </w:r>
    </w:p>
    <w:p w14:paraId="41876DC1">
      <w:pPr>
        <w:ind w:firstLine="178" w:firstLineChars="85"/>
        <w:rPr>
          <w:rFonts w:ascii="宋体" w:hAnsi="宋体"/>
          <w:szCs w:val="21"/>
        </w:rPr>
      </w:pPr>
      <w:r>
        <w:rPr>
          <w:rFonts w:hint="eastAsia" w:ascii="宋体" w:hAnsi="宋体"/>
          <w:szCs w:val="21"/>
        </w:rPr>
        <w:t>投标人盖章：</w:t>
      </w:r>
    </w:p>
    <w:p w14:paraId="0603FA79">
      <w:pPr>
        <w:rPr>
          <w:rFonts w:ascii="宋体" w:hAnsi="宋体"/>
          <w:szCs w:val="21"/>
        </w:rPr>
      </w:pPr>
      <w:r>
        <w:rPr>
          <w:rFonts w:hint="eastAsia" w:ascii="宋体" w:hAnsi="宋体"/>
          <w:szCs w:val="21"/>
        </w:rPr>
        <w:t>注：</w:t>
      </w:r>
    </w:p>
    <w:p w14:paraId="631395CA">
      <w:pPr>
        <w:pStyle w:val="43"/>
        <w:numPr>
          <w:ilvl w:val="0"/>
          <w:numId w:val="12"/>
        </w:numPr>
        <w:ind w:firstLineChars="0"/>
        <w:rPr>
          <w:rFonts w:ascii="宋体" w:hAnsi="宋体"/>
          <w:szCs w:val="21"/>
        </w:rPr>
      </w:pPr>
      <w:r>
        <w:rPr>
          <w:rFonts w:hint="eastAsia" w:ascii="宋体" w:hAnsi="宋体"/>
          <w:szCs w:val="21"/>
        </w:rPr>
        <w:t>投标人可按项目的实际需要提供本表格。</w:t>
      </w:r>
    </w:p>
    <w:p w14:paraId="51481A7F">
      <w:pPr>
        <w:pStyle w:val="43"/>
        <w:numPr>
          <w:ilvl w:val="0"/>
          <w:numId w:val="12"/>
        </w:numPr>
        <w:ind w:firstLineChars="0"/>
        <w:rPr>
          <w:rFonts w:ascii="宋体" w:hAnsi="宋体" w:cs="Times New Roman"/>
          <w:szCs w:val="21"/>
        </w:rPr>
      </w:pPr>
      <w:r>
        <w:rPr>
          <w:rFonts w:hint="eastAsia" w:ascii="宋体" w:hAnsi="宋体"/>
          <w:szCs w:val="21"/>
        </w:rPr>
        <w:t>该表格为参考格式，投标人可按实际情况自行制订。</w:t>
      </w:r>
    </w:p>
    <w:p w14:paraId="3BBF6226">
      <w:pPr>
        <w:rPr>
          <w:rFonts w:ascii="宋体" w:hAnsi="宋体" w:cs="Times New Roman"/>
          <w:szCs w:val="21"/>
        </w:rPr>
      </w:pPr>
      <w:r>
        <w:rPr>
          <w:rFonts w:hint="eastAsia" w:ascii="宋体" w:hAnsi="宋体"/>
          <w:szCs w:val="21"/>
        </w:rPr>
        <w:t>3、投标人若未提供或未填写完整则视为完全响应采购文件的人员要求，因此对投标人投标产生负面影响的，投标人自行承担后果。</w:t>
      </w:r>
    </w:p>
    <w:p w14:paraId="2E73B063">
      <w:pPr>
        <w:pStyle w:val="43"/>
        <w:numPr>
          <w:ilvl w:val="0"/>
          <w:numId w:val="12"/>
        </w:numPr>
        <w:ind w:firstLineChars="0"/>
        <w:rPr>
          <w:rFonts w:ascii="宋体" w:hAnsi="宋体" w:cs="Times New Roman"/>
          <w:szCs w:val="21"/>
        </w:rPr>
      </w:pPr>
      <w:r>
        <w:rPr>
          <w:rFonts w:hint="eastAsia" w:ascii="宋体" w:hAnsi="宋体"/>
          <w:szCs w:val="21"/>
        </w:rPr>
        <w:br w:type="page"/>
      </w:r>
    </w:p>
    <w:p w14:paraId="38A9C456">
      <w:pPr>
        <w:pStyle w:val="8"/>
        <w:widowControl w:val="0"/>
        <w:overflowPunct w:val="0"/>
        <w:spacing w:line="240" w:lineRule="auto"/>
      </w:pPr>
      <w:bookmarkStart w:id="278" w:name="_Toc15446"/>
      <w:r>
        <w:rPr>
          <w:rFonts w:hint="eastAsia" w:ascii="宋体" w:hAnsi="宋体"/>
          <w:sz w:val="21"/>
          <w:szCs w:val="21"/>
        </w:rPr>
        <w:t>附件1</w:t>
      </w:r>
      <w:r>
        <w:rPr>
          <w:rFonts w:hint="eastAsia" w:ascii="宋体" w:hAnsi="宋体"/>
          <w:sz w:val="21"/>
          <w:szCs w:val="21"/>
          <w:lang w:val="en-US" w:eastAsia="zh-CN"/>
        </w:rPr>
        <w:t>8</w:t>
      </w:r>
      <w:r>
        <w:rPr>
          <w:rFonts w:hint="eastAsia" w:ascii="宋体" w:hAnsi="宋体"/>
          <w:sz w:val="21"/>
          <w:szCs w:val="21"/>
        </w:rPr>
        <w:t>.投标保证金汇入情况说明格式</w:t>
      </w:r>
      <w:bookmarkEnd w:id="278"/>
    </w:p>
    <w:p w14:paraId="05FAAB48"/>
    <w:p w14:paraId="7BCE8AAA">
      <w:pPr>
        <w:jc w:val="center"/>
        <w:rPr>
          <w:rFonts w:ascii="黑体" w:eastAsia="黑体"/>
          <w:sz w:val="28"/>
          <w:szCs w:val="28"/>
        </w:rPr>
      </w:pPr>
      <w:r>
        <w:rPr>
          <w:rFonts w:hint="eastAsia" w:ascii="黑体" w:eastAsia="黑体"/>
          <w:sz w:val="28"/>
          <w:szCs w:val="28"/>
        </w:rPr>
        <w:t>投标保证金汇入情况说明</w:t>
      </w:r>
    </w:p>
    <w:p w14:paraId="5FF2EBDC">
      <w:pPr>
        <w:spacing w:line="480" w:lineRule="auto"/>
        <w:rPr>
          <w:rFonts w:ascii="宋体" w:hAnsi="宋体"/>
          <w:szCs w:val="21"/>
        </w:rPr>
      </w:pPr>
      <w:r>
        <w:rPr>
          <w:rFonts w:hint="eastAsia" w:ascii="宋体" w:hAnsi="宋体"/>
          <w:szCs w:val="21"/>
        </w:rPr>
        <w:t>致：</w:t>
      </w:r>
      <w:r>
        <w:rPr>
          <w:rFonts w:hint="eastAsia" w:ascii="宋体" w:eastAsia="宋体"/>
          <w:sz w:val="21"/>
          <w:szCs w:val="21"/>
        </w:rPr>
        <w:t>广州宏达工程顾问集团有限公司</w:t>
      </w:r>
      <w:r>
        <w:rPr>
          <w:rFonts w:hint="eastAsia" w:ascii="宋体" w:hAnsi="宋体"/>
          <w:szCs w:val="21"/>
        </w:rPr>
        <w:t>：</w:t>
      </w:r>
    </w:p>
    <w:p w14:paraId="1419E010">
      <w:pPr>
        <w:spacing w:line="480" w:lineRule="auto"/>
        <w:ind w:firstLine="420" w:firstLineChars="200"/>
        <w:rPr>
          <w:rFonts w:ascii="宋体" w:hAnsi="宋体"/>
          <w:szCs w:val="21"/>
        </w:rPr>
      </w:pPr>
      <w:r>
        <w:rPr>
          <w:rFonts w:hint="eastAsia" w:ascii="宋体" w:hAnsi="宋体"/>
          <w:szCs w:val="21"/>
        </w:rPr>
        <w:t>本单位已按</w:t>
      </w:r>
      <w:r>
        <w:rPr>
          <w:rFonts w:hint="eastAsia" w:ascii="宋体" w:hAnsi="宋体"/>
          <w:szCs w:val="21"/>
          <w:u w:val="single"/>
        </w:rPr>
        <w:t xml:space="preserve">         </w:t>
      </w:r>
      <w:r>
        <w:rPr>
          <w:rFonts w:hint="eastAsia" w:ascii="宋体" w:hAnsi="宋体"/>
          <w:szCs w:val="21"/>
        </w:rPr>
        <w:t>项目（采购项目编号：）的采购文件要求，于年月日前以</w:t>
      </w:r>
      <w:r>
        <w:rPr>
          <w:rFonts w:hint="eastAsia" w:ascii="宋体" w:hAnsi="宋体"/>
          <w:szCs w:val="21"/>
          <w:u w:val="single"/>
        </w:rPr>
        <w:t xml:space="preserve">           （付款形式）</w:t>
      </w:r>
      <w:r>
        <w:rPr>
          <w:rFonts w:hint="eastAsia" w:ascii="宋体" w:hAnsi="宋体"/>
          <w:szCs w:val="21"/>
        </w:rPr>
        <w:t>方式汇入指定</w:t>
      </w:r>
      <w:r>
        <w:rPr>
          <w:rFonts w:hint="eastAsia" w:ascii="宋体" w:hAnsi="宋体"/>
          <w:szCs w:val="21"/>
          <w:lang w:eastAsia="zh-CN"/>
        </w:rPr>
        <w:t>账</w:t>
      </w:r>
      <w:r>
        <w:rPr>
          <w:rFonts w:hint="eastAsia" w:ascii="宋体" w:hAnsi="宋体"/>
          <w:szCs w:val="21"/>
        </w:rPr>
        <w:t>户（</w:t>
      </w:r>
      <w:r>
        <w:rPr>
          <w:rFonts w:hint="eastAsia" w:ascii="宋体" w:hAnsi="宋体"/>
          <w:szCs w:val="21"/>
          <w:lang w:eastAsia="zh-CN"/>
        </w:rPr>
        <w:t>账</w:t>
      </w:r>
      <w:r>
        <w:rPr>
          <w:rFonts w:hint="eastAsia" w:ascii="宋体" w:hAnsi="宋体"/>
          <w:szCs w:val="21"/>
        </w:rPr>
        <w:t>户名称：</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账</w:t>
      </w:r>
      <w:r>
        <w:rPr>
          <w:rFonts w:hint="eastAsia" w:ascii="宋体" w:hAnsi="宋体"/>
          <w:szCs w:val="21"/>
        </w:rPr>
        <w:t>号：</w:t>
      </w:r>
      <w:r>
        <w:rPr>
          <w:rFonts w:hint="eastAsia" w:ascii="宋体" w:hAnsi="宋体"/>
          <w:szCs w:val="21"/>
          <w:u w:val="single"/>
        </w:rPr>
        <w:t xml:space="preserve">       </w:t>
      </w:r>
      <w:r>
        <w:rPr>
          <w:rFonts w:hint="eastAsia" w:ascii="宋体" w:hAnsi="宋体"/>
          <w:szCs w:val="21"/>
        </w:rPr>
        <w:t>,开户银行：</w:t>
      </w:r>
      <w:r>
        <w:rPr>
          <w:rFonts w:hint="eastAsia" w:ascii="宋体" w:hAnsi="宋体"/>
          <w:szCs w:val="21"/>
          <w:u w:val="single"/>
        </w:rPr>
        <w:t xml:space="preserve">       </w:t>
      </w:r>
      <w:r>
        <w:rPr>
          <w:rFonts w:hint="eastAsia" w:ascii="宋体" w:hAnsi="宋体"/>
          <w:szCs w:val="21"/>
        </w:rPr>
        <w:t>）。</w:t>
      </w:r>
    </w:p>
    <w:p w14:paraId="51F58568">
      <w:pPr>
        <w:spacing w:line="480" w:lineRule="auto"/>
        <w:ind w:firstLine="420" w:firstLineChars="200"/>
        <w:rPr>
          <w:rFonts w:ascii="宋体" w:hAnsi="宋体"/>
          <w:szCs w:val="21"/>
        </w:rPr>
      </w:pPr>
      <w:r>
        <w:rPr>
          <w:rFonts w:hint="eastAsia" w:ascii="宋体" w:hAnsi="宋体"/>
          <w:szCs w:val="21"/>
        </w:rPr>
        <w:t>本单位投标保证金的汇款情况：（详见附件－投标保证金进</w:t>
      </w:r>
      <w:r>
        <w:rPr>
          <w:rFonts w:hint="eastAsia" w:ascii="宋体" w:hAnsi="宋体"/>
          <w:szCs w:val="21"/>
          <w:lang w:eastAsia="zh-CN"/>
        </w:rPr>
        <w:t>账</w:t>
      </w:r>
      <w:r>
        <w:rPr>
          <w:rFonts w:hint="eastAsia" w:ascii="宋体" w:hAnsi="宋体"/>
          <w:szCs w:val="21"/>
        </w:rPr>
        <w:t>单）</w:t>
      </w:r>
    </w:p>
    <w:p w14:paraId="5D1395AF">
      <w:pPr>
        <w:spacing w:line="480" w:lineRule="auto"/>
        <w:ind w:firstLine="420" w:firstLineChars="200"/>
        <w:rPr>
          <w:rFonts w:ascii="宋体" w:hAnsi="宋体"/>
          <w:szCs w:val="21"/>
        </w:rPr>
      </w:pPr>
      <w:r>
        <w:rPr>
          <w:rFonts w:hint="eastAsia" w:ascii="宋体" w:hAnsi="宋体"/>
          <w:szCs w:val="21"/>
        </w:rPr>
        <w:t>汇出时间：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164B9D97">
      <w:pPr>
        <w:spacing w:line="480" w:lineRule="auto"/>
        <w:ind w:firstLine="420" w:firstLineChars="200"/>
        <w:rPr>
          <w:rFonts w:ascii="宋体" w:hAnsi="宋体"/>
          <w:szCs w:val="21"/>
        </w:rPr>
      </w:pPr>
      <w:r>
        <w:rPr>
          <w:rFonts w:hint="eastAsia" w:ascii="宋体" w:hAnsi="宋体"/>
          <w:szCs w:val="21"/>
        </w:rPr>
        <w:t>汇款金额：（大写）人民币</w:t>
      </w:r>
      <w:r>
        <w:rPr>
          <w:rFonts w:hint="eastAsia" w:ascii="宋体" w:hAnsi="宋体"/>
          <w:szCs w:val="21"/>
          <w:u w:val="single"/>
        </w:rPr>
        <w:t xml:space="preserve">       </w:t>
      </w:r>
      <w:r>
        <w:rPr>
          <w:rFonts w:hint="eastAsia" w:ascii="宋体" w:hAnsi="宋体"/>
          <w:szCs w:val="21"/>
        </w:rPr>
        <w:t>元（小写：￥</w:t>
      </w:r>
      <w:r>
        <w:rPr>
          <w:rFonts w:hint="eastAsia" w:ascii="宋体" w:hAnsi="宋体"/>
          <w:szCs w:val="21"/>
          <w:u w:val="single"/>
        </w:rPr>
        <w:t xml:space="preserve">       </w:t>
      </w:r>
      <w:r>
        <w:rPr>
          <w:rFonts w:hint="eastAsia" w:ascii="宋体" w:hAnsi="宋体"/>
          <w:szCs w:val="21"/>
        </w:rPr>
        <w:t>元），</w:t>
      </w:r>
    </w:p>
    <w:p w14:paraId="14C8D55C">
      <w:pPr>
        <w:spacing w:line="480" w:lineRule="auto"/>
        <w:ind w:firstLine="420" w:firstLineChars="200"/>
        <w:rPr>
          <w:rFonts w:ascii="宋体" w:hAnsi="宋体"/>
          <w:szCs w:val="21"/>
        </w:rPr>
      </w:pPr>
      <w:r>
        <w:rPr>
          <w:rFonts w:hint="eastAsia" w:ascii="宋体" w:hAnsi="宋体"/>
          <w:szCs w:val="21"/>
        </w:rPr>
        <w:t>汇款</w:t>
      </w:r>
      <w:r>
        <w:rPr>
          <w:rFonts w:hint="eastAsia" w:ascii="宋体" w:hAnsi="宋体"/>
          <w:szCs w:val="21"/>
          <w:lang w:eastAsia="zh-CN"/>
        </w:rPr>
        <w:t>账</w:t>
      </w:r>
      <w:r>
        <w:rPr>
          <w:rFonts w:hint="eastAsia" w:ascii="宋体" w:hAnsi="宋体"/>
          <w:szCs w:val="21"/>
        </w:rPr>
        <w:t>户名称：</w:t>
      </w:r>
      <w:r>
        <w:rPr>
          <w:rFonts w:hint="eastAsia" w:ascii="宋体" w:hAnsi="宋体"/>
          <w:szCs w:val="21"/>
          <w:u w:val="single"/>
        </w:rPr>
        <w:t xml:space="preserve">  （必须是投标时使用的</w:t>
      </w:r>
      <w:r>
        <w:rPr>
          <w:rFonts w:hint="eastAsia" w:ascii="宋体" w:hAnsi="宋体"/>
          <w:szCs w:val="21"/>
          <w:u w:val="single"/>
          <w:lang w:eastAsia="zh-CN"/>
        </w:rPr>
        <w:t>账</w:t>
      </w:r>
      <w:r>
        <w:rPr>
          <w:rFonts w:hint="eastAsia" w:ascii="宋体" w:hAnsi="宋体"/>
          <w:szCs w:val="21"/>
          <w:u w:val="single"/>
        </w:rPr>
        <w:t xml:space="preserve">户名）   </w:t>
      </w:r>
    </w:p>
    <w:p w14:paraId="2971B98B">
      <w:pPr>
        <w:spacing w:line="480" w:lineRule="auto"/>
        <w:ind w:firstLine="420" w:firstLineChars="200"/>
        <w:rPr>
          <w:rFonts w:ascii="宋体" w:hAnsi="宋体"/>
          <w:szCs w:val="21"/>
        </w:rPr>
      </w:pPr>
      <w:r>
        <w:rPr>
          <w:rFonts w:hint="eastAsia" w:ascii="宋体" w:hAnsi="宋体"/>
          <w:szCs w:val="21"/>
          <w:lang w:eastAsia="zh-CN"/>
        </w:rPr>
        <w:t>账</w:t>
      </w:r>
      <w:r>
        <w:rPr>
          <w:rFonts w:hint="eastAsia" w:ascii="宋体" w:hAnsi="宋体"/>
          <w:szCs w:val="21"/>
        </w:rPr>
        <w:t xml:space="preserve">        号：</w:t>
      </w:r>
      <w:r>
        <w:rPr>
          <w:rFonts w:hint="eastAsia" w:ascii="宋体" w:hAnsi="宋体"/>
          <w:szCs w:val="21"/>
          <w:u w:val="single"/>
        </w:rPr>
        <w:t xml:space="preserve">  （必须是投标时使用的</w:t>
      </w:r>
      <w:r>
        <w:rPr>
          <w:rFonts w:hint="eastAsia" w:ascii="宋体" w:hAnsi="宋体"/>
          <w:szCs w:val="21"/>
          <w:u w:val="single"/>
          <w:lang w:eastAsia="zh-CN"/>
        </w:rPr>
        <w:t>账</w:t>
      </w:r>
      <w:r>
        <w:rPr>
          <w:rFonts w:hint="eastAsia" w:ascii="宋体" w:hAnsi="宋体"/>
          <w:szCs w:val="21"/>
          <w:u w:val="single"/>
        </w:rPr>
        <w:t xml:space="preserve">号）        </w:t>
      </w:r>
    </w:p>
    <w:p w14:paraId="5E5D1945">
      <w:pPr>
        <w:spacing w:line="480" w:lineRule="auto"/>
        <w:ind w:firstLine="420" w:firstLineChars="200"/>
        <w:rPr>
          <w:rFonts w:ascii="宋体" w:hAnsi="宋体"/>
          <w:szCs w:val="21"/>
          <w:u w:val="single"/>
        </w:rPr>
      </w:pPr>
      <w:r>
        <w:rPr>
          <w:rFonts w:hint="eastAsia" w:ascii="宋体" w:hAnsi="宋体"/>
          <w:szCs w:val="21"/>
        </w:rPr>
        <w:t>开 户  银 行：</w:t>
      </w:r>
      <w:r>
        <w:rPr>
          <w:rFonts w:hint="eastAsia" w:ascii="宋体" w:hAnsi="宋体"/>
          <w:szCs w:val="21"/>
          <w:u w:val="single"/>
        </w:rPr>
        <w:t xml:space="preserve">  （  XX 银行 XX 分行 XX 支行   ）</w:t>
      </w:r>
    </w:p>
    <w:p w14:paraId="0CD08086">
      <w:pPr>
        <w:spacing w:line="480" w:lineRule="auto"/>
        <w:ind w:firstLine="420" w:firstLineChars="200"/>
        <w:rPr>
          <w:rFonts w:ascii="宋体" w:hAnsi="宋体"/>
          <w:szCs w:val="21"/>
        </w:rPr>
      </w:pPr>
      <w:r>
        <w:rPr>
          <w:rFonts w:hint="eastAsia" w:ascii="宋体" w:hAnsi="宋体"/>
          <w:szCs w:val="21"/>
        </w:rPr>
        <w:t>本单位谨承诺上述资料是正确、真实的，如因上述证明与事实不符导致的一切损失，本单位保证承担赔偿等一切法律责任。</w:t>
      </w:r>
    </w:p>
    <w:p w14:paraId="526F677D">
      <w:pPr>
        <w:spacing w:line="480" w:lineRule="auto"/>
        <w:ind w:firstLine="420" w:firstLineChars="200"/>
        <w:rPr>
          <w:rFonts w:ascii="宋体" w:hAnsi="宋体"/>
          <w:szCs w:val="21"/>
        </w:rPr>
      </w:pPr>
      <w:r>
        <w:rPr>
          <w:rFonts w:hint="eastAsia" w:ascii="宋体" w:hAnsi="宋体"/>
          <w:szCs w:val="21"/>
        </w:rPr>
        <w:t>投标保证金退回时，请按上述资料退回。</w:t>
      </w:r>
    </w:p>
    <w:p w14:paraId="1BE4F623">
      <w:pPr>
        <w:spacing w:line="480" w:lineRule="auto"/>
        <w:ind w:right="844" w:rightChars="402"/>
        <w:jc w:val="right"/>
        <w:rPr>
          <w:rFonts w:ascii="宋体" w:hAnsi="宋体"/>
          <w:szCs w:val="21"/>
        </w:rPr>
      </w:pPr>
      <w:r>
        <w:rPr>
          <w:rFonts w:hint="eastAsia" w:ascii="宋体" w:hAnsi="宋体"/>
          <w:szCs w:val="21"/>
        </w:rPr>
        <w:t>（单位公章）</w:t>
      </w:r>
    </w:p>
    <w:p w14:paraId="6E66C868">
      <w:pPr>
        <w:spacing w:line="480" w:lineRule="auto"/>
        <w:ind w:right="628" w:rightChars="299"/>
        <w:jc w:val="right"/>
        <w:rPr>
          <w:rFonts w:ascii="宋体" w:hAnsi="宋体"/>
          <w:szCs w:val="21"/>
        </w:rPr>
      </w:pPr>
      <w:r>
        <w:rPr>
          <w:rFonts w:hint="eastAsia" w:ascii="宋体" w:hAnsi="宋体"/>
          <w:szCs w:val="21"/>
        </w:rPr>
        <w:t>年 月 日</w:t>
      </w:r>
    </w:p>
    <w:p w14:paraId="18C516F9">
      <w:pPr>
        <w:spacing w:line="480" w:lineRule="auto"/>
        <w:rPr>
          <w:rFonts w:ascii="宋体" w:hAnsi="宋体"/>
          <w:szCs w:val="21"/>
        </w:rPr>
      </w:pPr>
      <w:r>
        <w:rPr>
          <w:rFonts w:hint="eastAsia" w:ascii="宋体" w:hAnsi="宋体"/>
          <w:szCs w:val="21"/>
        </w:rPr>
        <w:t>单位名称：</w:t>
      </w:r>
    </w:p>
    <w:p w14:paraId="5CBDF2E9">
      <w:pPr>
        <w:spacing w:line="480" w:lineRule="auto"/>
        <w:rPr>
          <w:rFonts w:ascii="宋体" w:hAnsi="宋体"/>
          <w:szCs w:val="21"/>
        </w:rPr>
      </w:pPr>
      <w:r>
        <w:rPr>
          <w:rFonts w:hint="eastAsia" w:ascii="宋体" w:hAnsi="宋体"/>
          <w:szCs w:val="21"/>
        </w:rPr>
        <w:t>单位地址：</w:t>
      </w:r>
    </w:p>
    <w:p w14:paraId="218EF80F">
      <w:pPr>
        <w:spacing w:line="480" w:lineRule="auto"/>
        <w:rPr>
          <w:rFonts w:ascii="宋体" w:hAnsi="宋体"/>
          <w:szCs w:val="21"/>
        </w:rPr>
      </w:pPr>
      <w:r>
        <w:rPr>
          <w:rFonts w:hint="eastAsia" w:ascii="宋体" w:hAnsi="宋体"/>
          <w:szCs w:val="21"/>
        </w:rPr>
        <w:t>联系人：</w:t>
      </w:r>
    </w:p>
    <w:p w14:paraId="34BC944F">
      <w:pPr>
        <w:spacing w:line="480" w:lineRule="auto"/>
        <w:rPr>
          <w:rFonts w:ascii="宋体" w:hAnsi="宋体"/>
          <w:szCs w:val="21"/>
        </w:rPr>
      </w:pPr>
      <w:r>
        <w:rPr>
          <w:rFonts w:hint="eastAsia" w:ascii="宋体" w:hAnsi="宋体"/>
          <w:szCs w:val="21"/>
        </w:rPr>
        <w:t>单位电话： 联系人手机：</w:t>
      </w:r>
    </w:p>
    <w:p w14:paraId="2071227E">
      <w:pPr>
        <w:rPr>
          <w:rFonts w:ascii="宋体" w:hAnsi="宋体"/>
          <w:szCs w:val="21"/>
        </w:rPr>
      </w:pPr>
    </w:p>
    <w:p w14:paraId="68088943">
      <w:pPr>
        <w:spacing w:line="380" w:lineRule="exact"/>
        <w:ind w:firstLine="420" w:firstLineChars="200"/>
        <w:rPr>
          <w:rFonts w:ascii="宋体" w:hAnsi="宋体"/>
          <w:szCs w:val="21"/>
        </w:rPr>
      </w:pPr>
      <w:r>
        <w:rPr>
          <w:rFonts w:hint="eastAsia" w:ascii="宋体" w:hAnsi="宋体"/>
          <w:szCs w:val="21"/>
        </w:rPr>
        <w:br w:type="page"/>
      </w:r>
    </w:p>
    <w:p w14:paraId="33EBA6F4">
      <w:pPr>
        <w:spacing w:line="380" w:lineRule="exact"/>
        <w:ind w:firstLine="420" w:firstLineChars="200"/>
        <w:rPr>
          <w:rFonts w:ascii="宋体" w:hAnsi="宋体"/>
          <w:szCs w:val="21"/>
        </w:rPr>
      </w:pPr>
      <w:r>
        <w:rPr>
          <w:rFonts w:hint="eastAsia" w:ascii="宋体" w:hAnsi="宋体"/>
          <w:szCs w:val="21"/>
        </w:rPr>
        <w:t>附：我方投标保证金汇款凭证</w:t>
      </w:r>
    </w:p>
    <w:tbl>
      <w:tblPr>
        <w:tblStyle w:val="31"/>
        <w:tblW w:w="895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3"/>
      </w:tblGrid>
      <w:tr w14:paraId="44EB1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9" w:hRule="atLeast"/>
        </w:trPr>
        <w:tc>
          <w:tcPr>
            <w:tcW w:w="8953" w:type="dxa"/>
            <w:vAlign w:val="center"/>
          </w:tcPr>
          <w:p w14:paraId="2EDE0AE1">
            <w:pPr>
              <w:tabs>
                <w:tab w:val="left" w:pos="3885"/>
              </w:tabs>
              <w:jc w:val="center"/>
              <w:rPr>
                <w:rFonts w:ascii="宋体" w:hAnsi="宋体"/>
                <w:szCs w:val="21"/>
              </w:rPr>
            </w:pPr>
            <w:r>
              <w:rPr>
                <w:rFonts w:hint="eastAsia" w:ascii="宋体" w:hAnsi="宋体"/>
                <w:szCs w:val="21"/>
              </w:rPr>
              <w:t>（粘贴汇款单或转账</w:t>
            </w:r>
            <w:r>
              <w:rPr>
                <w:rFonts w:ascii="宋体" w:hAnsi="宋体"/>
                <w:szCs w:val="21"/>
              </w:rPr>
              <w:t>凭证</w:t>
            </w:r>
            <w:r>
              <w:rPr>
                <w:rFonts w:hint="eastAsia" w:ascii="宋体" w:hAnsi="宋体"/>
                <w:szCs w:val="21"/>
              </w:rPr>
              <w:t>复印件，并在骑缝上加盖投标人公章，或是直接把转账</w:t>
            </w:r>
            <w:r>
              <w:rPr>
                <w:rFonts w:ascii="宋体" w:hAnsi="宋体"/>
                <w:szCs w:val="21"/>
              </w:rPr>
              <w:t>凭证</w:t>
            </w:r>
            <w:r>
              <w:rPr>
                <w:rFonts w:hint="eastAsia" w:ascii="宋体" w:hAnsi="宋体"/>
                <w:szCs w:val="21"/>
              </w:rPr>
              <w:t>复印到此张纸上）</w:t>
            </w:r>
          </w:p>
        </w:tc>
      </w:tr>
    </w:tbl>
    <w:p w14:paraId="5C264584">
      <w:pPr>
        <w:spacing w:line="480" w:lineRule="auto"/>
        <w:ind w:firstLine="420" w:firstLineChars="200"/>
        <w:rPr>
          <w:rFonts w:ascii="宋体" w:hAnsi="宋体"/>
          <w:szCs w:val="21"/>
        </w:rPr>
      </w:pPr>
      <w:r>
        <w:rPr>
          <w:rFonts w:hint="eastAsia" w:ascii="宋体" w:hAnsi="宋体"/>
          <w:szCs w:val="21"/>
        </w:rPr>
        <w:t>注：此表既要装订在投标文件中，又要按投标人须知的规定与开标一览表、投标保证金汇款底单复印件及授权委托书一同密封装入唱标信封，唱标信封单独提交。</w:t>
      </w:r>
    </w:p>
    <w:p w14:paraId="2EB3ADDC">
      <w:pPr>
        <w:rPr>
          <w:rFonts w:ascii="宋体" w:hAnsi="宋体"/>
          <w:szCs w:val="21"/>
        </w:rPr>
      </w:pPr>
    </w:p>
    <w:p w14:paraId="7336370C">
      <w:pPr>
        <w:rPr>
          <w:rFonts w:ascii="宋体" w:hAnsi="宋体"/>
          <w:szCs w:val="21"/>
        </w:rPr>
      </w:pPr>
    </w:p>
    <w:p w14:paraId="2D306C91">
      <w:pPr>
        <w:rPr>
          <w:rFonts w:ascii="宋体" w:hAnsi="宋体"/>
          <w:szCs w:val="21"/>
        </w:rPr>
      </w:pPr>
    </w:p>
    <w:p w14:paraId="2900A05E">
      <w:pPr>
        <w:rPr>
          <w:rFonts w:ascii="宋体" w:hAnsi="宋体"/>
          <w:szCs w:val="21"/>
        </w:rPr>
      </w:pPr>
    </w:p>
    <w:p w14:paraId="2AD16F7B">
      <w:pPr>
        <w:rPr>
          <w:rFonts w:ascii="宋体" w:hAnsi="宋体"/>
          <w:szCs w:val="21"/>
        </w:rPr>
      </w:pPr>
    </w:p>
    <w:p w14:paraId="4816B0F8">
      <w:pPr>
        <w:rPr>
          <w:rFonts w:ascii="宋体" w:hAnsi="宋体"/>
          <w:szCs w:val="21"/>
        </w:rPr>
      </w:pPr>
    </w:p>
    <w:p w14:paraId="48B1CF47">
      <w:pPr>
        <w:rPr>
          <w:rFonts w:ascii="宋体" w:hAnsi="宋体"/>
          <w:szCs w:val="21"/>
        </w:rPr>
      </w:pPr>
    </w:p>
    <w:p w14:paraId="487E9369">
      <w:pPr>
        <w:rPr>
          <w:rFonts w:ascii="宋体" w:hAnsi="宋体"/>
          <w:szCs w:val="21"/>
        </w:rPr>
      </w:pPr>
    </w:p>
    <w:p w14:paraId="31CD76D5">
      <w:pPr>
        <w:rPr>
          <w:rFonts w:ascii="宋体" w:hAnsi="宋体"/>
          <w:szCs w:val="21"/>
        </w:rPr>
      </w:pPr>
    </w:p>
    <w:p w14:paraId="15C64B87">
      <w:pPr>
        <w:rPr>
          <w:rFonts w:ascii="宋体" w:hAnsi="宋体"/>
          <w:szCs w:val="21"/>
        </w:rPr>
      </w:pPr>
    </w:p>
    <w:p w14:paraId="1AAE8DC8">
      <w:pPr>
        <w:rPr>
          <w:rFonts w:ascii="宋体" w:hAnsi="宋体"/>
          <w:szCs w:val="21"/>
        </w:rPr>
      </w:pPr>
    </w:p>
    <w:p w14:paraId="20802208">
      <w:pPr>
        <w:rPr>
          <w:rFonts w:ascii="宋体" w:hAnsi="宋体"/>
          <w:szCs w:val="21"/>
        </w:rPr>
      </w:pPr>
    </w:p>
    <w:p w14:paraId="69472C74">
      <w:pPr>
        <w:rPr>
          <w:rFonts w:ascii="宋体" w:hAnsi="宋体"/>
          <w:szCs w:val="21"/>
        </w:rPr>
      </w:pPr>
    </w:p>
    <w:p w14:paraId="75B87E4C">
      <w:pPr>
        <w:rPr>
          <w:rFonts w:ascii="宋体" w:hAnsi="宋体"/>
          <w:szCs w:val="21"/>
        </w:rPr>
      </w:pPr>
    </w:p>
    <w:p w14:paraId="625AA757">
      <w:pPr>
        <w:rPr>
          <w:rFonts w:ascii="宋体" w:hAnsi="宋体"/>
          <w:szCs w:val="21"/>
        </w:rPr>
      </w:pPr>
    </w:p>
    <w:p w14:paraId="189076EB">
      <w:pPr>
        <w:rPr>
          <w:rFonts w:ascii="宋体" w:hAnsi="宋体"/>
          <w:szCs w:val="21"/>
        </w:rPr>
      </w:pPr>
    </w:p>
    <w:p w14:paraId="3B0A0F55">
      <w:pPr>
        <w:rPr>
          <w:rFonts w:ascii="宋体" w:hAnsi="宋体"/>
          <w:szCs w:val="21"/>
        </w:rPr>
      </w:pPr>
    </w:p>
    <w:p w14:paraId="41053BC3">
      <w:pPr>
        <w:rPr>
          <w:rFonts w:ascii="宋体" w:hAnsi="宋体"/>
          <w:szCs w:val="21"/>
        </w:rPr>
      </w:pPr>
    </w:p>
    <w:p w14:paraId="73580E68">
      <w:pPr>
        <w:rPr>
          <w:rFonts w:ascii="宋体" w:hAnsi="宋体"/>
          <w:szCs w:val="21"/>
        </w:rPr>
      </w:pPr>
    </w:p>
    <w:p w14:paraId="24EA439E">
      <w:pPr>
        <w:rPr>
          <w:rFonts w:ascii="宋体" w:hAnsi="宋体"/>
          <w:szCs w:val="21"/>
        </w:rPr>
      </w:pPr>
    </w:p>
    <w:p w14:paraId="5671F870">
      <w:pPr>
        <w:rPr>
          <w:rFonts w:ascii="宋体" w:hAnsi="宋体"/>
          <w:szCs w:val="21"/>
        </w:rPr>
      </w:pPr>
    </w:p>
    <w:p w14:paraId="2EE8D2E9">
      <w:pPr>
        <w:pStyle w:val="8"/>
        <w:numPr>
          <w:ilvl w:val="255"/>
          <w:numId w:val="0"/>
        </w:numPr>
        <w:tabs>
          <w:tab w:val="left" w:pos="720"/>
          <w:tab w:val="left" w:pos="3840"/>
        </w:tabs>
        <w:ind w:left="283"/>
        <w:jc w:val="both"/>
        <w:rPr>
          <w:rFonts w:ascii="宋体" w:hAnsi="宋体"/>
          <w:sz w:val="21"/>
          <w:szCs w:val="21"/>
        </w:rPr>
      </w:pPr>
      <w:bookmarkStart w:id="279" w:name="_Toc4866"/>
      <w:bookmarkStart w:id="280" w:name="_Toc14605"/>
      <w:bookmarkStart w:id="281" w:name="_Toc17037"/>
      <w:bookmarkStart w:id="282" w:name="_Toc2144"/>
      <w:bookmarkStart w:id="283" w:name="_Toc18296"/>
      <w:bookmarkStart w:id="284" w:name="_Toc19947"/>
      <w:bookmarkStart w:id="285" w:name="_Toc29855"/>
      <w:bookmarkStart w:id="286" w:name="_Toc17028"/>
      <w:bookmarkStart w:id="287" w:name="_Toc25861"/>
      <w:bookmarkStart w:id="288" w:name="_Toc28623"/>
      <w:bookmarkStart w:id="289" w:name="_Toc1562"/>
      <w:r>
        <w:rPr>
          <w:rFonts w:hint="eastAsia" w:ascii="宋体" w:hAnsi="宋体"/>
          <w:sz w:val="21"/>
          <w:szCs w:val="21"/>
        </w:rPr>
        <w:t>附件1</w:t>
      </w:r>
      <w:r>
        <w:rPr>
          <w:rFonts w:hint="eastAsia" w:ascii="宋体" w:hAnsi="宋体"/>
          <w:sz w:val="21"/>
          <w:szCs w:val="21"/>
          <w:lang w:val="en-US" w:eastAsia="zh-CN"/>
        </w:rPr>
        <w:t>9.</w:t>
      </w:r>
      <w:r>
        <w:rPr>
          <w:rFonts w:hint="eastAsia" w:ascii="宋体" w:hAnsi="宋体"/>
          <w:sz w:val="21"/>
          <w:szCs w:val="21"/>
        </w:rPr>
        <w:t>不可撤销履约保函</w:t>
      </w:r>
      <w:bookmarkEnd w:id="279"/>
      <w:bookmarkEnd w:id="280"/>
      <w:bookmarkEnd w:id="281"/>
      <w:bookmarkEnd w:id="282"/>
      <w:bookmarkEnd w:id="283"/>
      <w:bookmarkEnd w:id="284"/>
      <w:bookmarkEnd w:id="285"/>
      <w:bookmarkEnd w:id="286"/>
      <w:bookmarkEnd w:id="287"/>
      <w:bookmarkEnd w:id="288"/>
      <w:bookmarkEnd w:id="289"/>
    </w:p>
    <w:p w14:paraId="36B05FD6">
      <w:pPr>
        <w:jc w:val="center"/>
        <w:rPr>
          <w:rFonts w:ascii="宋体" w:hAnsi="宋体"/>
        </w:rPr>
      </w:pPr>
      <w:r>
        <w:rPr>
          <w:rFonts w:hint="eastAsia" w:ascii="宋体" w:hAnsi="宋体"/>
        </w:rPr>
        <w:t>银行编号：</w:t>
      </w:r>
    </w:p>
    <w:p w14:paraId="5A3F4676">
      <w:pPr>
        <w:rPr>
          <w:rFonts w:ascii="宋体" w:hAnsi="宋体"/>
        </w:rPr>
      </w:pPr>
      <w:r>
        <w:rPr>
          <w:rFonts w:ascii="宋体" w:hAnsi="宋体"/>
        </w:rPr>
        <w:t>致：</w:t>
      </w:r>
      <w:r>
        <w:rPr>
          <w:rFonts w:hint="eastAsia" w:ascii="宋体" w:hAnsi="宋体"/>
          <w:u w:val="single"/>
        </w:rPr>
        <w:t xml:space="preserve">                        </w:t>
      </w:r>
      <w:r>
        <w:rPr>
          <w:rFonts w:hint="eastAsia" w:ascii="宋体" w:hAnsi="宋体"/>
        </w:rPr>
        <w:t>（</w:t>
      </w:r>
      <w:r>
        <w:rPr>
          <w:rFonts w:hint="eastAsia"/>
        </w:rPr>
        <w:t>甲方</w:t>
      </w:r>
      <w:r>
        <w:rPr>
          <w:rFonts w:hint="eastAsia" w:ascii="宋体" w:hAnsi="宋体"/>
        </w:rPr>
        <w:t>）</w:t>
      </w:r>
    </w:p>
    <w:p w14:paraId="788B3A2E">
      <w:pPr>
        <w:ind w:firstLine="420" w:firstLineChars="200"/>
        <w:rPr>
          <w:rFonts w:ascii="宋体" w:hAnsi="宋体"/>
        </w:rPr>
      </w:pPr>
      <w:r>
        <w:rPr>
          <w:rFonts w:hint="eastAsia" w:ascii="宋体" w:hAnsi="宋体"/>
        </w:rPr>
        <w:t>鉴于</w:t>
      </w:r>
      <w:r>
        <w:rPr>
          <w:rFonts w:hint="eastAsia" w:ascii="宋体" w:hAnsi="宋体"/>
          <w:u w:val="single"/>
        </w:rPr>
        <w:t xml:space="preserve">         （地址：          ，下称 “乙方” ）</w:t>
      </w:r>
      <w:r>
        <w:rPr>
          <w:rFonts w:hint="eastAsia" w:ascii="宋体" w:hAnsi="宋体"/>
        </w:rPr>
        <w:t>已保证按</w:t>
      </w:r>
      <w:r>
        <w:rPr>
          <w:rFonts w:hint="eastAsia" w:ascii="宋体" w:hAnsi="宋体"/>
          <w:u w:val="single"/>
        </w:rPr>
        <w:t xml:space="preserve">        承包合同书（合同编号：    ）</w:t>
      </w:r>
      <w:r>
        <w:rPr>
          <w:rFonts w:hint="eastAsia" w:ascii="宋体" w:hAnsi="宋体"/>
        </w:rPr>
        <w:t>中规定的义务履行合同。</w:t>
      </w:r>
    </w:p>
    <w:p w14:paraId="457D38EE">
      <w:pPr>
        <w:ind w:firstLine="420" w:firstLineChars="200"/>
        <w:rPr>
          <w:rFonts w:ascii="宋体" w:hAnsi="宋体"/>
        </w:rPr>
      </w:pPr>
      <w:r>
        <w:rPr>
          <w:rFonts w:hint="eastAsia" w:ascii="宋体" w:hAnsi="宋体"/>
        </w:rPr>
        <w:t>根据上述合同约定，乙方应向</w:t>
      </w:r>
      <w:r>
        <w:rPr>
          <w:rFonts w:hint="eastAsia"/>
        </w:rPr>
        <w:t>甲方</w:t>
      </w:r>
      <w:r>
        <w:rPr>
          <w:rFonts w:hint="eastAsia" w:ascii="宋体" w:hAnsi="宋体"/>
        </w:rPr>
        <w:t>提供一份金额为合同总价的10%即</w:t>
      </w:r>
      <w:r>
        <w:rPr>
          <w:rFonts w:hint="eastAsia" w:ascii="宋体" w:hAnsi="宋体"/>
          <w:u w:val="single"/>
        </w:rPr>
        <w:t>人民币      （RMB    元）</w:t>
      </w:r>
      <w:r>
        <w:rPr>
          <w:rFonts w:hint="eastAsia" w:ascii="宋体" w:hAnsi="宋体"/>
        </w:rPr>
        <w:t>的</w:t>
      </w:r>
      <w:r>
        <w:rPr>
          <w:rFonts w:hint="eastAsia" w:ascii="宋体" w:hAnsi="宋体"/>
          <w:bCs/>
        </w:rPr>
        <w:t>不可撤销</w:t>
      </w:r>
      <w:r>
        <w:rPr>
          <w:rFonts w:hint="eastAsia" w:ascii="宋体" w:hAnsi="宋体"/>
        </w:rPr>
        <w:t>银行履约保函，作为乙方履行上述合同的担保。</w:t>
      </w:r>
    </w:p>
    <w:p w14:paraId="48B664B2">
      <w:pPr>
        <w:ind w:firstLine="420" w:firstLineChars="200"/>
        <w:rPr>
          <w:rFonts w:ascii="宋体" w:hAnsi="宋体"/>
        </w:rPr>
      </w:pPr>
      <w:r>
        <w:rPr>
          <w:rFonts w:hint="eastAsia" w:ascii="宋体" w:hAnsi="宋体"/>
        </w:rPr>
        <w:t>我方</w:t>
      </w:r>
      <w:r>
        <w:rPr>
          <w:rFonts w:hint="eastAsia" w:ascii="宋体" w:hAnsi="宋体"/>
          <w:u w:val="single"/>
        </w:rPr>
        <w:t xml:space="preserve">            （银行名称）</w:t>
      </w:r>
      <w:r>
        <w:rPr>
          <w:rFonts w:hint="eastAsia" w:ascii="宋体" w:hAnsi="宋体"/>
        </w:rPr>
        <w:t>，受乙方的委托，不仅作为连带责任保证人而且作为主要的责任人，无条件和不可撤销地同意在</w:t>
      </w:r>
      <w:r>
        <w:rPr>
          <w:rFonts w:hint="eastAsia"/>
        </w:rPr>
        <w:t>甲方</w:t>
      </w:r>
      <w:r>
        <w:rPr>
          <w:rFonts w:hint="eastAsia" w:ascii="宋体" w:hAnsi="宋体"/>
        </w:rPr>
        <w:t>提出因乙方没有履行上述合同规定，而要求扣划保证金的书面要求后，7个工作日内为</w:t>
      </w:r>
      <w:r>
        <w:rPr>
          <w:rFonts w:hint="eastAsia"/>
        </w:rPr>
        <w:t>甲方</w:t>
      </w:r>
      <w:r>
        <w:rPr>
          <w:rFonts w:hint="eastAsia" w:ascii="宋体" w:hAnsi="宋体"/>
        </w:rPr>
        <w:t>扣划金额不超过</w:t>
      </w:r>
      <w:r>
        <w:rPr>
          <w:rFonts w:hint="eastAsia" w:ascii="宋体" w:hAnsi="宋体"/>
          <w:u w:val="single"/>
        </w:rPr>
        <w:t>人民币          （RMB       元）</w:t>
      </w:r>
      <w:r>
        <w:rPr>
          <w:rFonts w:hint="eastAsia" w:ascii="宋体" w:hAnsi="宋体"/>
        </w:rPr>
        <w:t>的保证金。</w:t>
      </w:r>
    </w:p>
    <w:p w14:paraId="1296BB40">
      <w:pPr>
        <w:ind w:firstLine="420" w:firstLineChars="200"/>
      </w:pPr>
      <w:r>
        <w:rPr>
          <w:rFonts w:hint="eastAsia" w:ascii="宋体" w:hAnsi="宋体"/>
        </w:rPr>
        <w:t>我</w:t>
      </w:r>
      <w:r>
        <w:rPr>
          <w:rFonts w:hint="eastAsia"/>
        </w:rPr>
        <w:t>方还同意，任何甲方与乙方之间可能对合同条款的修改、规范或其他合同文件的变动补充，都不能免除我方按本保函所承担的责任。因此，有关上述变动、补充和修改无须通知我方。</w:t>
      </w:r>
    </w:p>
    <w:p w14:paraId="15E5A6A2">
      <w:pPr>
        <w:ind w:firstLine="420" w:firstLineChars="200"/>
      </w:pPr>
      <w:r>
        <w:rPr>
          <w:rFonts w:hint="eastAsia"/>
        </w:rPr>
        <w:t>本保函从上述合同签订之日起至项目服务期结束验收合格并完成结算后，双方签字之日起7天内保持有效。</w:t>
      </w:r>
    </w:p>
    <w:p w14:paraId="1F6A9D68">
      <w:pPr>
        <w:ind w:firstLine="2824" w:firstLineChars="1345"/>
        <w:rPr>
          <w:rFonts w:ascii="宋体" w:hAnsi="宋体"/>
        </w:rPr>
      </w:pPr>
    </w:p>
    <w:p w14:paraId="5A0C8747">
      <w:pPr>
        <w:ind w:firstLine="5040" w:firstLineChars="2400"/>
        <w:rPr>
          <w:rFonts w:ascii="宋体" w:hAnsi="宋体"/>
        </w:rPr>
      </w:pPr>
      <w:r>
        <w:rPr>
          <w:rFonts w:hint="eastAsia" w:ascii="宋体" w:hAnsi="宋体"/>
        </w:rPr>
        <w:t>保证人：（盖章）</w:t>
      </w:r>
      <w:r>
        <w:rPr>
          <w:rFonts w:hint="eastAsia" w:ascii="宋体" w:hAnsi="宋体"/>
          <w:u w:val="single"/>
        </w:rPr>
        <w:t xml:space="preserve">                        </w:t>
      </w:r>
    </w:p>
    <w:p w14:paraId="1C39D452">
      <w:pPr>
        <w:ind w:firstLine="5040" w:firstLineChars="2400"/>
        <w:rPr>
          <w:rFonts w:ascii="宋体" w:hAnsi="宋体"/>
        </w:rPr>
      </w:pPr>
      <w:r>
        <w:rPr>
          <w:rFonts w:hint="eastAsia" w:ascii="宋体" w:hAnsi="宋体"/>
        </w:rPr>
        <w:t>负责人：（签字）</w:t>
      </w:r>
      <w:r>
        <w:rPr>
          <w:rFonts w:hint="eastAsia" w:ascii="宋体" w:hAnsi="宋体"/>
          <w:u w:val="single"/>
        </w:rPr>
        <w:t xml:space="preserve">                        </w:t>
      </w:r>
    </w:p>
    <w:p w14:paraId="3BD53F90">
      <w:pPr>
        <w:ind w:firstLine="5040" w:firstLineChars="2400"/>
        <w:rPr>
          <w:rFonts w:ascii="宋体" w:hAnsi="宋体"/>
        </w:rPr>
      </w:pPr>
      <w:r>
        <w:rPr>
          <w:rFonts w:hint="eastAsia" w:ascii="宋体" w:hAnsi="宋体"/>
        </w:rPr>
        <w:t>联系人：</w:t>
      </w:r>
      <w:r>
        <w:rPr>
          <w:rFonts w:hint="eastAsia" w:ascii="宋体" w:hAnsi="宋体"/>
          <w:u w:val="single"/>
        </w:rPr>
        <w:t xml:space="preserve">                               </w:t>
      </w:r>
      <w:r>
        <w:rPr>
          <w:rFonts w:hint="eastAsia" w:ascii="宋体" w:hAnsi="宋体"/>
        </w:rPr>
        <w:t xml:space="preserve">   </w:t>
      </w:r>
    </w:p>
    <w:p w14:paraId="5F5CC72C">
      <w:pPr>
        <w:ind w:firstLine="5040" w:firstLineChars="2400"/>
        <w:rPr>
          <w:rFonts w:ascii="宋体" w:hAnsi="宋体"/>
        </w:rPr>
      </w:pPr>
      <w:r>
        <w:rPr>
          <w:rFonts w:hint="eastAsia" w:ascii="宋体" w:hAnsi="宋体"/>
        </w:rPr>
        <w:t>联系电话：</w:t>
      </w:r>
      <w:r>
        <w:rPr>
          <w:rFonts w:hint="eastAsia" w:ascii="宋体" w:hAnsi="宋体"/>
          <w:u w:val="single"/>
        </w:rPr>
        <w:t xml:space="preserve">                             </w:t>
      </w:r>
    </w:p>
    <w:p w14:paraId="1F6F9D53">
      <w:pPr>
        <w:ind w:firstLine="5040" w:firstLineChars="2400"/>
        <w:rPr>
          <w:rFonts w:ascii="宋体" w:hAnsi="宋体"/>
        </w:rPr>
      </w:pPr>
      <w:r>
        <w:rPr>
          <w:rFonts w:hint="eastAsia" w:ascii="宋体" w:hAnsi="宋体"/>
        </w:rPr>
        <w:t>日期：</w:t>
      </w:r>
      <w:r>
        <w:rPr>
          <w:rFonts w:hint="eastAsia" w:ascii="宋体" w:hAnsi="宋体"/>
          <w:u w:val="single"/>
        </w:rPr>
        <w:t xml:space="preserve">                               </w:t>
      </w:r>
    </w:p>
    <w:p w14:paraId="77F725D7">
      <w:pPr>
        <w:pStyle w:val="3"/>
        <w:rPr>
          <w:szCs w:val="24"/>
        </w:rPr>
      </w:pPr>
      <w:r>
        <w:rPr>
          <w:rFonts w:hint="eastAsia"/>
          <w:szCs w:val="24"/>
        </w:rPr>
        <w:t>说明：投标人在投标时不需提交正式保函，在投标文件中盖投标人公章确认保函格式即可，乙方</w:t>
      </w:r>
      <w:r>
        <w:rPr>
          <w:rFonts w:hint="eastAsia"/>
        </w:rPr>
        <w:t>在签订合同时</w:t>
      </w:r>
      <w:r>
        <w:rPr>
          <w:rFonts w:hint="eastAsia"/>
          <w:szCs w:val="24"/>
        </w:rPr>
        <w:t>提交正式保函。</w:t>
      </w:r>
    </w:p>
    <w:p w14:paraId="51095186">
      <w:pPr>
        <w:rPr>
          <w:rFonts w:ascii="宋体" w:hAnsi="宋体"/>
          <w:szCs w:val="21"/>
        </w:rPr>
      </w:pPr>
    </w:p>
    <w:p w14:paraId="1A98CEF7">
      <w:pPr>
        <w:rPr>
          <w:rFonts w:ascii="宋体" w:hAnsi="宋体"/>
          <w:szCs w:val="21"/>
        </w:rPr>
        <w:sectPr>
          <w:pgSz w:w="11906" w:h="16838"/>
          <w:pgMar w:top="1440" w:right="1800" w:bottom="1440" w:left="1800" w:header="708" w:footer="708" w:gutter="0"/>
          <w:pgNumType w:fmt="decimal"/>
          <w:cols w:space="708" w:num="1"/>
          <w:titlePg/>
          <w:docGrid w:type="lines" w:linePitch="360" w:charSpace="0"/>
        </w:sectPr>
      </w:pPr>
    </w:p>
    <w:p w14:paraId="70ACA08C">
      <w:pPr>
        <w:pStyle w:val="8"/>
        <w:numPr>
          <w:ilvl w:val="255"/>
          <w:numId w:val="0"/>
        </w:numPr>
        <w:tabs>
          <w:tab w:val="left" w:pos="720"/>
          <w:tab w:val="left" w:pos="3840"/>
        </w:tabs>
        <w:ind w:left="283"/>
        <w:jc w:val="both"/>
        <w:rPr>
          <w:rFonts w:ascii="宋体" w:hAnsi="宋体"/>
          <w:sz w:val="21"/>
          <w:szCs w:val="21"/>
        </w:rPr>
      </w:pPr>
      <w:bookmarkStart w:id="290" w:name="_Toc28389"/>
      <w:r>
        <w:rPr>
          <w:rFonts w:hint="eastAsia" w:ascii="宋体" w:hAnsi="宋体"/>
          <w:sz w:val="21"/>
          <w:szCs w:val="21"/>
        </w:rPr>
        <w:t>附件</w:t>
      </w:r>
      <w:r>
        <w:rPr>
          <w:rFonts w:hint="eastAsia" w:ascii="宋体" w:hAnsi="宋体"/>
          <w:sz w:val="21"/>
          <w:szCs w:val="21"/>
          <w:lang w:val="en-US" w:eastAsia="zh-CN"/>
        </w:rPr>
        <w:t>20</w:t>
      </w:r>
      <w:r>
        <w:rPr>
          <w:rFonts w:hint="eastAsia" w:ascii="宋体" w:hAnsi="宋体"/>
          <w:sz w:val="21"/>
          <w:szCs w:val="21"/>
        </w:rPr>
        <w:t>.预付款保函（适用于预付款支付）</w:t>
      </w:r>
      <w:bookmarkEnd w:id="290"/>
    </w:p>
    <w:p w14:paraId="5EC08F75">
      <w:pPr>
        <w:pStyle w:val="3"/>
        <w:rPr>
          <w:szCs w:val="24"/>
        </w:rPr>
      </w:pPr>
    </w:p>
    <w:p w14:paraId="26ADAF4F">
      <w:pPr>
        <w:jc w:val="center"/>
        <w:rPr>
          <w:rFonts w:ascii="黑体" w:eastAsia="黑体"/>
          <w:sz w:val="28"/>
          <w:szCs w:val="28"/>
        </w:rPr>
      </w:pPr>
      <w:bookmarkStart w:id="291" w:name="_Toc29054"/>
      <w:bookmarkStart w:id="292" w:name="_Toc29728"/>
      <w:bookmarkStart w:id="293" w:name="_Toc20669"/>
      <w:bookmarkStart w:id="294" w:name="_Toc7374"/>
      <w:bookmarkStart w:id="295" w:name="_Toc10315"/>
      <w:bookmarkStart w:id="296" w:name="_Toc5034"/>
      <w:bookmarkStart w:id="297" w:name="_Toc3295"/>
      <w:bookmarkStart w:id="298" w:name="_Toc27545"/>
      <w:bookmarkStart w:id="299" w:name="_Toc1039"/>
      <w:bookmarkStart w:id="300" w:name="_Toc6877"/>
      <w:bookmarkStart w:id="301" w:name="_Toc25494"/>
      <w:bookmarkStart w:id="302" w:name="_Toc31418"/>
      <w:r>
        <w:rPr>
          <w:rFonts w:hint="eastAsia" w:ascii="黑体" w:eastAsia="黑体"/>
          <w:sz w:val="28"/>
          <w:szCs w:val="28"/>
        </w:rPr>
        <w:t>不可撤销预付款保函</w:t>
      </w:r>
      <w:bookmarkEnd w:id="291"/>
      <w:bookmarkEnd w:id="292"/>
      <w:bookmarkEnd w:id="293"/>
      <w:bookmarkEnd w:id="294"/>
      <w:bookmarkEnd w:id="295"/>
      <w:bookmarkEnd w:id="296"/>
      <w:bookmarkEnd w:id="297"/>
      <w:bookmarkEnd w:id="298"/>
      <w:bookmarkEnd w:id="299"/>
      <w:bookmarkEnd w:id="300"/>
      <w:bookmarkEnd w:id="301"/>
      <w:bookmarkEnd w:id="302"/>
    </w:p>
    <w:p w14:paraId="11A30CC2">
      <w:pPr>
        <w:ind w:firstLine="6300"/>
        <w:rPr>
          <w:szCs w:val="21"/>
          <w:u w:val="single"/>
        </w:rPr>
      </w:pPr>
      <w:r>
        <w:rPr>
          <w:rFonts w:hint="eastAsia"/>
          <w:szCs w:val="21"/>
        </w:rPr>
        <w:t>银行编号：</w:t>
      </w:r>
      <w:r>
        <w:rPr>
          <w:rFonts w:hint="eastAsia"/>
          <w:szCs w:val="21"/>
          <w:u w:val="single"/>
        </w:rPr>
        <w:t xml:space="preserve">             </w:t>
      </w:r>
    </w:p>
    <w:p w14:paraId="53B33CAA">
      <w:pPr>
        <w:ind w:firstLine="6300"/>
        <w:rPr>
          <w:szCs w:val="21"/>
        </w:rPr>
      </w:pPr>
    </w:p>
    <w:p w14:paraId="40D85AA0">
      <w:pPr>
        <w:rPr>
          <w:rFonts w:ascii="宋体" w:hAnsi="宋体"/>
          <w:szCs w:val="21"/>
        </w:rPr>
      </w:pPr>
      <w:r>
        <w:rPr>
          <w:rFonts w:hint="eastAsia" w:ascii="宋体" w:hAnsi="宋体"/>
          <w:szCs w:val="21"/>
        </w:rPr>
        <w:t>致：</w:t>
      </w:r>
      <w:r>
        <w:rPr>
          <w:rFonts w:hint="eastAsia" w:ascii="宋体" w:hAnsi="宋体"/>
          <w:szCs w:val="21"/>
          <w:u w:val="single"/>
        </w:rPr>
        <w:t xml:space="preserve">                    </w:t>
      </w:r>
      <w:r>
        <w:rPr>
          <w:rFonts w:hint="eastAsia" w:ascii="宋体" w:hAnsi="宋体"/>
          <w:szCs w:val="21"/>
        </w:rPr>
        <w:t>（下称“采购人”）</w:t>
      </w:r>
    </w:p>
    <w:p w14:paraId="1AE6E95D">
      <w:pPr>
        <w:ind w:firstLine="437"/>
        <w:rPr>
          <w:rFonts w:ascii="宋体" w:hAnsi="宋体"/>
          <w:szCs w:val="21"/>
        </w:rPr>
      </w:pPr>
      <w:r>
        <w:rPr>
          <w:rFonts w:hint="eastAsia" w:ascii="宋体" w:hAnsi="宋体"/>
          <w:szCs w:val="21"/>
        </w:rPr>
        <w:t>鉴于</w:t>
      </w:r>
      <w:r>
        <w:rPr>
          <w:rFonts w:hint="eastAsia" w:ascii="宋体" w:hAnsi="宋体"/>
          <w:szCs w:val="21"/>
          <w:u w:val="single"/>
        </w:rPr>
        <w:t xml:space="preserve">            </w:t>
      </w:r>
      <w:r>
        <w:rPr>
          <w:rFonts w:hint="eastAsia" w:ascii="宋体" w:hAnsi="宋体"/>
          <w:szCs w:val="24"/>
          <w:u w:val="single"/>
        </w:rPr>
        <w:t>（地址：          ，下称 “中标人” ）</w:t>
      </w:r>
      <w:r>
        <w:rPr>
          <w:rFonts w:hint="eastAsia" w:ascii="宋体" w:hAnsi="宋体"/>
          <w:szCs w:val="21"/>
        </w:rPr>
        <w:t>，已保证按</w:t>
      </w:r>
      <w:r>
        <w:rPr>
          <w:rFonts w:hint="eastAsia" w:ascii="宋体" w:hAnsi="宋体"/>
          <w:szCs w:val="21"/>
          <w:u w:val="single"/>
        </w:rPr>
        <w:t xml:space="preserve">          承包合同书（合同编号：    ）</w:t>
      </w:r>
      <w:r>
        <w:rPr>
          <w:rFonts w:hint="eastAsia" w:ascii="宋体" w:hAnsi="宋体"/>
          <w:szCs w:val="21"/>
        </w:rPr>
        <w:t>中规定的义务履行合同。</w:t>
      </w:r>
    </w:p>
    <w:p w14:paraId="611EA402">
      <w:pPr>
        <w:ind w:firstLine="437"/>
        <w:rPr>
          <w:rFonts w:ascii="宋体" w:hAnsi="宋体"/>
          <w:szCs w:val="21"/>
        </w:rPr>
      </w:pPr>
      <w:r>
        <w:rPr>
          <w:rFonts w:hint="eastAsia" w:ascii="宋体" w:hAnsi="宋体"/>
          <w:szCs w:val="24"/>
        </w:rPr>
        <w:t>根据上述合同（招标文件）规定，中标人应向采购人提供一份金额为合同总价的</w:t>
      </w:r>
      <w:r>
        <w:rPr>
          <w:rFonts w:hint="eastAsia" w:ascii="宋体" w:hAnsi="宋体"/>
          <w:szCs w:val="24"/>
          <w:u w:val="single"/>
        </w:rPr>
        <w:t xml:space="preserve">   </w:t>
      </w:r>
      <w:r>
        <w:rPr>
          <w:rFonts w:hint="eastAsia" w:ascii="宋体" w:hAnsi="宋体"/>
          <w:szCs w:val="24"/>
        </w:rPr>
        <w:t>% 即人民币</w:t>
      </w:r>
      <w:r>
        <w:rPr>
          <w:rFonts w:hint="eastAsia" w:ascii="宋体" w:hAnsi="宋体"/>
          <w:szCs w:val="21"/>
          <w:u w:val="single"/>
        </w:rPr>
        <w:t xml:space="preserve">      （RMB      元）</w:t>
      </w:r>
      <w:r>
        <w:rPr>
          <w:rFonts w:hint="eastAsia" w:ascii="宋体" w:hAnsi="宋体"/>
          <w:szCs w:val="21"/>
        </w:rPr>
        <w:t>的不可撤销银行预付款保函，以保证中标人履行合同的相关条款。</w:t>
      </w:r>
    </w:p>
    <w:p w14:paraId="3ABDA425">
      <w:pPr>
        <w:ind w:firstLine="437"/>
        <w:rPr>
          <w:rFonts w:ascii="宋体" w:hAnsi="宋体"/>
          <w:szCs w:val="21"/>
        </w:rPr>
      </w:pPr>
      <w:r>
        <w:rPr>
          <w:rFonts w:hint="eastAsia" w:ascii="宋体" w:hAnsi="宋体"/>
          <w:szCs w:val="21"/>
        </w:rPr>
        <w:t>我方</w:t>
      </w:r>
      <w:r>
        <w:rPr>
          <w:rFonts w:hint="eastAsia" w:ascii="宋体" w:hAnsi="宋体"/>
          <w:szCs w:val="21"/>
          <w:u w:val="single"/>
        </w:rPr>
        <w:t xml:space="preserve">  （银行名称）  </w:t>
      </w:r>
      <w:r>
        <w:rPr>
          <w:rFonts w:hint="eastAsia" w:ascii="宋体" w:hAnsi="宋体"/>
          <w:szCs w:val="21"/>
        </w:rPr>
        <w:t>，受中标人的委托，作为连带责任保证人，无条件和不可撤销地同意在采购人提出因中标人没有履行上述合同规定，而要求收回上述金额内任何付款的书面要求后，于7个工作日内为采购人予以支付并保证到达采购人账户，以保证在中标人没有履行或部分履行合同条款的责任时，采购人可以向中标人收回全部或部分预付款。</w:t>
      </w:r>
    </w:p>
    <w:p w14:paraId="2A6B1CEF">
      <w:pPr>
        <w:ind w:firstLine="437"/>
        <w:rPr>
          <w:rFonts w:ascii="宋体" w:hAnsi="宋体"/>
          <w:szCs w:val="21"/>
        </w:rPr>
      </w:pPr>
      <w:r>
        <w:rPr>
          <w:rFonts w:hint="eastAsia" w:ascii="宋体" w:hAnsi="宋体"/>
          <w:szCs w:val="21"/>
        </w:rPr>
        <w:t>我方还同意，任何采购人与中标人之间可能对合同条款的修改、规范或其他合同文件的变动补充，都不能免除我方按本保函所承担的责任。因此，有关上述变动、补充和修改无须通知我方。</w:t>
      </w:r>
    </w:p>
    <w:p w14:paraId="263E23B7">
      <w:pPr>
        <w:ind w:firstLine="437"/>
        <w:rPr>
          <w:rFonts w:ascii="宋体" w:hAnsi="宋体"/>
          <w:szCs w:val="21"/>
        </w:rPr>
      </w:pPr>
      <w:r>
        <w:rPr>
          <w:rFonts w:hint="eastAsia" w:ascii="宋体" w:hAnsi="宋体"/>
          <w:szCs w:val="21"/>
        </w:rPr>
        <w:t>本保函有效期从保函开立之日起至采购人向中标人抵扣完所有预付款之日止。</w:t>
      </w:r>
    </w:p>
    <w:p w14:paraId="2A6DEFE3">
      <w:pPr>
        <w:rPr>
          <w:rFonts w:ascii="宋体" w:hAnsi="宋体"/>
          <w:szCs w:val="21"/>
        </w:rPr>
      </w:pPr>
    </w:p>
    <w:p w14:paraId="4CB35A4A">
      <w:pPr>
        <w:ind w:firstLine="437"/>
        <w:rPr>
          <w:rFonts w:ascii="宋体" w:hAnsi="宋体"/>
          <w:szCs w:val="21"/>
        </w:rPr>
      </w:pPr>
    </w:p>
    <w:p w14:paraId="6E1CBA93">
      <w:pPr>
        <w:ind w:firstLine="4860"/>
        <w:rPr>
          <w:rFonts w:ascii="宋体" w:hAnsi="宋体"/>
          <w:szCs w:val="21"/>
        </w:rPr>
      </w:pPr>
      <w:r>
        <w:rPr>
          <w:rFonts w:hint="eastAsia" w:ascii="宋体" w:hAnsi="宋体"/>
          <w:szCs w:val="21"/>
        </w:rPr>
        <w:t>保证人：（公章）</w:t>
      </w:r>
      <w:r>
        <w:rPr>
          <w:rFonts w:hint="eastAsia" w:ascii="宋体" w:hAnsi="宋体"/>
          <w:szCs w:val="21"/>
          <w:u w:val="single"/>
        </w:rPr>
        <w:t xml:space="preserve">                     </w:t>
      </w:r>
    </w:p>
    <w:p w14:paraId="3C5975E0">
      <w:pPr>
        <w:ind w:firstLine="4860"/>
        <w:rPr>
          <w:rFonts w:ascii="宋体" w:hAnsi="宋体"/>
          <w:szCs w:val="21"/>
          <w:u w:val="single"/>
        </w:rPr>
      </w:pPr>
      <w:r>
        <w:rPr>
          <w:rFonts w:hint="eastAsia" w:ascii="宋体" w:hAnsi="宋体"/>
          <w:szCs w:val="21"/>
        </w:rPr>
        <w:t>负责人：（签字）</w:t>
      </w:r>
      <w:r>
        <w:rPr>
          <w:rFonts w:hint="eastAsia" w:ascii="宋体" w:hAnsi="宋体"/>
          <w:szCs w:val="21"/>
          <w:u w:val="single"/>
        </w:rPr>
        <w:t xml:space="preserve">                     </w:t>
      </w:r>
    </w:p>
    <w:p w14:paraId="57E0A776">
      <w:pPr>
        <w:ind w:firstLine="4860"/>
        <w:rPr>
          <w:rFonts w:ascii="宋体" w:hAnsi="宋体"/>
          <w:szCs w:val="21"/>
          <w:u w:val="single"/>
        </w:rPr>
      </w:pPr>
      <w:r>
        <w:rPr>
          <w:rFonts w:hint="eastAsia" w:ascii="宋体" w:hAnsi="宋体"/>
          <w:szCs w:val="21"/>
        </w:rPr>
        <w:t>联系电话：</w:t>
      </w:r>
      <w:r>
        <w:rPr>
          <w:rFonts w:hint="eastAsia" w:ascii="宋体" w:hAnsi="宋体"/>
          <w:szCs w:val="21"/>
          <w:u w:val="single"/>
        </w:rPr>
        <w:t xml:space="preserve">                          </w:t>
      </w:r>
    </w:p>
    <w:p w14:paraId="4F2675E1">
      <w:pPr>
        <w:ind w:firstLine="4860"/>
        <w:rPr>
          <w:rFonts w:ascii="宋体" w:hAnsi="宋体"/>
          <w:szCs w:val="21"/>
        </w:rPr>
      </w:pPr>
      <w:r>
        <w:rPr>
          <w:rFonts w:hint="eastAsia" w:ascii="宋体" w:hAnsi="宋体"/>
          <w:szCs w:val="21"/>
        </w:rPr>
        <w:t>地址：</w:t>
      </w:r>
      <w:r>
        <w:rPr>
          <w:rFonts w:hint="eastAsia" w:ascii="宋体" w:hAnsi="宋体"/>
          <w:szCs w:val="21"/>
          <w:u w:val="single"/>
        </w:rPr>
        <w:t xml:space="preserve">                              </w:t>
      </w:r>
    </w:p>
    <w:p w14:paraId="2548166A">
      <w:pPr>
        <w:ind w:firstLine="4860"/>
        <w:rPr>
          <w:rFonts w:ascii="宋体" w:hAnsi="宋体"/>
          <w:szCs w:val="21"/>
          <w:u w:val="single"/>
        </w:rPr>
      </w:pPr>
      <w:r>
        <w:rPr>
          <w:rFonts w:hint="eastAsia" w:ascii="宋体" w:hAnsi="宋体"/>
          <w:szCs w:val="21"/>
        </w:rPr>
        <w:t>日期：</w:t>
      </w:r>
      <w:r>
        <w:rPr>
          <w:rFonts w:hint="eastAsia" w:ascii="宋体" w:hAnsi="宋体"/>
          <w:szCs w:val="21"/>
          <w:u w:val="single"/>
        </w:rPr>
        <w:t xml:space="preserve">                              </w:t>
      </w:r>
    </w:p>
    <w:p w14:paraId="262F14FA">
      <w:pPr>
        <w:pStyle w:val="3"/>
        <w:rPr>
          <w:szCs w:val="21"/>
        </w:rPr>
      </w:pPr>
    </w:p>
    <w:p w14:paraId="36AAF67A">
      <w:pPr>
        <w:pStyle w:val="3"/>
        <w:rPr>
          <w:szCs w:val="21"/>
        </w:rPr>
      </w:pPr>
    </w:p>
    <w:p w14:paraId="5B1E9F14">
      <w:pPr>
        <w:ind w:firstLine="413" w:firstLineChars="196"/>
        <w:rPr>
          <w:rFonts w:ascii="宋体" w:hAnsi="宋体"/>
          <w:b/>
          <w:szCs w:val="21"/>
        </w:rPr>
      </w:pPr>
      <w:r>
        <w:rPr>
          <w:rFonts w:hint="eastAsia" w:ascii="宋体" w:hAnsi="宋体"/>
          <w:b/>
          <w:szCs w:val="21"/>
        </w:rPr>
        <w:t>说明：投标人在投标文件中盖投标人公章确认保函内容即可，如中标再由银行出具保函。</w:t>
      </w:r>
    </w:p>
    <w:p w14:paraId="392D4F47">
      <w:pPr>
        <w:rPr>
          <w:rFonts w:ascii="宋体" w:hAnsi="宋体"/>
          <w:szCs w:val="21"/>
        </w:rPr>
        <w:sectPr>
          <w:pgSz w:w="11906" w:h="16838"/>
          <w:pgMar w:top="1440" w:right="1800" w:bottom="1440" w:left="1800" w:header="708" w:footer="708" w:gutter="0"/>
          <w:pgNumType w:fmt="decimal"/>
          <w:cols w:space="708" w:num="1"/>
          <w:titlePg/>
          <w:docGrid w:type="lines" w:linePitch="360" w:charSpace="0"/>
        </w:sectPr>
      </w:pPr>
    </w:p>
    <w:p w14:paraId="48EFA583">
      <w:pPr>
        <w:pStyle w:val="2"/>
      </w:pPr>
      <w:bookmarkStart w:id="303" w:name="_Toc1968"/>
    </w:p>
    <w:p w14:paraId="5592555B">
      <w:pPr>
        <w:jc w:val="center"/>
        <w:outlineLvl w:val="1"/>
        <w:rPr>
          <w:rFonts w:eastAsia="黑体"/>
          <w:sz w:val="72"/>
          <w:szCs w:val="72"/>
          <w:highlight w:val="none"/>
        </w:rPr>
      </w:pPr>
      <w:bookmarkStart w:id="304" w:name="_Toc15258"/>
      <w:bookmarkStart w:id="305" w:name="_Toc24147"/>
      <w:r>
        <w:rPr>
          <w:rFonts w:hint="eastAsia" w:eastAsia="黑体"/>
          <w:sz w:val="72"/>
          <w:szCs w:val="72"/>
          <w:highlight w:val="none"/>
        </w:rPr>
        <w:t>唱标信封</w:t>
      </w:r>
      <w:bookmarkEnd w:id="304"/>
      <w:bookmarkEnd w:id="305"/>
    </w:p>
    <w:p w14:paraId="1A113EC6">
      <w:pPr>
        <w:jc w:val="center"/>
        <w:rPr>
          <w:rFonts w:ascii="黑体" w:eastAsia="黑体"/>
          <w:sz w:val="52"/>
          <w:szCs w:val="52"/>
          <w:highlight w:val="none"/>
        </w:rPr>
      </w:pPr>
      <w:r>
        <w:rPr>
          <w:rFonts w:hint="eastAsia" w:ascii="黑体" w:eastAsia="黑体"/>
          <w:sz w:val="52"/>
          <w:szCs w:val="52"/>
          <w:highlight w:val="none"/>
        </w:rPr>
        <w:t>（单独装订成册，单独封装）</w:t>
      </w:r>
    </w:p>
    <w:p w14:paraId="1B9DC802">
      <w:pPr>
        <w:rPr>
          <w:highlight w:val="none"/>
        </w:rPr>
      </w:pPr>
    </w:p>
    <w:p w14:paraId="4520078F">
      <w:pPr>
        <w:pStyle w:val="2"/>
        <w:rPr>
          <w:highlight w:val="none"/>
        </w:rPr>
      </w:pPr>
    </w:p>
    <w:p w14:paraId="27D97893">
      <w:pPr>
        <w:pStyle w:val="29"/>
        <w:ind w:firstLine="240"/>
        <w:rPr>
          <w:highlight w:val="none"/>
        </w:rPr>
      </w:pPr>
    </w:p>
    <w:p w14:paraId="03E4007E">
      <w:pPr>
        <w:pStyle w:val="29"/>
        <w:ind w:firstLine="240"/>
        <w:rPr>
          <w:highlight w:val="none"/>
        </w:rPr>
      </w:pPr>
    </w:p>
    <w:p w14:paraId="14C1E448">
      <w:pPr>
        <w:rPr>
          <w:rFonts w:ascii="宋体" w:hAnsi="宋体" w:cs="宋体"/>
          <w:b/>
          <w:spacing w:val="-6"/>
          <w:sz w:val="32"/>
          <w:szCs w:val="32"/>
          <w:highlight w:val="none"/>
        </w:rPr>
      </w:pPr>
      <w:r>
        <w:rPr>
          <w:rFonts w:hint="eastAsia" w:ascii="宋体" w:hAnsi="宋体" w:cs="宋体"/>
          <w:b/>
          <w:spacing w:val="106"/>
          <w:sz w:val="32"/>
          <w:szCs w:val="32"/>
          <w:highlight w:val="none"/>
        </w:rPr>
        <w:t>项目名</w:t>
      </w:r>
      <w:r>
        <w:rPr>
          <w:rFonts w:hint="eastAsia" w:ascii="宋体" w:hAnsi="宋体" w:cs="宋体"/>
          <w:b/>
          <w:spacing w:val="2"/>
          <w:sz w:val="32"/>
          <w:szCs w:val="32"/>
          <w:highlight w:val="none"/>
        </w:rPr>
        <w:t>称</w:t>
      </w:r>
      <w:r>
        <w:rPr>
          <w:rFonts w:hint="eastAsia" w:ascii="宋体" w:hAnsi="宋体" w:cs="宋体"/>
          <w:b/>
          <w:spacing w:val="-6"/>
          <w:sz w:val="32"/>
          <w:szCs w:val="32"/>
          <w:highlight w:val="none"/>
        </w:rPr>
        <w:t>：</w:t>
      </w:r>
    </w:p>
    <w:p w14:paraId="39104823">
      <w:pPr>
        <w:rPr>
          <w:rFonts w:ascii="宋体" w:hAnsi="宋体" w:cs="宋体"/>
          <w:b/>
          <w:sz w:val="32"/>
          <w:szCs w:val="32"/>
          <w:highlight w:val="none"/>
        </w:rPr>
      </w:pPr>
      <w:r>
        <w:rPr>
          <w:rFonts w:hint="eastAsia" w:ascii="宋体" w:hAnsi="宋体" w:cs="宋体"/>
          <w:b/>
          <w:spacing w:val="106"/>
          <w:sz w:val="32"/>
          <w:szCs w:val="32"/>
          <w:highlight w:val="none"/>
        </w:rPr>
        <w:t>项目编</w:t>
      </w:r>
      <w:r>
        <w:rPr>
          <w:rFonts w:hint="eastAsia" w:ascii="宋体" w:hAnsi="宋体" w:cs="宋体"/>
          <w:b/>
          <w:spacing w:val="2"/>
          <w:sz w:val="32"/>
          <w:szCs w:val="32"/>
          <w:highlight w:val="none"/>
        </w:rPr>
        <w:t>号</w:t>
      </w:r>
      <w:r>
        <w:rPr>
          <w:rFonts w:hint="eastAsia" w:ascii="宋体" w:hAnsi="宋体" w:cs="宋体"/>
          <w:b/>
          <w:sz w:val="32"/>
          <w:szCs w:val="32"/>
          <w:highlight w:val="none"/>
        </w:rPr>
        <w:t>：</w:t>
      </w:r>
    </w:p>
    <w:p w14:paraId="2272B23D">
      <w:pPr>
        <w:pStyle w:val="2"/>
        <w:ind w:left="0"/>
        <w:rPr>
          <w:b/>
          <w:spacing w:val="106"/>
          <w:sz w:val="32"/>
          <w:szCs w:val="32"/>
          <w:highlight w:val="none"/>
          <w:lang w:val="en-US" w:bidi="ar-SA"/>
        </w:rPr>
      </w:pPr>
      <w:r>
        <w:rPr>
          <w:rFonts w:hint="eastAsia"/>
          <w:b/>
          <w:spacing w:val="106"/>
          <w:sz w:val="32"/>
          <w:szCs w:val="32"/>
          <w:highlight w:val="none"/>
          <w:lang w:val="en-US" w:bidi="ar-SA"/>
        </w:rPr>
        <w:t>包组号（如有）：</w:t>
      </w:r>
    </w:p>
    <w:p w14:paraId="688189CE">
      <w:pPr>
        <w:rPr>
          <w:rFonts w:ascii="宋体" w:hAnsi="宋体" w:cs="宋体"/>
          <w:b/>
          <w:sz w:val="32"/>
          <w:szCs w:val="32"/>
          <w:highlight w:val="none"/>
        </w:rPr>
      </w:pPr>
      <w:r>
        <w:rPr>
          <w:rFonts w:hint="eastAsia" w:ascii="宋体" w:hAnsi="宋体" w:cs="宋体"/>
          <w:b/>
          <w:sz w:val="32"/>
          <w:szCs w:val="32"/>
          <w:highlight w:val="none"/>
        </w:rPr>
        <w:t>投标人名称：</w:t>
      </w:r>
    </w:p>
    <w:p w14:paraId="33C8DF19">
      <w:pPr>
        <w:rPr>
          <w:rFonts w:ascii="宋体" w:hAnsi="宋体" w:cs="宋体"/>
          <w:b/>
          <w:sz w:val="32"/>
          <w:szCs w:val="32"/>
        </w:rPr>
      </w:pPr>
      <w:r>
        <w:rPr>
          <w:rFonts w:hint="eastAsia" w:ascii="宋体" w:hAnsi="宋体" w:cs="宋体"/>
          <w:b/>
          <w:spacing w:val="64"/>
          <w:sz w:val="32"/>
          <w:szCs w:val="32"/>
        </w:rPr>
        <w:t xml:space="preserve">日    </w:t>
      </w:r>
      <w:r>
        <w:rPr>
          <w:rFonts w:hint="eastAsia" w:ascii="宋体" w:hAnsi="宋体" w:cs="宋体"/>
          <w:b/>
          <w:sz w:val="32"/>
          <w:szCs w:val="32"/>
        </w:rPr>
        <w:t>期：</w:t>
      </w:r>
    </w:p>
    <w:p w14:paraId="2E2249AC">
      <w:pPr>
        <w:rPr>
          <w:rFonts w:ascii="宋体" w:hAnsi="宋体"/>
          <w:szCs w:val="21"/>
        </w:rPr>
      </w:pPr>
      <w:r>
        <w:rPr>
          <w:rFonts w:hint="eastAsia" w:ascii="宋体" w:hAnsi="宋体"/>
          <w:szCs w:val="21"/>
        </w:rPr>
        <w:br w:type="page"/>
      </w:r>
    </w:p>
    <w:p w14:paraId="12E4149B">
      <w:pPr>
        <w:outlineLvl w:val="1"/>
        <w:rPr>
          <w:sz w:val="72"/>
          <w:szCs w:val="72"/>
        </w:rPr>
        <w:sectPr>
          <w:pgSz w:w="11906" w:h="16838"/>
          <w:pgMar w:top="1440" w:right="1800" w:bottom="1440" w:left="1800" w:header="708" w:footer="708" w:gutter="0"/>
          <w:pgNumType w:fmt="decimal"/>
          <w:cols w:space="708" w:num="1"/>
          <w:titlePg/>
          <w:docGrid w:type="lines" w:linePitch="360" w:charSpace="0"/>
        </w:sectPr>
      </w:pPr>
    </w:p>
    <w:bookmarkEnd w:id="303"/>
    <w:p w14:paraId="580C46D7">
      <w:pPr>
        <w:pStyle w:val="8"/>
        <w:numPr>
          <w:ilvl w:val="255"/>
          <w:numId w:val="0"/>
        </w:numPr>
        <w:tabs>
          <w:tab w:val="left" w:pos="720"/>
          <w:tab w:val="left" w:pos="3840"/>
        </w:tabs>
        <w:ind w:left="283"/>
        <w:jc w:val="both"/>
        <w:rPr>
          <w:rFonts w:ascii="宋体" w:hAnsi="宋体"/>
          <w:sz w:val="21"/>
          <w:szCs w:val="21"/>
        </w:rPr>
      </w:pPr>
      <w:bookmarkStart w:id="306" w:name="_Toc24148"/>
      <w:r>
        <w:rPr>
          <w:rFonts w:hint="eastAsia" w:ascii="宋体" w:hAnsi="宋体"/>
          <w:sz w:val="21"/>
          <w:szCs w:val="21"/>
        </w:rPr>
        <w:t>附件2</w:t>
      </w:r>
      <w:r>
        <w:rPr>
          <w:rFonts w:hint="eastAsia" w:ascii="宋体" w:hAnsi="宋体"/>
          <w:sz w:val="21"/>
          <w:szCs w:val="21"/>
          <w:lang w:val="en-US" w:eastAsia="zh-CN"/>
        </w:rPr>
        <w:t>1</w:t>
      </w:r>
      <w:r>
        <w:rPr>
          <w:rFonts w:hint="eastAsia" w:ascii="宋体" w:hAnsi="宋体"/>
          <w:sz w:val="21"/>
          <w:szCs w:val="21"/>
        </w:rPr>
        <w:t>.唱标信封内装（内容务必与投标文件正本一致）</w:t>
      </w:r>
      <w:bookmarkEnd w:id="306"/>
    </w:p>
    <w:p w14:paraId="19F53040">
      <w:pPr>
        <w:numPr>
          <w:ilvl w:val="0"/>
          <w:numId w:val="13"/>
        </w:numPr>
        <w:ind w:firstLineChars="200"/>
        <w:rPr>
          <w:rFonts w:hAnsi="宋体"/>
          <w:szCs w:val="21"/>
        </w:rPr>
      </w:pPr>
      <w:r>
        <w:rPr>
          <w:rFonts w:hint="eastAsia" w:hAnsi="宋体"/>
          <w:szCs w:val="21"/>
        </w:rPr>
        <w:t>开标一览表加盖公章；</w:t>
      </w:r>
    </w:p>
    <w:p w14:paraId="1AEB7C57">
      <w:pPr>
        <w:numPr>
          <w:ilvl w:val="0"/>
          <w:numId w:val="13"/>
        </w:numPr>
        <w:ind w:firstLineChars="200"/>
        <w:rPr>
          <w:rFonts w:hAnsi="宋体"/>
          <w:szCs w:val="21"/>
        </w:rPr>
      </w:pPr>
      <w:r>
        <w:rPr>
          <w:rFonts w:hint="eastAsia" w:hAnsi="宋体"/>
          <w:szCs w:val="21"/>
        </w:rPr>
        <w:t>法定代表人证明书加盖公章；</w:t>
      </w:r>
    </w:p>
    <w:p w14:paraId="441BB865">
      <w:pPr>
        <w:numPr>
          <w:ilvl w:val="0"/>
          <w:numId w:val="13"/>
        </w:numPr>
        <w:ind w:firstLineChars="200"/>
        <w:rPr>
          <w:rFonts w:hAnsi="宋体"/>
          <w:szCs w:val="21"/>
        </w:rPr>
      </w:pPr>
      <w:r>
        <w:rPr>
          <w:rFonts w:hint="eastAsia" w:hAnsi="宋体"/>
          <w:szCs w:val="21"/>
        </w:rPr>
        <w:t>法定代表人授权委托书加盖公章（法定代表人投标的除外）；</w:t>
      </w:r>
    </w:p>
    <w:p w14:paraId="3A277AE9">
      <w:pPr>
        <w:numPr>
          <w:ilvl w:val="0"/>
          <w:numId w:val="13"/>
        </w:numPr>
        <w:ind w:firstLineChars="200"/>
        <w:rPr>
          <w:rFonts w:hAnsi="宋体"/>
          <w:szCs w:val="21"/>
        </w:rPr>
      </w:pPr>
      <w:r>
        <w:rPr>
          <w:rFonts w:hint="eastAsia" w:hAnsi="宋体"/>
          <w:szCs w:val="21"/>
        </w:rPr>
        <w:t>投标保证金汇入情况说明（含银行汇款凭证）或投标保函加盖公章；</w:t>
      </w:r>
    </w:p>
    <w:p w14:paraId="30B6778C">
      <w:pPr>
        <w:numPr>
          <w:ilvl w:val="0"/>
          <w:numId w:val="13"/>
        </w:numPr>
        <w:ind w:firstLineChars="200"/>
        <w:rPr>
          <w:rFonts w:hAnsi="宋体"/>
          <w:szCs w:val="21"/>
        </w:rPr>
      </w:pPr>
      <w:r>
        <w:rPr>
          <w:rFonts w:hint="eastAsia" w:hAnsi="宋体"/>
          <w:szCs w:val="21"/>
        </w:rPr>
        <w:t>投标文件电子文件（U盘，须含盖章版PDF投标文件和WORD版投标文件各一版，文字采用WORD文档，计算表格采用 EXCEL文档。）</w:t>
      </w:r>
    </w:p>
    <w:p w14:paraId="4A246946">
      <w:pPr>
        <w:rPr>
          <w:rFonts w:ascii="宋体" w:hAnsi="宋体" w:cs="宋体"/>
          <w:szCs w:val="21"/>
        </w:rPr>
      </w:pPr>
    </w:p>
    <w:p w14:paraId="70A8AC9C">
      <w:pPr>
        <w:pStyle w:val="2"/>
      </w:pPr>
    </w:p>
    <w:sectPr>
      <w:pgSz w:w="11906" w:h="16838"/>
      <w:pgMar w:top="1440" w:right="1800" w:bottom="1440" w:left="1800" w:header="708" w:footer="708" w:gutter="0"/>
      <w:pgNumType w:fmt="decimal"/>
      <w:cols w:space="708" w:num="1"/>
      <w:titlePg/>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Wingdings 2">
    <w:altName w:val="Wingdings"/>
    <w:panose1 w:val="05020102010507070707"/>
    <w:charset w:val="02"/>
    <w:family w:val="roman"/>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6CE45">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EDF78">
    <w:pPr>
      <w:pStyle w:val="1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5DBFC0">
                          <w:pPr>
                            <w:pStyle w:val="19"/>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725DBFC0">
                    <w:pPr>
                      <w:pStyle w:val="19"/>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DC6E0F">
    <w:pPr>
      <w:pStyle w:val="1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79FFF">
    <w:pPr>
      <w:pStyle w:val="1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AAF3D">
    <w:pPr>
      <w:pStyle w:val="1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2B5E941">
                          <w:pPr>
                            <w:pStyle w:val="19"/>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14:paraId="32B5E941">
                    <w:pPr>
                      <w:pStyle w:val="19"/>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D1D53">
    <w:pPr>
      <w:pStyle w:val="19"/>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8C7B205">
                          <w:pPr>
                            <w:pStyle w:val="1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14:paraId="08C7B205">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19D4E">
    <w:pPr>
      <w:pStyle w:val="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D4995">
    <w:pPr>
      <w:pStyle w:val="20"/>
      <w:pBdr>
        <w:bottom w:val="none" w:color="auto" w:sz="0" w:space="1"/>
      </w:pBdr>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CC615">
    <w:pPr>
      <w:pStyle w:val="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5B49DD">
    <w:pPr>
      <w:pStyle w:val="2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555E15"/>
    <w:multiLevelType w:val="singleLevel"/>
    <w:tmpl w:val="C9555E15"/>
    <w:lvl w:ilvl="0" w:tentative="0">
      <w:start w:val="1"/>
      <w:numFmt w:val="decimal"/>
      <w:lvlText w:val="(%1)"/>
      <w:lvlJc w:val="left"/>
      <w:pPr>
        <w:ind w:left="425" w:hanging="425"/>
      </w:pPr>
      <w:rPr>
        <w:rFonts w:hint="default"/>
      </w:rPr>
    </w:lvl>
  </w:abstractNum>
  <w:abstractNum w:abstractNumId="1">
    <w:nsid w:val="CFF174A5"/>
    <w:multiLevelType w:val="singleLevel"/>
    <w:tmpl w:val="CFF174A5"/>
    <w:lvl w:ilvl="0" w:tentative="0">
      <w:start w:val="1"/>
      <w:numFmt w:val="decimal"/>
      <w:suff w:val="nothing"/>
      <w:lvlText w:val="%1、"/>
      <w:lvlJc w:val="left"/>
    </w:lvl>
  </w:abstractNum>
  <w:abstractNum w:abstractNumId="2">
    <w:nsid w:val="D0047B7E"/>
    <w:multiLevelType w:val="singleLevel"/>
    <w:tmpl w:val="D0047B7E"/>
    <w:lvl w:ilvl="0" w:tentative="0">
      <w:start w:val="1"/>
      <w:numFmt w:val="decimal"/>
      <w:suff w:val="nothing"/>
      <w:lvlText w:val="%1、"/>
      <w:lvlJc w:val="left"/>
    </w:lvl>
  </w:abstractNum>
  <w:abstractNum w:abstractNumId="3">
    <w:nsid w:val="00000005"/>
    <w:multiLevelType w:val="multilevel"/>
    <w:tmpl w:val="00000005"/>
    <w:lvl w:ilvl="0" w:tentative="0">
      <w:start w:val="1"/>
      <w:numFmt w:val="decimal"/>
      <w:lvlText w:val="%1."/>
      <w:lvlJc w:val="left"/>
      <w:pPr>
        <w:tabs>
          <w:tab w:val="left" w:pos="0"/>
        </w:tabs>
        <w:ind w:left="0" w:firstLine="420"/>
      </w:pPr>
      <w:rPr>
        <w:rFonts w:hint="default"/>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25"/>
    <w:multiLevelType w:val="multilevel"/>
    <w:tmpl w:val="00000025"/>
    <w:lvl w:ilvl="0" w:tentative="0">
      <w:start w:val="1"/>
      <w:numFmt w:val="decimal"/>
      <w:lvlText w:val="%1"/>
      <w:lvlJc w:val="left"/>
      <w:pPr>
        <w:tabs>
          <w:tab w:val="left" w:pos="420"/>
        </w:tabs>
        <w:ind w:left="420" w:hanging="420"/>
      </w:pPr>
      <w:rPr>
        <w:rFonts w:hint="default"/>
        <w:u w:val="none"/>
      </w:rPr>
    </w:lvl>
    <w:lvl w:ilvl="1" w:tentative="0">
      <w:start w:val="1"/>
      <w:numFmt w:val="lowerLetter"/>
      <w:lvlText w:val="%2)"/>
      <w:lvlJc w:val="left"/>
      <w:pPr>
        <w:tabs>
          <w:tab w:val="left" w:pos="840"/>
        </w:tabs>
        <w:ind w:left="840" w:hanging="420"/>
      </w:pPr>
      <w:rPr>
        <w:rFonts w:hint="default"/>
        <w:u w:val="none"/>
      </w:rPr>
    </w:lvl>
    <w:lvl w:ilvl="2" w:tentative="0">
      <w:start w:val="1"/>
      <w:numFmt w:val="lowerRoman"/>
      <w:lvlText w:val="%3."/>
      <w:lvlJc w:val="right"/>
      <w:pPr>
        <w:tabs>
          <w:tab w:val="left" w:pos="1260"/>
        </w:tabs>
        <w:ind w:left="1260" w:hanging="420"/>
      </w:pPr>
      <w:rPr>
        <w:rFonts w:hint="default"/>
        <w:u w:val="none"/>
      </w:rPr>
    </w:lvl>
    <w:lvl w:ilvl="3" w:tentative="0">
      <w:start w:val="1"/>
      <w:numFmt w:val="decimal"/>
      <w:lvlText w:val="%4."/>
      <w:lvlJc w:val="left"/>
      <w:pPr>
        <w:tabs>
          <w:tab w:val="left" w:pos="1680"/>
        </w:tabs>
        <w:ind w:left="1680" w:hanging="420"/>
      </w:pPr>
      <w:rPr>
        <w:rFonts w:hint="default"/>
        <w:u w:val="none"/>
      </w:rPr>
    </w:lvl>
    <w:lvl w:ilvl="4" w:tentative="0">
      <w:start w:val="1"/>
      <w:numFmt w:val="lowerLetter"/>
      <w:lvlText w:val="%5)"/>
      <w:lvlJc w:val="left"/>
      <w:pPr>
        <w:tabs>
          <w:tab w:val="left" w:pos="2100"/>
        </w:tabs>
        <w:ind w:left="2100" w:hanging="420"/>
      </w:pPr>
      <w:rPr>
        <w:rFonts w:hint="default"/>
        <w:u w:val="none"/>
      </w:rPr>
    </w:lvl>
    <w:lvl w:ilvl="5" w:tentative="0">
      <w:start w:val="1"/>
      <w:numFmt w:val="lowerRoman"/>
      <w:lvlText w:val="%6."/>
      <w:lvlJc w:val="right"/>
      <w:pPr>
        <w:tabs>
          <w:tab w:val="left" w:pos="2520"/>
        </w:tabs>
        <w:ind w:left="2520" w:hanging="420"/>
      </w:pPr>
      <w:rPr>
        <w:rFonts w:hint="default"/>
        <w:u w:val="none"/>
      </w:rPr>
    </w:lvl>
    <w:lvl w:ilvl="6" w:tentative="0">
      <w:start w:val="1"/>
      <w:numFmt w:val="decimal"/>
      <w:lvlText w:val="%7."/>
      <w:lvlJc w:val="left"/>
      <w:pPr>
        <w:tabs>
          <w:tab w:val="left" w:pos="2940"/>
        </w:tabs>
        <w:ind w:left="2940" w:hanging="420"/>
      </w:pPr>
      <w:rPr>
        <w:rFonts w:hint="default"/>
        <w:u w:val="none"/>
      </w:rPr>
    </w:lvl>
    <w:lvl w:ilvl="7" w:tentative="0">
      <w:start w:val="1"/>
      <w:numFmt w:val="lowerLetter"/>
      <w:lvlText w:val="%8)"/>
      <w:lvlJc w:val="left"/>
      <w:pPr>
        <w:tabs>
          <w:tab w:val="left" w:pos="3360"/>
        </w:tabs>
        <w:ind w:left="3360" w:hanging="420"/>
      </w:pPr>
      <w:rPr>
        <w:rFonts w:hint="default"/>
        <w:u w:val="none"/>
      </w:rPr>
    </w:lvl>
    <w:lvl w:ilvl="8" w:tentative="0">
      <w:start w:val="1"/>
      <w:numFmt w:val="lowerRoman"/>
      <w:lvlText w:val="%9."/>
      <w:lvlJc w:val="right"/>
      <w:pPr>
        <w:tabs>
          <w:tab w:val="left" w:pos="3780"/>
        </w:tabs>
        <w:ind w:left="3780" w:hanging="420"/>
      </w:pPr>
      <w:rPr>
        <w:rFonts w:hint="default"/>
        <w:u w:val="none"/>
      </w:rPr>
    </w:lvl>
  </w:abstractNum>
  <w:abstractNum w:abstractNumId="5">
    <w:nsid w:val="13387DFE"/>
    <w:multiLevelType w:val="multilevel"/>
    <w:tmpl w:val="13387DFE"/>
    <w:lvl w:ilvl="0" w:tentative="0">
      <w:start w:val="1"/>
      <w:numFmt w:val="decimal"/>
      <w:lvlText w:val="%1."/>
      <w:lvlJc w:val="left"/>
      <w:pPr>
        <w:tabs>
          <w:tab w:val="left" w:pos="425"/>
        </w:tabs>
        <w:ind w:left="425" w:hanging="425"/>
      </w:pPr>
      <w:rPr>
        <w:rFonts w:hint="eastAsia" w:ascii="宋体" w:hAnsi="宋体" w:eastAsia="宋体"/>
      </w:rPr>
    </w:lvl>
    <w:lvl w:ilvl="1" w:tentative="0">
      <w:start w:val="1"/>
      <w:numFmt w:val="decimal"/>
      <w:lvlText w:val="%1.%2."/>
      <w:lvlJc w:val="left"/>
      <w:pPr>
        <w:tabs>
          <w:tab w:val="left" w:pos="567"/>
        </w:tabs>
        <w:ind w:left="567" w:hanging="567"/>
      </w:pPr>
      <w:rPr>
        <w:rFonts w:hint="eastAsia" w:ascii="宋体" w:hAnsi="宋体" w:eastAsia="宋体"/>
        <w:color w:val="auto"/>
      </w:rPr>
    </w:lvl>
    <w:lvl w:ilvl="2" w:tentative="0">
      <w:start w:val="1"/>
      <w:numFmt w:val="decimal"/>
      <w:lvlText w:val="%1.%2.%3."/>
      <w:lvlJc w:val="left"/>
      <w:pPr>
        <w:tabs>
          <w:tab w:val="left" w:pos="794"/>
        </w:tabs>
        <w:ind w:left="794" w:hanging="794"/>
      </w:pPr>
      <w:rPr>
        <w:rFonts w:hint="eastAsia" w:ascii="宋体" w:hAnsi="宋体" w:eastAsia="宋体"/>
      </w:rPr>
    </w:lvl>
    <w:lvl w:ilvl="3" w:tentative="0">
      <w:start w:val="1"/>
      <w:numFmt w:val="decimal"/>
      <w:lvlText w:val="%1.%2.%3.%4."/>
      <w:lvlJc w:val="left"/>
      <w:pPr>
        <w:tabs>
          <w:tab w:val="left" w:pos="454"/>
        </w:tabs>
        <w:ind w:left="1021" w:hanging="1021"/>
      </w:pPr>
      <w:rPr>
        <w:rFonts w:hint="eastAsia" w:ascii="宋体" w:hAnsi="宋体" w:eastAsia="宋体"/>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6">
    <w:nsid w:val="20D2348B"/>
    <w:multiLevelType w:val="singleLevel"/>
    <w:tmpl w:val="20D2348B"/>
    <w:lvl w:ilvl="0" w:tentative="0">
      <w:start w:val="1"/>
      <w:numFmt w:val="chineseCounting"/>
      <w:suff w:val="nothing"/>
      <w:lvlText w:val="（%1）"/>
      <w:lvlJc w:val="left"/>
      <w:rPr>
        <w:rFonts w:hint="eastAsia"/>
      </w:rPr>
    </w:lvl>
  </w:abstractNum>
  <w:abstractNum w:abstractNumId="7">
    <w:nsid w:val="3F88662E"/>
    <w:multiLevelType w:val="singleLevel"/>
    <w:tmpl w:val="3F88662E"/>
    <w:lvl w:ilvl="0" w:tentative="0">
      <w:start w:val="1"/>
      <w:numFmt w:val="decimal"/>
      <w:suff w:val="space"/>
      <w:lvlText w:val="%1)"/>
      <w:lvlJc w:val="left"/>
    </w:lvl>
  </w:abstractNum>
  <w:abstractNum w:abstractNumId="8">
    <w:nsid w:val="580745EB"/>
    <w:multiLevelType w:val="multilevel"/>
    <w:tmpl w:val="580745EB"/>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59C5D728"/>
    <w:multiLevelType w:val="singleLevel"/>
    <w:tmpl w:val="59C5D728"/>
    <w:lvl w:ilvl="0" w:tentative="0">
      <w:start w:val="1"/>
      <w:numFmt w:val="chineseCounting"/>
      <w:suff w:val="nothing"/>
      <w:lvlText w:val="%1、"/>
      <w:lvlJc w:val="left"/>
      <w:pPr>
        <w:ind w:left="0" w:firstLine="420"/>
      </w:pPr>
      <w:rPr>
        <w:rFonts w:hint="eastAsia"/>
      </w:rPr>
    </w:lvl>
  </w:abstractNum>
  <w:abstractNum w:abstractNumId="10">
    <w:nsid w:val="5C183DB0"/>
    <w:multiLevelType w:val="multilevel"/>
    <w:tmpl w:val="5C183DB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D1539A1"/>
    <w:multiLevelType w:val="multilevel"/>
    <w:tmpl w:val="5D1539A1"/>
    <w:lvl w:ilvl="0" w:tentative="0">
      <w:start w:val="1"/>
      <w:numFmt w:val="decimal"/>
      <w:lvlText w:val="（%1）"/>
      <w:lvlJc w:val="left"/>
      <w:pPr>
        <w:ind w:left="1287" w:hanging="720"/>
      </w:pPr>
      <w:rPr>
        <w:rFonts w:hint="default"/>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12">
    <w:nsid w:val="7B12042B"/>
    <w:multiLevelType w:val="singleLevel"/>
    <w:tmpl w:val="7B12042B"/>
    <w:lvl w:ilvl="0" w:tentative="0">
      <w:start w:val="1"/>
      <w:numFmt w:val="bullet"/>
      <w:pStyle w:val="12"/>
      <w:lvlText w:val=""/>
      <w:lvlJc w:val="left"/>
      <w:pPr>
        <w:tabs>
          <w:tab w:val="left" w:pos="360"/>
        </w:tabs>
        <w:ind w:left="360" w:hanging="360"/>
      </w:pPr>
      <w:rPr>
        <w:rFonts w:hint="default" w:ascii="Wingdings" w:hAnsi="Wingdings"/>
      </w:rPr>
    </w:lvl>
  </w:abstractNum>
  <w:num w:numId="1">
    <w:abstractNumId w:val="12"/>
  </w:num>
  <w:num w:numId="2">
    <w:abstractNumId w:val="8"/>
  </w:num>
  <w:num w:numId="3">
    <w:abstractNumId w:val="11"/>
  </w:num>
  <w:num w:numId="4">
    <w:abstractNumId w:val="7"/>
  </w:num>
  <w:num w:numId="5">
    <w:abstractNumId w:val="4"/>
  </w:num>
  <w:num w:numId="6">
    <w:abstractNumId w:val="0"/>
  </w:num>
  <w:num w:numId="7">
    <w:abstractNumId w:val="5"/>
  </w:num>
  <w:num w:numId="8">
    <w:abstractNumId w:val="1"/>
  </w:num>
  <w:num w:numId="9">
    <w:abstractNumId w:val="3"/>
  </w:num>
  <w:num w:numId="10">
    <w:abstractNumId w:val="6"/>
  </w:num>
  <w:num w:numId="11">
    <w:abstractNumId w:val="2"/>
  </w:num>
  <w:num w:numId="12">
    <w:abstractNumId w:val="1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hideSpellingErrors/>
  <w:documentProtection w:enforcement="0"/>
  <w:defaultTabStop w:val="720"/>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NkMDhhZTExNjFiYTBkZmI2NzQwMzM2MTQ2YTBhMTYifQ=="/>
  </w:docVars>
  <w:rsids>
    <w:rsidRoot w:val="00172A27"/>
    <w:rsid w:val="00005A66"/>
    <w:rsid w:val="00006462"/>
    <w:rsid w:val="000300E4"/>
    <w:rsid w:val="0003307E"/>
    <w:rsid w:val="000336BA"/>
    <w:rsid w:val="000359A1"/>
    <w:rsid w:val="0005185D"/>
    <w:rsid w:val="0007500F"/>
    <w:rsid w:val="0008282E"/>
    <w:rsid w:val="00084F6D"/>
    <w:rsid w:val="00093A13"/>
    <w:rsid w:val="000A363F"/>
    <w:rsid w:val="000A42A8"/>
    <w:rsid w:val="000A5063"/>
    <w:rsid w:val="000A5DBD"/>
    <w:rsid w:val="000C4524"/>
    <w:rsid w:val="000D44A6"/>
    <w:rsid w:val="000E2CB7"/>
    <w:rsid w:val="000F0E98"/>
    <w:rsid w:val="000F1444"/>
    <w:rsid w:val="001049A5"/>
    <w:rsid w:val="001120E0"/>
    <w:rsid w:val="00121ADA"/>
    <w:rsid w:val="001242F3"/>
    <w:rsid w:val="001332BB"/>
    <w:rsid w:val="00134CAD"/>
    <w:rsid w:val="001368B7"/>
    <w:rsid w:val="0013730B"/>
    <w:rsid w:val="00137853"/>
    <w:rsid w:val="00137E1C"/>
    <w:rsid w:val="00147012"/>
    <w:rsid w:val="00172A27"/>
    <w:rsid w:val="00173126"/>
    <w:rsid w:val="00173905"/>
    <w:rsid w:val="00173E04"/>
    <w:rsid w:val="00175D29"/>
    <w:rsid w:val="001833A1"/>
    <w:rsid w:val="001844F4"/>
    <w:rsid w:val="00185039"/>
    <w:rsid w:val="001852D7"/>
    <w:rsid w:val="001A06D8"/>
    <w:rsid w:val="001A2D42"/>
    <w:rsid w:val="001A2EF7"/>
    <w:rsid w:val="001B1F14"/>
    <w:rsid w:val="001B41CF"/>
    <w:rsid w:val="001B5860"/>
    <w:rsid w:val="001C1135"/>
    <w:rsid w:val="001C15AE"/>
    <w:rsid w:val="001C4661"/>
    <w:rsid w:val="001C5689"/>
    <w:rsid w:val="001C6E4B"/>
    <w:rsid w:val="001F0070"/>
    <w:rsid w:val="001F4B02"/>
    <w:rsid w:val="001F6BC7"/>
    <w:rsid w:val="002065A7"/>
    <w:rsid w:val="0021149E"/>
    <w:rsid w:val="00213021"/>
    <w:rsid w:val="00216BE9"/>
    <w:rsid w:val="00221E7A"/>
    <w:rsid w:val="0022503E"/>
    <w:rsid w:val="00225BB4"/>
    <w:rsid w:val="00226313"/>
    <w:rsid w:val="002373BB"/>
    <w:rsid w:val="00240F5F"/>
    <w:rsid w:val="00247224"/>
    <w:rsid w:val="00247AE0"/>
    <w:rsid w:val="00260AC1"/>
    <w:rsid w:val="0026312D"/>
    <w:rsid w:val="0027078E"/>
    <w:rsid w:val="0028395F"/>
    <w:rsid w:val="00284156"/>
    <w:rsid w:val="00285643"/>
    <w:rsid w:val="002867A1"/>
    <w:rsid w:val="002901F8"/>
    <w:rsid w:val="002920A4"/>
    <w:rsid w:val="002B4087"/>
    <w:rsid w:val="002B5F6C"/>
    <w:rsid w:val="002C6C78"/>
    <w:rsid w:val="002D1594"/>
    <w:rsid w:val="002D3F9C"/>
    <w:rsid w:val="002D503C"/>
    <w:rsid w:val="002D7E27"/>
    <w:rsid w:val="002E17E5"/>
    <w:rsid w:val="002E6B7E"/>
    <w:rsid w:val="002F0FC9"/>
    <w:rsid w:val="0030669E"/>
    <w:rsid w:val="003101A3"/>
    <w:rsid w:val="00320CEA"/>
    <w:rsid w:val="00323B43"/>
    <w:rsid w:val="00326831"/>
    <w:rsid w:val="003274CE"/>
    <w:rsid w:val="003361E9"/>
    <w:rsid w:val="003430F6"/>
    <w:rsid w:val="00353842"/>
    <w:rsid w:val="0035595E"/>
    <w:rsid w:val="00381C26"/>
    <w:rsid w:val="0038564C"/>
    <w:rsid w:val="00387CE4"/>
    <w:rsid w:val="00393B1D"/>
    <w:rsid w:val="003A1D97"/>
    <w:rsid w:val="003C18EB"/>
    <w:rsid w:val="003C1E4E"/>
    <w:rsid w:val="003C32D3"/>
    <w:rsid w:val="003C3B19"/>
    <w:rsid w:val="003C412B"/>
    <w:rsid w:val="003C415C"/>
    <w:rsid w:val="003D36FB"/>
    <w:rsid w:val="003D37D8"/>
    <w:rsid w:val="003E0802"/>
    <w:rsid w:val="003E18E7"/>
    <w:rsid w:val="003E2B8C"/>
    <w:rsid w:val="003F46B4"/>
    <w:rsid w:val="003F4822"/>
    <w:rsid w:val="00401C64"/>
    <w:rsid w:val="00401CC0"/>
    <w:rsid w:val="00410AB5"/>
    <w:rsid w:val="00410F11"/>
    <w:rsid w:val="00411067"/>
    <w:rsid w:val="004203B9"/>
    <w:rsid w:val="004322A2"/>
    <w:rsid w:val="004358AB"/>
    <w:rsid w:val="00451EB4"/>
    <w:rsid w:val="00460B31"/>
    <w:rsid w:val="00462105"/>
    <w:rsid w:val="00475A80"/>
    <w:rsid w:val="00475BB4"/>
    <w:rsid w:val="00490B9E"/>
    <w:rsid w:val="00497577"/>
    <w:rsid w:val="004A05D7"/>
    <w:rsid w:val="004A2B28"/>
    <w:rsid w:val="004A69F1"/>
    <w:rsid w:val="004B3550"/>
    <w:rsid w:val="004B3F06"/>
    <w:rsid w:val="004C7FD6"/>
    <w:rsid w:val="004D08C0"/>
    <w:rsid w:val="004D1669"/>
    <w:rsid w:val="004D1736"/>
    <w:rsid w:val="004D51A2"/>
    <w:rsid w:val="004D5AFB"/>
    <w:rsid w:val="004E04FD"/>
    <w:rsid w:val="004F1BB7"/>
    <w:rsid w:val="0050759C"/>
    <w:rsid w:val="00510827"/>
    <w:rsid w:val="005267F1"/>
    <w:rsid w:val="005269A9"/>
    <w:rsid w:val="00532034"/>
    <w:rsid w:val="00545D9A"/>
    <w:rsid w:val="00546A42"/>
    <w:rsid w:val="0055408D"/>
    <w:rsid w:val="0057492D"/>
    <w:rsid w:val="0058523E"/>
    <w:rsid w:val="00590819"/>
    <w:rsid w:val="00593D68"/>
    <w:rsid w:val="005A208B"/>
    <w:rsid w:val="005A555E"/>
    <w:rsid w:val="005A7612"/>
    <w:rsid w:val="005B58A6"/>
    <w:rsid w:val="005C57E1"/>
    <w:rsid w:val="005C702E"/>
    <w:rsid w:val="005D01B8"/>
    <w:rsid w:val="005D066B"/>
    <w:rsid w:val="005D2D85"/>
    <w:rsid w:val="005D52E7"/>
    <w:rsid w:val="005F021D"/>
    <w:rsid w:val="005F20A4"/>
    <w:rsid w:val="005F4EAE"/>
    <w:rsid w:val="005F573A"/>
    <w:rsid w:val="005F660B"/>
    <w:rsid w:val="005F7EB1"/>
    <w:rsid w:val="00604B81"/>
    <w:rsid w:val="0061246F"/>
    <w:rsid w:val="00613417"/>
    <w:rsid w:val="00613B25"/>
    <w:rsid w:val="0061545F"/>
    <w:rsid w:val="006175DE"/>
    <w:rsid w:val="006215AC"/>
    <w:rsid w:val="00621821"/>
    <w:rsid w:val="00622362"/>
    <w:rsid w:val="00622497"/>
    <w:rsid w:val="006276AD"/>
    <w:rsid w:val="006347A6"/>
    <w:rsid w:val="006378D4"/>
    <w:rsid w:val="00641E8C"/>
    <w:rsid w:val="0064416A"/>
    <w:rsid w:val="006476E3"/>
    <w:rsid w:val="00650DDC"/>
    <w:rsid w:val="00652983"/>
    <w:rsid w:val="0065365D"/>
    <w:rsid w:val="006546D0"/>
    <w:rsid w:val="006576FD"/>
    <w:rsid w:val="00664F6B"/>
    <w:rsid w:val="006731D2"/>
    <w:rsid w:val="00680EB0"/>
    <w:rsid w:val="00682986"/>
    <w:rsid w:val="00691701"/>
    <w:rsid w:val="00691AE0"/>
    <w:rsid w:val="0069491E"/>
    <w:rsid w:val="006B004E"/>
    <w:rsid w:val="006B3E6C"/>
    <w:rsid w:val="006B4832"/>
    <w:rsid w:val="006B7878"/>
    <w:rsid w:val="006C14BD"/>
    <w:rsid w:val="006C28E5"/>
    <w:rsid w:val="006C67A9"/>
    <w:rsid w:val="006D393E"/>
    <w:rsid w:val="006D43C5"/>
    <w:rsid w:val="006D4AD8"/>
    <w:rsid w:val="006E0B58"/>
    <w:rsid w:val="006E0C4B"/>
    <w:rsid w:val="00704F7B"/>
    <w:rsid w:val="007110BA"/>
    <w:rsid w:val="00711465"/>
    <w:rsid w:val="00716E96"/>
    <w:rsid w:val="00723B11"/>
    <w:rsid w:val="007343A7"/>
    <w:rsid w:val="00734BB2"/>
    <w:rsid w:val="00737823"/>
    <w:rsid w:val="0075028E"/>
    <w:rsid w:val="007528A6"/>
    <w:rsid w:val="007608B9"/>
    <w:rsid w:val="007724B4"/>
    <w:rsid w:val="0077462B"/>
    <w:rsid w:val="007902ED"/>
    <w:rsid w:val="007916E7"/>
    <w:rsid w:val="00797C5D"/>
    <w:rsid w:val="00797D2F"/>
    <w:rsid w:val="007A34B9"/>
    <w:rsid w:val="007A3EF1"/>
    <w:rsid w:val="007A4DB3"/>
    <w:rsid w:val="007A6F47"/>
    <w:rsid w:val="007A7779"/>
    <w:rsid w:val="007C4F46"/>
    <w:rsid w:val="007C7297"/>
    <w:rsid w:val="007D1B4F"/>
    <w:rsid w:val="007D2F9E"/>
    <w:rsid w:val="007D3175"/>
    <w:rsid w:val="007D48BF"/>
    <w:rsid w:val="007D5C45"/>
    <w:rsid w:val="007E2543"/>
    <w:rsid w:val="007E4A26"/>
    <w:rsid w:val="007E7A17"/>
    <w:rsid w:val="007F01B0"/>
    <w:rsid w:val="007F259D"/>
    <w:rsid w:val="007F2CD8"/>
    <w:rsid w:val="007F4DC5"/>
    <w:rsid w:val="00806380"/>
    <w:rsid w:val="0081104F"/>
    <w:rsid w:val="0081319A"/>
    <w:rsid w:val="00822299"/>
    <w:rsid w:val="0083486A"/>
    <w:rsid w:val="00837E35"/>
    <w:rsid w:val="00841378"/>
    <w:rsid w:val="00842B87"/>
    <w:rsid w:val="00845BEB"/>
    <w:rsid w:val="008472E6"/>
    <w:rsid w:val="008518B4"/>
    <w:rsid w:val="00853463"/>
    <w:rsid w:val="008548BD"/>
    <w:rsid w:val="0086026F"/>
    <w:rsid w:val="008640F5"/>
    <w:rsid w:val="0087704E"/>
    <w:rsid w:val="008907DA"/>
    <w:rsid w:val="008A0587"/>
    <w:rsid w:val="008A7273"/>
    <w:rsid w:val="008B55B9"/>
    <w:rsid w:val="008B7726"/>
    <w:rsid w:val="008C05BA"/>
    <w:rsid w:val="008D429E"/>
    <w:rsid w:val="008D5A10"/>
    <w:rsid w:val="008E319F"/>
    <w:rsid w:val="008E619C"/>
    <w:rsid w:val="008F6E0E"/>
    <w:rsid w:val="00906F49"/>
    <w:rsid w:val="00907417"/>
    <w:rsid w:val="00914604"/>
    <w:rsid w:val="00916A34"/>
    <w:rsid w:val="0092092D"/>
    <w:rsid w:val="00923533"/>
    <w:rsid w:val="00930A38"/>
    <w:rsid w:val="00934170"/>
    <w:rsid w:val="00942948"/>
    <w:rsid w:val="009474B5"/>
    <w:rsid w:val="00953E98"/>
    <w:rsid w:val="00960F22"/>
    <w:rsid w:val="00972D86"/>
    <w:rsid w:val="009736BF"/>
    <w:rsid w:val="0097392B"/>
    <w:rsid w:val="00976066"/>
    <w:rsid w:val="00980A66"/>
    <w:rsid w:val="009904F7"/>
    <w:rsid w:val="009910F6"/>
    <w:rsid w:val="009A07B1"/>
    <w:rsid w:val="009A6B4A"/>
    <w:rsid w:val="009A7058"/>
    <w:rsid w:val="009C19DE"/>
    <w:rsid w:val="009C23A6"/>
    <w:rsid w:val="009C5206"/>
    <w:rsid w:val="009C6AD9"/>
    <w:rsid w:val="009E398C"/>
    <w:rsid w:val="009E6F05"/>
    <w:rsid w:val="009F644E"/>
    <w:rsid w:val="009F6A05"/>
    <w:rsid w:val="00A01BE2"/>
    <w:rsid w:val="00A10906"/>
    <w:rsid w:val="00A12E66"/>
    <w:rsid w:val="00A13E78"/>
    <w:rsid w:val="00A14EEF"/>
    <w:rsid w:val="00A23304"/>
    <w:rsid w:val="00A275C2"/>
    <w:rsid w:val="00A3295D"/>
    <w:rsid w:val="00A4012F"/>
    <w:rsid w:val="00A4190E"/>
    <w:rsid w:val="00A42E91"/>
    <w:rsid w:val="00A50383"/>
    <w:rsid w:val="00A61230"/>
    <w:rsid w:val="00A668C8"/>
    <w:rsid w:val="00A74ED3"/>
    <w:rsid w:val="00A813C5"/>
    <w:rsid w:val="00A824E6"/>
    <w:rsid w:val="00A832CD"/>
    <w:rsid w:val="00A858DC"/>
    <w:rsid w:val="00A94D14"/>
    <w:rsid w:val="00AA0EAD"/>
    <w:rsid w:val="00AB19CE"/>
    <w:rsid w:val="00AB2133"/>
    <w:rsid w:val="00AB3969"/>
    <w:rsid w:val="00AC0E7A"/>
    <w:rsid w:val="00AC187B"/>
    <w:rsid w:val="00AE310E"/>
    <w:rsid w:val="00AE4FC5"/>
    <w:rsid w:val="00AF1B1B"/>
    <w:rsid w:val="00AF5F1F"/>
    <w:rsid w:val="00B027A4"/>
    <w:rsid w:val="00B04202"/>
    <w:rsid w:val="00B236B3"/>
    <w:rsid w:val="00B26806"/>
    <w:rsid w:val="00B31B24"/>
    <w:rsid w:val="00B4287F"/>
    <w:rsid w:val="00B4315F"/>
    <w:rsid w:val="00B43306"/>
    <w:rsid w:val="00B60DAB"/>
    <w:rsid w:val="00B61CB1"/>
    <w:rsid w:val="00B63189"/>
    <w:rsid w:val="00B67B5C"/>
    <w:rsid w:val="00B7194E"/>
    <w:rsid w:val="00B73575"/>
    <w:rsid w:val="00B7380A"/>
    <w:rsid w:val="00B763B0"/>
    <w:rsid w:val="00B91005"/>
    <w:rsid w:val="00B92951"/>
    <w:rsid w:val="00B93045"/>
    <w:rsid w:val="00B93169"/>
    <w:rsid w:val="00B950B6"/>
    <w:rsid w:val="00BA4130"/>
    <w:rsid w:val="00BB2CAF"/>
    <w:rsid w:val="00BB79B5"/>
    <w:rsid w:val="00BC3E74"/>
    <w:rsid w:val="00BD630F"/>
    <w:rsid w:val="00BD7C1B"/>
    <w:rsid w:val="00BE0825"/>
    <w:rsid w:val="00BE2EE6"/>
    <w:rsid w:val="00BF17FD"/>
    <w:rsid w:val="00BF2820"/>
    <w:rsid w:val="00BF41D4"/>
    <w:rsid w:val="00BF5AFB"/>
    <w:rsid w:val="00C16734"/>
    <w:rsid w:val="00C17B47"/>
    <w:rsid w:val="00C25C77"/>
    <w:rsid w:val="00C303E7"/>
    <w:rsid w:val="00C319C2"/>
    <w:rsid w:val="00C53CE5"/>
    <w:rsid w:val="00C612F8"/>
    <w:rsid w:val="00C62E44"/>
    <w:rsid w:val="00C63BD8"/>
    <w:rsid w:val="00C65954"/>
    <w:rsid w:val="00C7126B"/>
    <w:rsid w:val="00C72C24"/>
    <w:rsid w:val="00C73468"/>
    <w:rsid w:val="00C74986"/>
    <w:rsid w:val="00C80EC4"/>
    <w:rsid w:val="00C8568E"/>
    <w:rsid w:val="00CA32B5"/>
    <w:rsid w:val="00CB57AD"/>
    <w:rsid w:val="00CC009D"/>
    <w:rsid w:val="00CC584A"/>
    <w:rsid w:val="00CC5E4E"/>
    <w:rsid w:val="00CD0EAB"/>
    <w:rsid w:val="00CE2AF3"/>
    <w:rsid w:val="00CE621D"/>
    <w:rsid w:val="00CE66E8"/>
    <w:rsid w:val="00D05388"/>
    <w:rsid w:val="00D114CD"/>
    <w:rsid w:val="00D14476"/>
    <w:rsid w:val="00D232FF"/>
    <w:rsid w:val="00D279AA"/>
    <w:rsid w:val="00D31215"/>
    <w:rsid w:val="00D34544"/>
    <w:rsid w:val="00D34841"/>
    <w:rsid w:val="00D4444E"/>
    <w:rsid w:val="00D44A97"/>
    <w:rsid w:val="00D45C0C"/>
    <w:rsid w:val="00D508A5"/>
    <w:rsid w:val="00D5104B"/>
    <w:rsid w:val="00D555D8"/>
    <w:rsid w:val="00D60778"/>
    <w:rsid w:val="00D63EB2"/>
    <w:rsid w:val="00D64D28"/>
    <w:rsid w:val="00D6604D"/>
    <w:rsid w:val="00D677F1"/>
    <w:rsid w:val="00D74601"/>
    <w:rsid w:val="00D83E46"/>
    <w:rsid w:val="00D847B6"/>
    <w:rsid w:val="00D93958"/>
    <w:rsid w:val="00D951D3"/>
    <w:rsid w:val="00DA1DB9"/>
    <w:rsid w:val="00DA6169"/>
    <w:rsid w:val="00DA7B28"/>
    <w:rsid w:val="00DB5480"/>
    <w:rsid w:val="00DB6317"/>
    <w:rsid w:val="00DC2FC5"/>
    <w:rsid w:val="00DC5AD9"/>
    <w:rsid w:val="00DC691F"/>
    <w:rsid w:val="00DD02DE"/>
    <w:rsid w:val="00DD07B7"/>
    <w:rsid w:val="00DD113C"/>
    <w:rsid w:val="00DD324C"/>
    <w:rsid w:val="00DE0BEB"/>
    <w:rsid w:val="00DE4856"/>
    <w:rsid w:val="00DF485B"/>
    <w:rsid w:val="00E0295D"/>
    <w:rsid w:val="00E042BC"/>
    <w:rsid w:val="00E132FE"/>
    <w:rsid w:val="00E21B77"/>
    <w:rsid w:val="00E23352"/>
    <w:rsid w:val="00E40CAD"/>
    <w:rsid w:val="00E40DC7"/>
    <w:rsid w:val="00E4215F"/>
    <w:rsid w:val="00E61D2E"/>
    <w:rsid w:val="00E62B7F"/>
    <w:rsid w:val="00E7066D"/>
    <w:rsid w:val="00E726BC"/>
    <w:rsid w:val="00E72821"/>
    <w:rsid w:val="00E75C82"/>
    <w:rsid w:val="00E81DDC"/>
    <w:rsid w:val="00E81F67"/>
    <w:rsid w:val="00E83650"/>
    <w:rsid w:val="00E83A31"/>
    <w:rsid w:val="00E93BF5"/>
    <w:rsid w:val="00E97CC0"/>
    <w:rsid w:val="00EA22B8"/>
    <w:rsid w:val="00EA2524"/>
    <w:rsid w:val="00EA33E7"/>
    <w:rsid w:val="00EC092D"/>
    <w:rsid w:val="00EC0DF8"/>
    <w:rsid w:val="00EC7F91"/>
    <w:rsid w:val="00ED378B"/>
    <w:rsid w:val="00EE08F9"/>
    <w:rsid w:val="00EE70B3"/>
    <w:rsid w:val="00EF24AA"/>
    <w:rsid w:val="00EF728A"/>
    <w:rsid w:val="00EF7D0D"/>
    <w:rsid w:val="00F00FF7"/>
    <w:rsid w:val="00F02093"/>
    <w:rsid w:val="00F068E3"/>
    <w:rsid w:val="00F10B5F"/>
    <w:rsid w:val="00F218C1"/>
    <w:rsid w:val="00F321EB"/>
    <w:rsid w:val="00F32B00"/>
    <w:rsid w:val="00F346CF"/>
    <w:rsid w:val="00F3610C"/>
    <w:rsid w:val="00F36839"/>
    <w:rsid w:val="00F52A5F"/>
    <w:rsid w:val="00F55954"/>
    <w:rsid w:val="00F57308"/>
    <w:rsid w:val="00F61962"/>
    <w:rsid w:val="00F62865"/>
    <w:rsid w:val="00F64022"/>
    <w:rsid w:val="00F64660"/>
    <w:rsid w:val="00F74FF3"/>
    <w:rsid w:val="00F97062"/>
    <w:rsid w:val="00F9745D"/>
    <w:rsid w:val="00FA07A9"/>
    <w:rsid w:val="00FA54B2"/>
    <w:rsid w:val="00FC0FCB"/>
    <w:rsid w:val="00FC529F"/>
    <w:rsid w:val="00FC66E1"/>
    <w:rsid w:val="00FC7B53"/>
    <w:rsid w:val="00FD48CC"/>
    <w:rsid w:val="00FE62D1"/>
    <w:rsid w:val="00FE7B94"/>
    <w:rsid w:val="00FF0736"/>
    <w:rsid w:val="00FF2515"/>
    <w:rsid w:val="00FF26BF"/>
    <w:rsid w:val="010A2CBD"/>
    <w:rsid w:val="013C51B0"/>
    <w:rsid w:val="01651C23"/>
    <w:rsid w:val="018023CE"/>
    <w:rsid w:val="01881AD6"/>
    <w:rsid w:val="019127B6"/>
    <w:rsid w:val="01B71A01"/>
    <w:rsid w:val="01DC03CE"/>
    <w:rsid w:val="01E36F4E"/>
    <w:rsid w:val="0208150E"/>
    <w:rsid w:val="02287D63"/>
    <w:rsid w:val="024179E7"/>
    <w:rsid w:val="0246437B"/>
    <w:rsid w:val="02985CD5"/>
    <w:rsid w:val="02A741FD"/>
    <w:rsid w:val="02C16E5D"/>
    <w:rsid w:val="02D964CF"/>
    <w:rsid w:val="02DE5ECF"/>
    <w:rsid w:val="032E6AB8"/>
    <w:rsid w:val="03707410"/>
    <w:rsid w:val="039170C0"/>
    <w:rsid w:val="039240A3"/>
    <w:rsid w:val="03A0770F"/>
    <w:rsid w:val="03A27726"/>
    <w:rsid w:val="03A448B8"/>
    <w:rsid w:val="03B34A78"/>
    <w:rsid w:val="03C01631"/>
    <w:rsid w:val="03C656A9"/>
    <w:rsid w:val="03F33148"/>
    <w:rsid w:val="042F3419"/>
    <w:rsid w:val="04491596"/>
    <w:rsid w:val="047B4012"/>
    <w:rsid w:val="04822497"/>
    <w:rsid w:val="04974587"/>
    <w:rsid w:val="049A0C65"/>
    <w:rsid w:val="04A07C4B"/>
    <w:rsid w:val="04DF1036"/>
    <w:rsid w:val="04E24985"/>
    <w:rsid w:val="050C01DF"/>
    <w:rsid w:val="05316537"/>
    <w:rsid w:val="053A5A77"/>
    <w:rsid w:val="0599183C"/>
    <w:rsid w:val="05A97DEC"/>
    <w:rsid w:val="05B23978"/>
    <w:rsid w:val="05C81981"/>
    <w:rsid w:val="05FC20B9"/>
    <w:rsid w:val="060043AE"/>
    <w:rsid w:val="060C3203"/>
    <w:rsid w:val="06281344"/>
    <w:rsid w:val="062D4EC8"/>
    <w:rsid w:val="069B4E4A"/>
    <w:rsid w:val="06A26008"/>
    <w:rsid w:val="06BC41F2"/>
    <w:rsid w:val="06F415CC"/>
    <w:rsid w:val="070E26CD"/>
    <w:rsid w:val="07197D08"/>
    <w:rsid w:val="071E5C55"/>
    <w:rsid w:val="07222BC4"/>
    <w:rsid w:val="075C1FE5"/>
    <w:rsid w:val="077005AB"/>
    <w:rsid w:val="078F4581"/>
    <w:rsid w:val="07A715F3"/>
    <w:rsid w:val="07BF027F"/>
    <w:rsid w:val="07F06C60"/>
    <w:rsid w:val="08031A31"/>
    <w:rsid w:val="080E2872"/>
    <w:rsid w:val="08420CAE"/>
    <w:rsid w:val="089A5AE8"/>
    <w:rsid w:val="09061A75"/>
    <w:rsid w:val="09182241"/>
    <w:rsid w:val="09325D4D"/>
    <w:rsid w:val="095F1030"/>
    <w:rsid w:val="09855177"/>
    <w:rsid w:val="09A17D47"/>
    <w:rsid w:val="09EE5125"/>
    <w:rsid w:val="0A3D7585"/>
    <w:rsid w:val="0A462748"/>
    <w:rsid w:val="0A4D0C81"/>
    <w:rsid w:val="0A723E95"/>
    <w:rsid w:val="0A733243"/>
    <w:rsid w:val="0AA534D5"/>
    <w:rsid w:val="0AA650EB"/>
    <w:rsid w:val="0AA7129C"/>
    <w:rsid w:val="0AF47339"/>
    <w:rsid w:val="0B121934"/>
    <w:rsid w:val="0B1F4D52"/>
    <w:rsid w:val="0B22594B"/>
    <w:rsid w:val="0B27506F"/>
    <w:rsid w:val="0B3061AD"/>
    <w:rsid w:val="0B9610F4"/>
    <w:rsid w:val="0BBF77A4"/>
    <w:rsid w:val="0BD16C8D"/>
    <w:rsid w:val="0BDF26F7"/>
    <w:rsid w:val="0C027DB2"/>
    <w:rsid w:val="0C2B4952"/>
    <w:rsid w:val="0C516C55"/>
    <w:rsid w:val="0C5D161C"/>
    <w:rsid w:val="0C7B2220"/>
    <w:rsid w:val="0CB67D83"/>
    <w:rsid w:val="0CCF79BE"/>
    <w:rsid w:val="0CD20599"/>
    <w:rsid w:val="0CE53018"/>
    <w:rsid w:val="0D0B5B12"/>
    <w:rsid w:val="0D133046"/>
    <w:rsid w:val="0D153F28"/>
    <w:rsid w:val="0D305390"/>
    <w:rsid w:val="0D3A0F98"/>
    <w:rsid w:val="0D5D37FD"/>
    <w:rsid w:val="0D6A4502"/>
    <w:rsid w:val="0D7415CA"/>
    <w:rsid w:val="0D890E47"/>
    <w:rsid w:val="0DC64A00"/>
    <w:rsid w:val="0DCF786E"/>
    <w:rsid w:val="0DEB5FFA"/>
    <w:rsid w:val="0DF75C46"/>
    <w:rsid w:val="0DFC60BA"/>
    <w:rsid w:val="0E045D30"/>
    <w:rsid w:val="0E1C06B2"/>
    <w:rsid w:val="0E35000C"/>
    <w:rsid w:val="0E69691B"/>
    <w:rsid w:val="0E7900C2"/>
    <w:rsid w:val="0EBB5484"/>
    <w:rsid w:val="0EBD5AA3"/>
    <w:rsid w:val="0F085784"/>
    <w:rsid w:val="0F5723EF"/>
    <w:rsid w:val="0F7C5FF6"/>
    <w:rsid w:val="0FC63FBD"/>
    <w:rsid w:val="0FDD003F"/>
    <w:rsid w:val="0FF63282"/>
    <w:rsid w:val="0FF87EA4"/>
    <w:rsid w:val="0FFF7484"/>
    <w:rsid w:val="10007DD4"/>
    <w:rsid w:val="100B77ED"/>
    <w:rsid w:val="10305890"/>
    <w:rsid w:val="103D5A1A"/>
    <w:rsid w:val="106C564D"/>
    <w:rsid w:val="10767478"/>
    <w:rsid w:val="107B7B8F"/>
    <w:rsid w:val="107C67CE"/>
    <w:rsid w:val="10912D03"/>
    <w:rsid w:val="109D68CB"/>
    <w:rsid w:val="10A949B8"/>
    <w:rsid w:val="10CB4D26"/>
    <w:rsid w:val="11144AFE"/>
    <w:rsid w:val="11200D07"/>
    <w:rsid w:val="116A3F32"/>
    <w:rsid w:val="11786AB5"/>
    <w:rsid w:val="118049D4"/>
    <w:rsid w:val="118561F8"/>
    <w:rsid w:val="11914FAF"/>
    <w:rsid w:val="11A8021A"/>
    <w:rsid w:val="11B21219"/>
    <w:rsid w:val="11B4024C"/>
    <w:rsid w:val="11DA73AF"/>
    <w:rsid w:val="11FC1ECD"/>
    <w:rsid w:val="12457C5E"/>
    <w:rsid w:val="124D097B"/>
    <w:rsid w:val="12511265"/>
    <w:rsid w:val="126561B4"/>
    <w:rsid w:val="127A3FFC"/>
    <w:rsid w:val="127D0E25"/>
    <w:rsid w:val="127E0B34"/>
    <w:rsid w:val="1283614B"/>
    <w:rsid w:val="12856FF3"/>
    <w:rsid w:val="129671FB"/>
    <w:rsid w:val="12A576FF"/>
    <w:rsid w:val="12C60D80"/>
    <w:rsid w:val="130523B3"/>
    <w:rsid w:val="13097496"/>
    <w:rsid w:val="13154AD2"/>
    <w:rsid w:val="131F7A3A"/>
    <w:rsid w:val="132645D0"/>
    <w:rsid w:val="134312FF"/>
    <w:rsid w:val="13455ABC"/>
    <w:rsid w:val="1370322B"/>
    <w:rsid w:val="13BA0460"/>
    <w:rsid w:val="13BB41AE"/>
    <w:rsid w:val="13C24F9B"/>
    <w:rsid w:val="13C45A18"/>
    <w:rsid w:val="13C9247B"/>
    <w:rsid w:val="13C92A4D"/>
    <w:rsid w:val="13DE55D1"/>
    <w:rsid w:val="13E0285C"/>
    <w:rsid w:val="143B2E0B"/>
    <w:rsid w:val="147C1943"/>
    <w:rsid w:val="148054E9"/>
    <w:rsid w:val="14892735"/>
    <w:rsid w:val="14906D6C"/>
    <w:rsid w:val="14CC769D"/>
    <w:rsid w:val="14D764D5"/>
    <w:rsid w:val="14F43330"/>
    <w:rsid w:val="152509D7"/>
    <w:rsid w:val="15436F05"/>
    <w:rsid w:val="155541C5"/>
    <w:rsid w:val="15691FE3"/>
    <w:rsid w:val="158B5DDD"/>
    <w:rsid w:val="15A41986"/>
    <w:rsid w:val="15B11221"/>
    <w:rsid w:val="15C16EB3"/>
    <w:rsid w:val="15CB76C9"/>
    <w:rsid w:val="15D359D7"/>
    <w:rsid w:val="160E7A2C"/>
    <w:rsid w:val="16111028"/>
    <w:rsid w:val="161F7731"/>
    <w:rsid w:val="163C77BE"/>
    <w:rsid w:val="16573587"/>
    <w:rsid w:val="1679588C"/>
    <w:rsid w:val="168C2855"/>
    <w:rsid w:val="16903443"/>
    <w:rsid w:val="16994962"/>
    <w:rsid w:val="16A233CF"/>
    <w:rsid w:val="16A71041"/>
    <w:rsid w:val="16AA24BF"/>
    <w:rsid w:val="171D3FE1"/>
    <w:rsid w:val="1742794A"/>
    <w:rsid w:val="17680CAB"/>
    <w:rsid w:val="176E4128"/>
    <w:rsid w:val="1783371F"/>
    <w:rsid w:val="178D7563"/>
    <w:rsid w:val="17B61794"/>
    <w:rsid w:val="17C52CBF"/>
    <w:rsid w:val="17C93012"/>
    <w:rsid w:val="17E62B67"/>
    <w:rsid w:val="180F4499"/>
    <w:rsid w:val="182201B4"/>
    <w:rsid w:val="18221ECE"/>
    <w:rsid w:val="18303840"/>
    <w:rsid w:val="183C3D90"/>
    <w:rsid w:val="18504A07"/>
    <w:rsid w:val="1859036F"/>
    <w:rsid w:val="18681814"/>
    <w:rsid w:val="18B0649B"/>
    <w:rsid w:val="18C8297B"/>
    <w:rsid w:val="18D418FC"/>
    <w:rsid w:val="18FC7745"/>
    <w:rsid w:val="19027053"/>
    <w:rsid w:val="191677A6"/>
    <w:rsid w:val="19353F17"/>
    <w:rsid w:val="19DD405E"/>
    <w:rsid w:val="1A460CF5"/>
    <w:rsid w:val="1A7A6BB4"/>
    <w:rsid w:val="1A7F297D"/>
    <w:rsid w:val="1A9B268C"/>
    <w:rsid w:val="1A9D6244"/>
    <w:rsid w:val="1AAF6004"/>
    <w:rsid w:val="1AB16AC1"/>
    <w:rsid w:val="1ABF1CEA"/>
    <w:rsid w:val="1B014DDE"/>
    <w:rsid w:val="1B0320FB"/>
    <w:rsid w:val="1B034A52"/>
    <w:rsid w:val="1B45344E"/>
    <w:rsid w:val="1B591D2B"/>
    <w:rsid w:val="1B5D76FB"/>
    <w:rsid w:val="1B683578"/>
    <w:rsid w:val="1B8C0040"/>
    <w:rsid w:val="1BBA4E52"/>
    <w:rsid w:val="1BD9519A"/>
    <w:rsid w:val="1BDE2F66"/>
    <w:rsid w:val="1C2A22B3"/>
    <w:rsid w:val="1C750ECE"/>
    <w:rsid w:val="1CA56AF4"/>
    <w:rsid w:val="1CE1575A"/>
    <w:rsid w:val="1D196139"/>
    <w:rsid w:val="1D2E2708"/>
    <w:rsid w:val="1D5E02D1"/>
    <w:rsid w:val="1D7B74A7"/>
    <w:rsid w:val="1D7F0ED0"/>
    <w:rsid w:val="1DA31EB7"/>
    <w:rsid w:val="1DA55D97"/>
    <w:rsid w:val="1DBB6100"/>
    <w:rsid w:val="1DBE6816"/>
    <w:rsid w:val="1DC67725"/>
    <w:rsid w:val="1DCB4FF1"/>
    <w:rsid w:val="1DDC11E4"/>
    <w:rsid w:val="1DF5452A"/>
    <w:rsid w:val="1E010AF7"/>
    <w:rsid w:val="1E1C405A"/>
    <w:rsid w:val="1E2E29E0"/>
    <w:rsid w:val="1E301173"/>
    <w:rsid w:val="1E884D18"/>
    <w:rsid w:val="1ED8781E"/>
    <w:rsid w:val="1EDD3235"/>
    <w:rsid w:val="1EE7283A"/>
    <w:rsid w:val="1F0C1276"/>
    <w:rsid w:val="1F1102B0"/>
    <w:rsid w:val="1F2F1047"/>
    <w:rsid w:val="1F43381C"/>
    <w:rsid w:val="1F781DD2"/>
    <w:rsid w:val="1F7D6A3D"/>
    <w:rsid w:val="1FA4148D"/>
    <w:rsid w:val="1FC10FAB"/>
    <w:rsid w:val="1FC65577"/>
    <w:rsid w:val="1FD82385"/>
    <w:rsid w:val="20010EEA"/>
    <w:rsid w:val="20121621"/>
    <w:rsid w:val="201636E2"/>
    <w:rsid w:val="202E3F6D"/>
    <w:rsid w:val="2032134B"/>
    <w:rsid w:val="20325F7E"/>
    <w:rsid w:val="204778E7"/>
    <w:rsid w:val="204E554F"/>
    <w:rsid w:val="20546774"/>
    <w:rsid w:val="20590035"/>
    <w:rsid w:val="20851B47"/>
    <w:rsid w:val="209A2C3D"/>
    <w:rsid w:val="20E5011E"/>
    <w:rsid w:val="20FC799E"/>
    <w:rsid w:val="21286DA7"/>
    <w:rsid w:val="2134683B"/>
    <w:rsid w:val="21C82E72"/>
    <w:rsid w:val="21DE0801"/>
    <w:rsid w:val="21DE339D"/>
    <w:rsid w:val="22154DDD"/>
    <w:rsid w:val="221D4DB5"/>
    <w:rsid w:val="22336873"/>
    <w:rsid w:val="22396826"/>
    <w:rsid w:val="225471A3"/>
    <w:rsid w:val="225E34DC"/>
    <w:rsid w:val="227D1295"/>
    <w:rsid w:val="229B678A"/>
    <w:rsid w:val="22AB3B7D"/>
    <w:rsid w:val="22AF3A08"/>
    <w:rsid w:val="22BF00A5"/>
    <w:rsid w:val="22F92F75"/>
    <w:rsid w:val="239634D6"/>
    <w:rsid w:val="23BB4E7D"/>
    <w:rsid w:val="23C172D6"/>
    <w:rsid w:val="23CB1286"/>
    <w:rsid w:val="23D77537"/>
    <w:rsid w:val="23E6195D"/>
    <w:rsid w:val="23F04F64"/>
    <w:rsid w:val="242654AA"/>
    <w:rsid w:val="24814CBE"/>
    <w:rsid w:val="24AC168B"/>
    <w:rsid w:val="24BB6664"/>
    <w:rsid w:val="24EC64CB"/>
    <w:rsid w:val="250E1318"/>
    <w:rsid w:val="25103738"/>
    <w:rsid w:val="253F46D8"/>
    <w:rsid w:val="254D0389"/>
    <w:rsid w:val="25884C5D"/>
    <w:rsid w:val="258C3BEC"/>
    <w:rsid w:val="25A03144"/>
    <w:rsid w:val="25B2479F"/>
    <w:rsid w:val="25C15C5D"/>
    <w:rsid w:val="25D329B9"/>
    <w:rsid w:val="25E5427A"/>
    <w:rsid w:val="26276A31"/>
    <w:rsid w:val="26366F9D"/>
    <w:rsid w:val="263B1230"/>
    <w:rsid w:val="2642752B"/>
    <w:rsid w:val="26485508"/>
    <w:rsid w:val="26554808"/>
    <w:rsid w:val="265E685B"/>
    <w:rsid w:val="26607D95"/>
    <w:rsid w:val="26700955"/>
    <w:rsid w:val="26A16AE9"/>
    <w:rsid w:val="26A605D9"/>
    <w:rsid w:val="26AD0500"/>
    <w:rsid w:val="26B121A3"/>
    <w:rsid w:val="26E464C3"/>
    <w:rsid w:val="272E3097"/>
    <w:rsid w:val="272E6F74"/>
    <w:rsid w:val="273B7A3B"/>
    <w:rsid w:val="277E6655"/>
    <w:rsid w:val="2780046C"/>
    <w:rsid w:val="27933DEA"/>
    <w:rsid w:val="27B36A67"/>
    <w:rsid w:val="27D9633F"/>
    <w:rsid w:val="280B2E27"/>
    <w:rsid w:val="281E404F"/>
    <w:rsid w:val="28302479"/>
    <w:rsid w:val="2846581F"/>
    <w:rsid w:val="284A5CA4"/>
    <w:rsid w:val="286550ED"/>
    <w:rsid w:val="286602C8"/>
    <w:rsid w:val="28665C95"/>
    <w:rsid w:val="28736F5F"/>
    <w:rsid w:val="28B01D1E"/>
    <w:rsid w:val="28C2628C"/>
    <w:rsid w:val="28CC3373"/>
    <w:rsid w:val="28F47F99"/>
    <w:rsid w:val="28F579BA"/>
    <w:rsid w:val="290B3EB9"/>
    <w:rsid w:val="292728C1"/>
    <w:rsid w:val="294E392A"/>
    <w:rsid w:val="2950768C"/>
    <w:rsid w:val="297A5FC4"/>
    <w:rsid w:val="29B51252"/>
    <w:rsid w:val="29E14657"/>
    <w:rsid w:val="29E474B8"/>
    <w:rsid w:val="29ED574B"/>
    <w:rsid w:val="29FA2D3E"/>
    <w:rsid w:val="29FE5CE6"/>
    <w:rsid w:val="2A743AE8"/>
    <w:rsid w:val="2A8D4F8F"/>
    <w:rsid w:val="2A917B34"/>
    <w:rsid w:val="2A9308A8"/>
    <w:rsid w:val="2A9F5AB8"/>
    <w:rsid w:val="2AB10C99"/>
    <w:rsid w:val="2AD74E8C"/>
    <w:rsid w:val="2AE3766F"/>
    <w:rsid w:val="2AEC612E"/>
    <w:rsid w:val="2B0268A7"/>
    <w:rsid w:val="2B060F9E"/>
    <w:rsid w:val="2B0E56AB"/>
    <w:rsid w:val="2B51141C"/>
    <w:rsid w:val="2B590601"/>
    <w:rsid w:val="2B710DB7"/>
    <w:rsid w:val="2B7408CF"/>
    <w:rsid w:val="2B79620B"/>
    <w:rsid w:val="2B7E4054"/>
    <w:rsid w:val="2BBA6A76"/>
    <w:rsid w:val="2BCC03D1"/>
    <w:rsid w:val="2BDF1FBA"/>
    <w:rsid w:val="2C0C6D59"/>
    <w:rsid w:val="2C5B0D4B"/>
    <w:rsid w:val="2C8903AA"/>
    <w:rsid w:val="2C987C56"/>
    <w:rsid w:val="2CA156F3"/>
    <w:rsid w:val="2CC11460"/>
    <w:rsid w:val="2CC15BAA"/>
    <w:rsid w:val="2CC72A61"/>
    <w:rsid w:val="2CDC3153"/>
    <w:rsid w:val="2CDF621C"/>
    <w:rsid w:val="2CE136D7"/>
    <w:rsid w:val="2CFE7A11"/>
    <w:rsid w:val="2CFF149A"/>
    <w:rsid w:val="2D201865"/>
    <w:rsid w:val="2D2B6EDE"/>
    <w:rsid w:val="2D4B5CEA"/>
    <w:rsid w:val="2D4C5B4C"/>
    <w:rsid w:val="2D542188"/>
    <w:rsid w:val="2D652658"/>
    <w:rsid w:val="2D964A56"/>
    <w:rsid w:val="2DC16E0A"/>
    <w:rsid w:val="2DC80C49"/>
    <w:rsid w:val="2DCA6355"/>
    <w:rsid w:val="2E030E17"/>
    <w:rsid w:val="2E166748"/>
    <w:rsid w:val="2E2054A0"/>
    <w:rsid w:val="2E482374"/>
    <w:rsid w:val="2E491580"/>
    <w:rsid w:val="2E556F01"/>
    <w:rsid w:val="2E8345A7"/>
    <w:rsid w:val="2E8E20B4"/>
    <w:rsid w:val="2EAA7BAE"/>
    <w:rsid w:val="2EC1207D"/>
    <w:rsid w:val="2ED06066"/>
    <w:rsid w:val="2ED1223D"/>
    <w:rsid w:val="2F000139"/>
    <w:rsid w:val="2F1B303D"/>
    <w:rsid w:val="2F3F11F4"/>
    <w:rsid w:val="2F5E0754"/>
    <w:rsid w:val="2F67338E"/>
    <w:rsid w:val="2F9F42DC"/>
    <w:rsid w:val="2FBB4121"/>
    <w:rsid w:val="2FBC2844"/>
    <w:rsid w:val="2FBE3786"/>
    <w:rsid w:val="2FC32F68"/>
    <w:rsid w:val="2FD6418B"/>
    <w:rsid w:val="2FF37AB3"/>
    <w:rsid w:val="30210B8A"/>
    <w:rsid w:val="30224DC7"/>
    <w:rsid w:val="303B4C3F"/>
    <w:rsid w:val="3073310C"/>
    <w:rsid w:val="309D6BE6"/>
    <w:rsid w:val="30AA1790"/>
    <w:rsid w:val="30EE385E"/>
    <w:rsid w:val="30F85AFE"/>
    <w:rsid w:val="31031402"/>
    <w:rsid w:val="31170995"/>
    <w:rsid w:val="31264A30"/>
    <w:rsid w:val="312651F8"/>
    <w:rsid w:val="31862EE3"/>
    <w:rsid w:val="31884E67"/>
    <w:rsid w:val="31A0275E"/>
    <w:rsid w:val="31A22012"/>
    <w:rsid w:val="31A67308"/>
    <w:rsid w:val="31B91526"/>
    <w:rsid w:val="31BA7402"/>
    <w:rsid w:val="31EF0041"/>
    <w:rsid w:val="320107F5"/>
    <w:rsid w:val="324175CB"/>
    <w:rsid w:val="326A0524"/>
    <w:rsid w:val="327B7EDF"/>
    <w:rsid w:val="32AB70C5"/>
    <w:rsid w:val="32EF2122"/>
    <w:rsid w:val="32F17F41"/>
    <w:rsid w:val="332038B4"/>
    <w:rsid w:val="33247607"/>
    <w:rsid w:val="333014B0"/>
    <w:rsid w:val="335D0AF5"/>
    <w:rsid w:val="336917EF"/>
    <w:rsid w:val="336B2EA4"/>
    <w:rsid w:val="336B3E67"/>
    <w:rsid w:val="3370088C"/>
    <w:rsid w:val="33872039"/>
    <w:rsid w:val="339A687B"/>
    <w:rsid w:val="33DC2F78"/>
    <w:rsid w:val="3428227C"/>
    <w:rsid w:val="343230D5"/>
    <w:rsid w:val="3439428E"/>
    <w:rsid w:val="34571EF7"/>
    <w:rsid w:val="347918A5"/>
    <w:rsid w:val="34802E4C"/>
    <w:rsid w:val="349D37D5"/>
    <w:rsid w:val="34A61BDE"/>
    <w:rsid w:val="34BB7B5F"/>
    <w:rsid w:val="34F3796C"/>
    <w:rsid w:val="3522586C"/>
    <w:rsid w:val="35572473"/>
    <w:rsid w:val="35602226"/>
    <w:rsid w:val="356B72E7"/>
    <w:rsid w:val="356D2AC8"/>
    <w:rsid w:val="3572424F"/>
    <w:rsid w:val="35734CF3"/>
    <w:rsid w:val="35866014"/>
    <w:rsid w:val="359E5CE0"/>
    <w:rsid w:val="35D275C3"/>
    <w:rsid w:val="35E50FBB"/>
    <w:rsid w:val="362B215D"/>
    <w:rsid w:val="366666CA"/>
    <w:rsid w:val="367070F4"/>
    <w:rsid w:val="367801A9"/>
    <w:rsid w:val="36807FCC"/>
    <w:rsid w:val="36AD519D"/>
    <w:rsid w:val="36B57705"/>
    <w:rsid w:val="36B93E53"/>
    <w:rsid w:val="36DC1DD3"/>
    <w:rsid w:val="36F3711D"/>
    <w:rsid w:val="36FC25DD"/>
    <w:rsid w:val="37090CD6"/>
    <w:rsid w:val="37122320"/>
    <w:rsid w:val="3754697A"/>
    <w:rsid w:val="37636A21"/>
    <w:rsid w:val="377C03A4"/>
    <w:rsid w:val="37A103ED"/>
    <w:rsid w:val="37A367C3"/>
    <w:rsid w:val="37BD33EE"/>
    <w:rsid w:val="37E02B23"/>
    <w:rsid w:val="37E345A6"/>
    <w:rsid w:val="37EA5E6E"/>
    <w:rsid w:val="37EC6A58"/>
    <w:rsid w:val="37FB2268"/>
    <w:rsid w:val="37FF016F"/>
    <w:rsid w:val="382A6E2D"/>
    <w:rsid w:val="386E4145"/>
    <w:rsid w:val="387C5ABE"/>
    <w:rsid w:val="38B66D0C"/>
    <w:rsid w:val="38D41643"/>
    <w:rsid w:val="38EB6119"/>
    <w:rsid w:val="39044996"/>
    <w:rsid w:val="392C6D9B"/>
    <w:rsid w:val="393B020C"/>
    <w:rsid w:val="39506E15"/>
    <w:rsid w:val="39552120"/>
    <w:rsid w:val="396678D9"/>
    <w:rsid w:val="39790BE6"/>
    <w:rsid w:val="397A0ADB"/>
    <w:rsid w:val="39844799"/>
    <w:rsid w:val="39954B2B"/>
    <w:rsid w:val="39DA2245"/>
    <w:rsid w:val="39E66E3B"/>
    <w:rsid w:val="39FD4CC2"/>
    <w:rsid w:val="3A51228C"/>
    <w:rsid w:val="3A545E48"/>
    <w:rsid w:val="3A552E60"/>
    <w:rsid w:val="3A5D642F"/>
    <w:rsid w:val="3A744447"/>
    <w:rsid w:val="3A78219D"/>
    <w:rsid w:val="3A995C5C"/>
    <w:rsid w:val="3AB210FC"/>
    <w:rsid w:val="3ADB7381"/>
    <w:rsid w:val="3AF04A37"/>
    <w:rsid w:val="3B043A1D"/>
    <w:rsid w:val="3B1E01C3"/>
    <w:rsid w:val="3B3E5B8A"/>
    <w:rsid w:val="3B793A48"/>
    <w:rsid w:val="3B7E3699"/>
    <w:rsid w:val="3B85393E"/>
    <w:rsid w:val="3BCA4B8A"/>
    <w:rsid w:val="3BCD72F7"/>
    <w:rsid w:val="3BFC2F5F"/>
    <w:rsid w:val="3C37146A"/>
    <w:rsid w:val="3C3D3625"/>
    <w:rsid w:val="3C414142"/>
    <w:rsid w:val="3C5B725E"/>
    <w:rsid w:val="3C84047F"/>
    <w:rsid w:val="3C88055A"/>
    <w:rsid w:val="3C9E57AB"/>
    <w:rsid w:val="3CAF79B9"/>
    <w:rsid w:val="3CB35097"/>
    <w:rsid w:val="3CEA4BE6"/>
    <w:rsid w:val="3CF737A2"/>
    <w:rsid w:val="3D10295A"/>
    <w:rsid w:val="3D184041"/>
    <w:rsid w:val="3D370C2A"/>
    <w:rsid w:val="3D414FC0"/>
    <w:rsid w:val="3D4F12A7"/>
    <w:rsid w:val="3D7B5F78"/>
    <w:rsid w:val="3D7D049C"/>
    <w:rsid w:val="3DE20EAE"/>
    <w:rsid w:val="3DEF3701"/>
    <w:rsid w:val="3E0572FD"/>
    <w:rsid w:val="3E0720FE"/>
    <w:rsid w:val="3E2819F6"/>
    <w:rsid w:val="3E287A22"/>
    <w:rsid w:val="3E5A7FE7"/>
    <w:rsid w:val="3E7D40EF"/>
    <w:rsid w:val="3E85043F"/>
    <w:rsid w:val="3E955A6A"/>
    <w:rsid w:val="3E964D81"/>
    <w:rsid w:val="3EF66B2E"/>
    <w:rsid w:val="3F217914"/>
    <w:rsid w:val="3FD10810"/>
    <w:rsid w:val="3FD70BB0"/>
    <w:rsid w:val="3FFB55AC"/>
    <w:rsid w:val="40017152"/>
    <w:rsid w:val="401C5F9D"/>
    <w:rsid w:val="401C690C"/>
    <w:rsid w:val="401D7195"/>
    <w:rsid w:val="405C1C05"/>
    <w:rsid w:val="407A652F"/>
    <w:rsid w:val="40825D97"/>
    <w:rsid w:val="40836C36"/>
    <w:rsid w:val="40870EA3"/>
    <w:rsid w:val="40922E01"/>
    <w:rsid w:val="409928E7"/>
    <w:rsid w:val="40997CFE"/>
    <w:rsid w:val="40C34607"/>
    <w:rsid w:val="40CE3DC0"/>
    <w:rsid w:val="40D7455A"/>
    <w:rsid w:val="40E743E5"/>
    <w:rsid w:val="40EB4012"/>
    <w:rsid w:val="41075C9E"/>
    <w:rsid w:val="410A1661"/>
    <w:rsid w:val="412D5EA0"/>
    <w:rsid w:val="415A62F5"/>
    <w:rsid w:val="416D78C7"/>
    <w:rsid w:val="41734CBA"/>
    <w:rsid w:val="417F4E1A"/>
    <w:rsid w:val="418B0C8A"/>
    <w:rsid w:val="41A82190"/>
    <w:rsid w:val="41DE5999"/>
    <w:rsid w:val="41E1181A"/>
    <w:rsid w:val="41E32A20"/>
    <w:rsid w:val="41F50A53"/>
    <w:rsid w:val="41FA3241"/>
    <w:rsid w:val="420F7A65"/>
    <w:rsid w:val="4216611A"/>
    <w:rsid w:val="42321B6A"/>
    <w:rsid w:val="423E300F"/>
    <w:rsid w:val="425656C8"/>
    <w:rsid w:val="4257273C"/>
    <w:rsid w:val="42687ACE"/>
    <w:rsid w:val="4270145E"/>
    <w:rsid w:val="429E6041"/>
    <w:rsid w:val="42BF4B02"/>
    <w:rsid w:val="42FD694D"/>
    <w:rsid w:val="43034DFA"/>
    <w:rsid w:val="437D6687"/>
    <w:rsid w:val="438351F5"/>
    <w:rsid w:val="438D35EA"/>
    <w:rsid w:val="43BC1E57"/>
    <w:rsid w:val="43D23F8D"/>
    <w:rsid w:val="43D43F1D"/>
    <w:rsid w:val="43FA5777"/>
    <w:rsid w:val="44023422"/>
    <w:rsid w:val="44184A2D"/>
    <w:rsid w:val="441C1611"/>
    <w:rsid w:val="443C440B"/>
    <w:rsid w:val="44514F52"/>
    <w:rsid w:val="44761C8F"/>
    <w:rsid w:val="449722E3"/>
    <w:rsid w:val="449D7B09"/>
    <w:rsid w:val="44AD0C78"/>
    <w:rsid w:val="44AE3FD4"/>
    <w:rsid w:val="44D0586F"/>
    <w:rsid w:val="44FA2D53"/>
    <w:rsid w:val="453C4912"/>
    <w:rsid w:val="454650DA"/>
    <w:rsid w:val="45687813"/>
    <w:rsid w:val="4571374F"/>
    <w:rsid w:val="458B1BB0"/>
    <w:rsid w:val="45A41560"/>
    <w:rsid w:val="45AD31D6"/>
    <w:rsid w:val="45B93426"/>
    <w:rsid w:val="45CF1361"/>
    <w:rsid w:val="464C6420"/>
    <w:rsid w:val="46552F9B"/>
    <w:rsid w:val="467A0297"/>
    <w:rsid w:val="468B7125"/>
    <w:rsid w:val="46B506EF"/>
    <w:rsid w:val="46C4691F"/>
    <w:rsid w:val="46CB53EF"/>
    <w:rsid w:val="46EE513F"/>
    <w:rsid w:val="470F5A71"/>
    <w:rsid w:val="473154FF"/>
    <w:rsid w:val="47685427"/>
    <w:rsid w:val="476C4065"/>
    <w:rsid w:val="4779499C"/>
    <w:rsid w:val="477B6530"/>
    <w:rsid w:val="47801172"/>
    <w:rsid w:val="479D1D34"/>
    <w:rsid w:val="47B609C0"/>
    <w:rsid w:val="47EC3B04"/>
    <w:rsid w:val="47EC6277"/>
    <w:rsid w:val="48021483"/>
    <w:rsid w:val="481A219B"/>
    <w:rsid w:val="482D31EA"/>
    <w:rsid w:val="48447D02"/>
    <w:rsid w:val="485970A0"/>
    <w:rsid w:val="486A6E89"/>
    <w:rsid w:val="48823516"/>
    <w:rsid w:val="48877686"/>
    <w:rsid w:val="488B498B"/>
    <w:rsid w:val="48B176C2"/>
    <w:rsid w:val="48B65C71"/>
    <w:rsid w:val="48D550F0"/>
    <w:rsid w:val="48FB1909"/>
    <w:rsid w:val="491F266E"/>
    <w:rsid w:val="492E6A57"/>
    <w:rsid w:val="495839AA"/>
    <w:rsid w:val="49700A6F"/>
    <w:rsid w:val="49771AFE"/>
    <w:rsid w:val="49802948"/>
    <w:rsid w:val="4986089F"/>
    <w:rsid w:val="498B5309"/>
    <w:rsid w:val="499F0AAB"/>
    <w:rsid w:val="49C154CE"/>
    <w:rsid w:val="49C33FF5"/>
    <w:rsid w:val="49DB11EC"/>
    <w:rsid w:val="49E31DD1"/>
    <w:rsid w:val="49E63926"/>
    <w:rsid w:val="49F004AB"/>
    <w:rsid w:val="4A0030EE"/>
    <w:rsid w:val="4A0568D6"/>
    <w:rsid w:val="4A0C4F3C"/>
    <w:rsid w:val="4A162478"/>
    <w:rsid w:val="4A171EC9"/>
    <w:rsid w:val="4A1A1689"/>
    <w:rsid w:val="4A484D41"/>
    <w:rsid w:val="4A6D15F8"/>
    <w:rsid w:val="4A7617B6"/>
    <w:rsid w:val="4A8C4FB8"/>
    <w:rsid w:val="4A9A25BD"/>
    <w:rsid w:val="4A9E0551"/>
    <w:rsid w:val="4AB542AE"/>
    <w:rsid w:val="4AF72FEA"/>
    <w:rsid w:val="4B1477B3"/>
    <w:rsid w:val="4B1F062C"/>
    <w:rsid w:val="4B243D9D"/>
    <w:rsid w:val="4B281425"/>
    <w:rsid w:val="4B49547C"/>
    <w:rsid w:val="4B6F66A1"/>
    <w:rsid w:val="4B85213F"/>
    <w:rsid w:val="4B8C2DEB"/>
    <w:rsid w:val="4BFA3C9F"/>
    <w:rsid w:val="4BFA7F6C"/>
    <w:rsid w:val="4C107F48"/>
    <w:rsid w:val="4C3117D0"/>
    <w:rsid w:val="4C3277BC"/>
    <w:rsid w:val="4C5C442D"/>
    <w:rsid w:val="4C6D42A9"/>
    <w:rsid w:val="4C716A38"/>
    <w:rsid w:val="4CC0351C"/>
    <w:rsid w:val="4CC353EB"/>
    <w:rsid w:val="4CE64E14"/>
    <w:rsid w:val="4CE95EE5"/>
    <w:rsid w:val="4CF36F3C"/>
    <w:rsid w:val="4D007BC8"/>
    <w:rsid w:val="4D0602E5"/>
    <w:rsid w:val="4D1470BD"/>
    <w:rsid w:val="4D154882"/>
    <w:rsid w:val="4D1C3C50"/>
    <w:rsid w:val="4D603399"/>
    <w:rsid w:val="4D6A7284"/>
    <w:rsid w:val="4D6E30E1"/>
    <w:rsid w:val="4D867EE1"/>
    <w:rsid w:val="4DBC4C65"/>
    <w:rsid w:val="4DC9105D"/>
    <w:rsid w:val="4DE2009B"/>
    <w:rsid w:val="4DF86974"/>
    <w:rsid w:val="4DFE779E"/>
    <w:rsid w:val="4E0F235E"/>
    <w:rsid w:val="4E157689"/>
    <w:rsid w:val="4E471216"/>
    <w:rsid w:val="4E533FA5"/>
    <w:rsid w:val="4E550010"/>
    <w:rsid w:val="4E5F14CB"/>
    <w:rsid w:val="4E6808B0"/>
    <w:rsid w:val="4E780BC4"/>
    <w:rsid w:val="4EBA42F2"/>
    <w:rsid w:val="4EC00DDD"/>
    <w:rsid w:val="4ED908C5"/>
    <w:rsid w:val="4EF265BE"/>
    <w:rsid w:val="4EFB1C45"/>
    <w:rsid w:val="4F0C2A48"/>
    <w:rsid w:val="4F26273B"/>
    <w:rsid w:val="4F2D3A8A"/>
    <w:rsid w:val="4F32478A"/>
    <w:rsid w:val="4F3705F8"/>
    <w:rsid w:val="4F881DD2"/>
    <w:rsid w:val="4F913A9A"/>
    <w:rsid w:val="4F9714A0"/>
    <w:rsid w:val="4FAA3F91"/>
    <w:rsid w:val="4FAC3540"/>
    <w:rsid w:val="4FCF1583"/>
    <w:rsid w:val="4FD23E66"/>
    <w:rsid w:val="4FD44D1B"/>
    <w:rsid w:val="4FDC066D"/>
    <w:rsid w:val="4FFA7625"/>
    <w:rsid w:val="50453E7E"/>
    <w:rsid w:val="50594CF7"/>
    <w:rsid w:val="507D2599"/>
    <w:rsid w:val="5096229D"/>
    <w:rsid w:val="509E157D"/>
    <w:rsid w:val="50A6165E"/>
    <w:rsid w:val="50AB0956"/>
    <w:rsid w:val="50DC4184"/>
    <w:rsid w:val="50FB6146"/>
    <w:rsid w:val="512F4CA0"/>
    <w:rsid w:val="51361FFF"/>
    <w:rsid w:val="513D4C38"/>
    <w:rsid w:val="514C3EA7"/>
    <w:rsid w:val="51AC4D00"/>
    <w:rsid w:val="51FF3C99"/>
    <w:rsid w:val="522A20E4"/>
    <w:rsid w:val="52363D4D"/>
    <w:rsid w:val="524A2AC9"/>
    <w:rsid w:val="52521A20"/>
    <w:rsid w:val="528604EC"/>
    <w:rsid w:val="529E2C3A"/>
    <w:rsid w:val="52AC4ABC"/>
    <w:rsid w:val="52C201B9"/>
    <w:rsid w:val="52E57A12"/>
    <w:rsid w:val="52F20B62"/>
    <w:rsid w:val="531C4FCC"/>
    <w:rsid w:val="53827E49"/>
    <w:rsid w:val="538A6BB9"/>
    <w:rsid w:val="539964FD"/>
    <w:rsid w:val="539C1B81"/>
    <w:rsid w:val="539D7755"/>
    <w:rsid w:val="53A447B1"/>
    <w:rsid w:val="53AE750F"/>
    <w:rsid w:val="53D224B3"/>
    <w:rsid w:val="53F81D96"/>
    <w:rsid w:val="541D5DE8"/>
    <w:rsid w:val="541F57C4"/>
    <w:rsid w:val="544B5214"/>
    <w:rsid w:val="546F523C"/>
    <w:rsid w:val="54782FBD"/>
    <w:rsid w:val="5483138F"/>
    <w:rsid w:val="5488523A"/>
    <w:rsid w:val="549A6BFA"/>
    <w:rsid w:val="54C341E7"/>
    <w:rsid w:val="54D933CD"/>
    <w:rsid w:val="551751CF"/>
    <w:rsid w:val="5522558F"/>
    <w:rsid w:val="55244D7F"/>
    <w:rsid w:val="55305397"/>
    <w:rsid w:val="55362287"/>
    <w:rsid w:val="55432F3C"/>
    <w:rsid w:val="55A37FFD"/>
    <w:rsid w:val="55AE22F1"/>
    <w:rsid w:val="55C3227E"/>
    <w:rsid w:val="55CE1AA9"/>
    <w:rsid w:val="55F6381F"/>
    <w:rsid w:val="55FA2961"/>
    <w:rsid w:val="5602250F"/>
    <w:rsid w:val="564220BA"/>
    <w:rsid w:val="565E7F4F"/>
    <w:rsid w:val="565F3DA6"/>
    <w:rsid w:val="56914056"/>
    <w:rsid w:val="56B61E36"/>
    <w:rsid w:val="56C36589"/>
    <w:rsid w:val="570D55B0"/>
    <w:rsid w:val="57293C95"/>
    <w:rsid w:val="572A6381"/>
    <w:rsid w:val="572B41B4"/>
    <w:rsid w:val="57365868"/>
    <w:rsid w:val="573C1959"/>
    <w:rsid w:val="57554571"/>
    <w:rsid w:val="57F65317"/>
    <w:rsid w:val="57FC2169"/>
    <w:rsid w:val="58024015"/>
    <w:rsid w:val="58096275"/>
    <w:rsid w:val="5819544F"/>
    <w:rsid w:val="582D6D32"/>
    <w:rsid w:val="582E6EF7"/>
    <w:rsid w:val="584E30E6"/>
    <w:rsid w:val="58546EFD"/>
    <w:rsid w:val="5881703E"/>
    <w:rsid w:val="58E26731"/>
    <w:rsid w:val="58EB1371"/>
    <w:rsid w:val="59091D98"/>
    <w:rsid w:val="590E4A97"/>
    <w:rsid w:val="591250FF"/>
    <w:rsid w:val="5920012C"/>
    <w:rsid w:val="593700E7"/>
    <w:rsid w:val="595578DE"/>
    <w:rsid w:val="597B384D"/>
    <w:rsid w:val="59996DA8"/>
    <w:rsid w:val="59C30F1B"/>
    <w:rsid w:val="59CE4759"/>
    <w:rsid w:val="59D90B78"/>
    <w:rsid w:val="5A814766"/>
    <w:rsid w:val="5A8C20D0"/>
    <w:rsid w:val="5ABC29E4"/>
    <w:rsid w:val="5AC7121C"/>
    <w:rsid w:val="5AD90B8D"/>
    <w:rsid w:val="5AE12927"/>
    <w:rsid w:val="5AE35472"/>
    <w:rsid w:val="5AF41CF3"/>
    <w:rsid w:val="5AF87CC9"/>
    <w:rsid w:val="5B020182"/>
    <w:rsid w:val="5B07329F"/>
    <w:rsid w:val="5B4E1A44"/>
    <w:rsid w:val="5B873201"/>
    <w:rsid w:val="5B967767"/>
    <w:rsid w:val="5B9D1624"/>
    <w:rsid w:val="5BBF73E2"/>
    <w:rsid w:val="5BEE5378"/>
    <w:rsid w:val="5C0C2FF6"/>
    <w:rsid w:val="5C1241CC"/>
    <w:rsid w:val="5C286807"/>
    <w:rsid w:val="5C34339E"/>
    <w:rsid w:val="5C355656"/>
    <w:rsid w:val="5C370E72"/>
    <w:rsid w:val="5C446BC8"/>
    <w:rsid w:val="5C4B56E1"/>
    <w:rsid w:val="5C7146B1"/>
    <w:rsid w:val="5C7C2768"/>
    <w:rsid w:val="5CAD3BC1"/>
    <w:rsid w:val="5CAE62DC"/>
    <w:rsid w:val="5CB23AE6"/>
    <w:rsid w:val="5CC5060F"/>
    <w:rsid w:val="5CED5863"/>
    <w:rsid w:val="5D0D6DF5"/>
    <w:rsid w:val="5D4A5E05"/>
    <w:rsid w:val="5D580A8A"/>
    <w:rsid w:val="5D7E6D71"/>
    <w:rsid w:val="5D893B14"/>
    <w:rsid w:val="5DB42C29"/>
    <w:rsid w:val="5E1219F7"/>
    <w:rsid w:val="5E18541D"/>
    <w:rsid w:val="5E291636"/>
    <w:rsid w:val="5E48511F"/>
    <w:rsid w:val="5E655B72"/>
    <w:rsid w:val="5E8B0770"/>
    <w:rsid w:val="5EA06921"/>
    <w:rsid w:val="5EBA259F"/>
    <w:rsid w:val="5EE1082B"/>
    <w:rsid w:val="5EE97BB4"/>
    <w:rsid w:val="5EF55BC9"/>
    <w:rsid w:val="5EF808F3"/>
    <w:rsid w:val="5F085DDA"/>
    <w:rsid w:val="5F2E2D52"/>
    <w:rsid w:val="5F54198B"/>
    <w:rsid w:val="5F6C74C2"/>
    <w:rsid w:val="5F9D1350"/>
    <w:rsid w:val="5FA44AD1"/>
    <w:rsid w:val="5FBE370A"/>
    <w:rsid w:val="5FC61F2E"/>
    <w:rsid w:val="5FC83407"/>
    <w:rsid w:val="5FD56E87"/>
    <w:rsid w:val="5FF0558C"/>
    <w:rsid w:val="60015A45"/>
    <w:rsid w:val="601A27F4"/>
    <w:rsid w:val="60292845"/>
    <w:rsid w:val="606F2632"/>
    <w:rsid w:val="6071543B"/>
    <w:rsid w:val="607921FE"/>
    <w:rsid w:val="607E12CC"/>
    <w:rsid w:val="608F62AE"/>
    <w:rsid w:val="60B9251B"/>
    <w:rsid w:val="60E236C1"/>
    <w:rsid w:val="60E37983"/>
    <w:rsid w:val="61260B6B"/>
    <w:rsid w:val="612B3ABB"/>
    <w:rsid w:val="612E1A5D"/>
    <w:rsid w:val="612F07E0"/>
    <w:rsid w:val="614E5D7E"/>
    <w:rsid w:val="61816046"/>
    <w:rsid w:val="61BD04E4"/>
    <w:rsid w:val="61C81AB1"/>
    <w:rsid w:val="620B0059"/>
    <w:rsid w:val="62387413"/>
    <w:rsid w:val="62391564"/>
    <w:rsid w:val="624A22BE"/>
    <w:rsid w:val="6263230B"/>
    <w:rsid w:val="626E235A"/>
    <w:rsid w:val="626F60D5"/>
    <w:rsid w:val="62816669"/>
    <w:rsid w:val="6282086D"/>
    <w:rsid w:val="629007F7"/>
    <w:rsid w:val="62AB4D99"/>
    <w:rsid w:val="62B36CD7"/>
    <w:rsid w:val="62BA0953"/>
    <w:rsid w:val="62D03A7C"/>
    <w:rsid w:val="62F42FAE"/>
    <w:rsid w:val="62F648FE"/>
    <w:rsid w:val="63167A4F"/>
    <w:rsid w:val="631D2BD6"/>
    <w:rsid w:val="635356F3"/>
    <w:rsid w:val="637D5B70"/>
    <w:rsid w:val="63825E77"/>
    <w:rsid w:val="63A10995"/>
    <w:rsid w:val="63C23EFA"/>
    <w:rsid w:val="63D255DA"/>
    <w:rsid w:val="63EB2168"/>
    <w:rsid w:val="63F854C1"/>
    <w:rsid w:val="63FB5857"/>
    <w:rsid w:val="64076B79"/>
    <w:rsid w:val="640B7654"/>
    <w:rsid w:val="64116D46"/>
    <w:rsid w:val="643A070A"/>
    <w:rsid w:val="64410A96"/>
    <w:rsid w:val="644C573D"/>
    <w:rsid w:val="64507EFB"/>
    <w:rsid w:val="65032F85"/>
    <w:rsid w:val="651304A7"/>
    <w:rsid w:val="65136B50"/>
    <w:rsid w:val="6531690D"/>
    <w:rsid w:val="65320485"/>
    <w:rsid w:val="655A12F3"/>
    <w:rsid w:val="657E2A35"/>
    <w:rsid w:val="65A94E9D"/>
    <w:rsid w:val="65B96B3F"/>
    <w:rsid w:val="65BE1071"/>
    <w:rsid w:val="65C60A92"/>
    <w:rsid w:val="65DB19DF"/>
    <w:rsid w:val="660451CE"/>
    <w:rsid w:val="664B3BEB"/>
    <w:rsid w:val="665346B7"/>
    <w:rsid w:val="667C7CCE"/>
    <w:rsid w:val="66A12460"/>
    <w:rsid w:val="66BE2423"/>
    <w:rsid w:val="66DD6702"/>
    <w:rsid w:val="66E856F1"/>
    <w:rsid w:val="66FB0BAD"/>
    <w:rsid w:val="671B1623"/>
    <w:rsid w:val="671E6EBA"/>
    <w:rsid w:val="6731269C"/>
    <w:rsid w:val="675352AA"/>
    <w:rsid w:val="6759400B"/>
    <w:rsid w:val="675E528D"/>
    <w:rsid w:val="676C598C"/>
    <w:rsid w:val="67966EFB"/>
    <w:rsid w:val="679E7FA1"/>
    <w:rsid w:val="67A32389"/>
    <w:rsid w:val="67B768D0"/>
    <w:rsid w:val="67C779FD"/>
    <w:rsid w:val="67C85DAF"/>
    <w:rsid w:val="68281CFE"/>
    <w:rsid w:val="682A2352"/>
    <w:rsid w:val="682A2630"/>
    <w:rsid w:val="682E4A5B"/>
    <w:rsid w:val="682E7AFD"/>
    <w:rsid w:val="68707071"/>
    <w:rsid w:val="687A4379"/>
    <w:rsid w:val="687B015C"/>
    <w:rsid w:val="687E3889"/>
    <w:rsid w:val="6884222C"/>
    <w:rsid w:val="68A957C8"/>
    <w:rsid w:val="68AD17BB"/>
    <w:rsid w:val="68D6620B"/>
    <w:rsid w:val="68D94D22"/>
    <w:rsid w:val="68F06F2B"/>
    <w:rsid w:val="69011241"/>
    <w:rsid w:val="692B2E4A"/>
    <w:rsid w:val="696A0B34"/>
    <w:rsid w:val="69821807"/>
    <w:rsid w:val="698D6A17"/>
    <w:rsid w:val="699026E3"/>
    <w:rsid w:val="699E0BED"/>
    <w:rsid w:val="699F0522"/>
    <w:rsid w:val="69D37590"/>
    <w:rsid w:val="69F954C1"/>
    <w:rsid w:val="6A1E1E73"/>
    <w:rsid w:val="6A2031B6"/>
    <w:rsid w:val="6A2F57D7"/>
    <w:rsid w:val="6A3924BB"/>
    <w:rsid w:val="6A3C1D40"/>
    <w:rsid w:val="6A6432E1"/>
    <w:rsid w:val="6AA23DFF"/>
    <w:rsid w:val="6AAA6F38"/>
    <w:rsid w:val="6AC61F6F"/>
    <w:rsid w:val="6AD34E53"/>
    <w:rsid w:val="6AD83EA1"/>
    <w:rsid w:val="6ADE74F0"/>
    <w:rsid w:val="6B1D62E8"/>
    <w:rsid w:val="6B723594"/>
    <w:rsid w:val="6B805156"/>
    <w:rsid w:val="6B945E48"/>
    <w:rsid w:val="6B974A7B"/>
    <w:rsid w:val="6BD50977"/>
    <w:rsid w:val="6BE450D3"/>
    <w:rsid w:val="6BE60C84"/>
    <w:rsid w:val="6C4F0900"/>
    <w:rsid w:val="6C6C32E1"/>
    <w:rsid w:val="6C6E3E15"/>
    <w:rsid w:val="6C813C7E"/>
    <w:rsid w:val="6C8B1F5D"/>
    <w:rsid w:val="6CA85D3A"/>
    <w:rsid w:val="6CAA3931"/>
    <w:rsid w:val="6CE2512E"/>
    <w:rsid w:val="6CEA06D7"/>
    <w:rsid w:val="6CF70607"/>
    <w:rsid w:val="6D325918"/>
    <w:rsid w:val="6D3933CA"/>
    <w:rsid w:val="6D401810"/>
    <w:rsid w:val="6D6261FE"/>
    <w:rsid w:val="6D7B222A"/>
    <w:rsid w:val="6D7B61EC"/>
    <w:rsid w:val="6D8E03AA"/>
    <w:rsid w:val="6DBB089F"/>
    <w:rsid w:val="6DC63038"/>
    <w:rsid w:val="6DDC5608"/>
    <w:rsid w:val="6DE30DE0"/>
    <w:rsid w:val="6DE6130A"/>
    <w:rsid w:val="6E09491E"/>
    <w:rsid w:val="6E0D3655"/>
    <w:rsid w:val="6E1A437E"/>
    <w:rsid w:val="6E3A144E"/>
    <w:rsid w:val="6E5606D3"/>
    <w:rsid w:val="6E5F4465"/>
    <w:rsid w:val="6E814BE6"/>
    <w:rsid w:val="6E8B1663"/>
    <w:rsid w:val="6E8C54DA"/>
    <w:rsid w:val="6EB752BD"/>
    <w:rsid w:val="6EF11E03"/>
    <w:rsid w:val="6EF1241D"/>
    <w:rsid w:val="6EF82916"/>
    <w:rsid w:val="6F0B2DE7"/>
    <w:rsid w:val="6F111C62"/>
    <w:rsid w:val="6F2176E5"/>
    <w:rsid w:val="6F3A2A5F"/>
    <w:rsid w:val="6F4F7F03"/>
    <w:rsid w:val="6F5523A2"/>
    <w:rsid w:val="6F592303"/>
    <w:rsid w:val="6F5F5B74"/>
    <w:rsid w:val="6F682400"/>
    <w:rsid w:val="6F9600A4"/>
    <w:rsid w:val="6F98032D"/>
    <w:rsid w:val="6F9B1C65"/>
    <w:rsid w:val="6FA44937"/>
    <w:rsid w:val="6FAD3FB9"/>
    <w:rsid w:val="6FE82C9C"/>
    <w:rsid w:val="6FFB146E"/>
    <w:rsid w:val="70160742"/>
    <w:rsid w:val="7030610F"/>
    <w:rsid w:val="70612DB4"/>
    <w:rsid w:val="706516C3"/>
    <w:rsid w:val="70660714"/>
    <w:rsid w:val="70896E68"/>
    <w:rsid w:val="708A4844"/>
    <w:rsid w:val="70C94DCA"/>
    <w:rsid w:val="70E05E9D"/>
    <w:rsid w:val="71073061"/>
    <w:rsid w:val="711A201F"/>
    <w:rsid w:val="71215AE9"/>
    <w:rsid w:val="712864E5"/>
    <w:rsid w:val="71396ACC"/>
    <w:rsid w:val="713F3C28"/>
    <w:rsid w:val="715B60E9"/>
    <w:rsid w:val="716F0EE9"/>
    <w:rsid w:val="7196674D"/>
    <w:rsid w:val="719E245E"/>
    <w:rsid w:val="71BA3FE5"/>
    <w:rsid w:val="71EA1FED"/>
    <w:rsid w:val="71F57082"/>
    <w:rsid w:val="72165C6B"/>
    <w:rsid w:val="722021E3"/>
    <w:rsid w:val="72290340"/>
    <w:rsid w:val="722C6DDA"/>
    <w:rsid w:val="72515945"/>
    <w:rsid w:val="729243CB"/>
    <w:rsid w:val="72E661B1"/>
    <w:rsid w:val="730313F6"/>
    <w:rsid w:val="730E4732"/>
    <w:rsid w:val="73370D24"/>
    <w:rsid w:val="73397FB3"/>
    <w:rsid w:val="73472C84"/>
    <w:rsid w:val="7359268C"/>
    <w:rsid w:val="735F327A"/>
    <w:rsid w:val="7366631C"/>
    <w:rsid w:val="736C263C"/>
    <w:rsid w:val="73723640"/>
    <w:rsid w:val="737311F5"/>
    <w:rsid w:val="739503EB"/>
    <w:rsid w:val="73954FC2"/>
    <w:rsid w:val="73A05B28"/>
    <w:rsid w:val="73C07D69"/>
    <w:rsid w:val="73C979D4"/>
    <w:rsid w:val="73DC335B"/>
    <w:rsid w:val="740B60EC"/>
    <w:rsid w:val="745E7D35"/>
    <w:rsid w:val="7465362D"/>
    <w:rsid w:val="7475188D"/>
    <w:rsid w:val="749E16A8"/>
    <w:rsid w:val="74B42AE4"/>
    <w:rsid w:val="74C54993"/>
    <w:rsid w:val="74EB68F6"/>
    <w:rsid w:val="750A429D"/>
    <w:rsid w:val="752739E7"/>
    <w:rsid w:val="75474B47"/>
    <w:rsid w:val="75533AB0"/>
    <w:rsid w:val="75614792"/>
    <w:rsid w:val="75761866"/>
    <w:rsid w:val="75784473"/>
    <w:rsid w:val="75B10995"/>
    <w:rsid w:val="75B161B3"/>
    <w:rsid w:val="75DC6C44"/>
    <w:rsid w:val="75F05CC0"/>
    <w:rsid w:val="760F4530"/>
    <w:rsid w:val="762F6A19"/>
    <w:rsid w:val="76341B33"/>
    <w:rsid w:val="76736B32"/>
    <w:rsid w:val="76807C04"/>
    <w:rsid w:val="76AF35EE"/>
    <w:rsid w:val="76C27A74"/>
    <w:rsid w:val="76C726A5"/>
    <w:rsid w:val="76E3765E"/>
    <w:rsid w:val="76FC2AFA"/>
    <w:rsid w:val="77527424"/>
    <w:rsid w:val="77653671"/>
    <w:rsid w:val="77707007"/>
    <w:rsid w:val="778546CC"/>
    <w:rsid w:val="778B6B46"/>
    <w:rsid w:val="77A337B9"/>
    <w:rsid w:val="77B551B3"/>
    <w:rsid w:val="77B56730"/>
    <w:rsid w:val="77B92EBE"/>
    <w:rsid w:val="77C04A8B"/>
    <w:rsid w:val="77D85DB3"/>
    <w:rsid w:val="77EB1B74"/>
    <w:rsid w:val="782A3EA3"/>
    <w:rsid w:val="78490703"/>
    <w:rsid w:val="78A50513"/>
    <w:rsid w:val="78C43087"/>
    <w:rsid w:val="78D37FAF"/>
    <w:rsid w:val="78EF7AB5"/>
    <w:rsid w:val="790D6849"/>
    <w:rsid w:val="795767E3"/>
    <w:rsid w:val="79586707"/>
    <w:rsid w:val="796518DD"/>
    <w:rsid w:val="79724BEF"/>
    <w:rsid w:val="797264AC"/>
    <w:rsid w:val="79AA0532"/>
    <w:rsid w:val="79FA22BC"/>
    <w:rsid w:val="79FE1DDD"/>
    <w:rsid w:val="7A075767"/>
    <w:rsid w:val="7A0C15B3"/>
    <w:rsid w:val="7A212062"/>
    <w:rsid w:val="7A2522C9"/>
    <w:rsid w:val="7A282A11"/>
    <w:rsid w:val="7A3A59B8"/>
    <w:rsid w:val="7A5D0F75"/>
    <w:rsid w:val="7A715CD2"/>
    <w:rsid w:val="7A921E9A"/>
    <w:rsid w:val="7A9E53BF"/>
    <w:rsid w:val="7AA914B9"/>
    <w:rsid w:val="7ABF2475"/>
    <w:rsid w:val="7AC21562"/>
    <w:rsid w:val="7AD474A4"/>
    <w:rsid w:val="7AFC38DE"/>
    <w:rsid w:val="7B303E8C"/>
    <w:rsid w:val="7B7D6B6D"/>
    <w:rsid w:val="7B865D50"/>
    <w:rsid w:val="7B8D34C3"/>
    <w:rsid w:val="7B971D84"/>
    <w:rsid w:val="7BAB0CB7"/>
    <w:rsid w:val="7BB4028F"/>
    <w:rsid w:val="7BC1107E"/>
    <w:rsid w:val="7BF32F03"/>
    <w:rsid w:val="7BF50D2C"/>
    <w:rsid w:val="7C066F4E"/>
    <w:rsid w:val="7C1724A5"/>
    <w:rsid w:val="7C8561DF"/>
    <w:rsid w:val="7CA54112"/>
    <w:rsid w:val="7CA553D9"/>
    <w:rsid w:val="7CAB27F5"/>
    <w:rsid w:val="7CAF438A"/>
    <w:rsid w:val="7CCE726D"/>
    <w:rsid w:val="7CD71EA3"/>
    <w:rsid w:val="7CE50CE4"/>
    <w:rsid w:val="7CE94EE1"/>
    <w:rsid w:val="7CF877E9"/>
    <w:rsid w:val="7D134762"/>
    <w:rsid w:val="7D244CB3"/>
    <w:rsid w:val="7D2E5ABF"/>
    <w:rsid w:val="7D4A45B8"/>
    <w:rsid w:val="7D535AC7"/>
    <w:rsid w:val="7D964A74"/>
    <w:rsid w:val="7DFB43EA"/>
    <w:rsid w:val="7E007625"/>
    <w:rsid w:val="7E0737C8"/>
    <w:rsid w:val="7E131C51"/>
    <w:rsid w:val="7E176B90"/>
    <w:rsid w:val="7E2142A2"/>
    <w:rsid w:val="7E240411"/>
    <w:rsid w:val="7E48335A"/>
    <w:rsid w:val="7E797DE5"/>
    <w:rsid w:val="7E7B0BF2"/>
    <w:rsid w:val="7E8D75B6"/>
    <w:rsid w:val="7E8E672B"/>
    <w:rsid w:val="7EA27DDF"/>
    <w:rsid w:val="7EC67BB0"/>
    <w:rsid w:val="7ED809AD"/>
    <w:rsid w:val="7EF760EE"/>
    <w:rsid w:val="7F2536B5"/>
    <w:rsid w:val="7F2C3CE7"/>
    <w:rsid w:val="7F5931D8"/>
    <w:rsid w:val="7F5A01CA"/>
    <w:rsid w:val="7F75661B"/>
    <w:rsid w:val="7FB17429"/>
    <w:rsid w:val="7FC237CA"/>
    <w:rsid w:val="7FF1276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nhideWhenUsed="0"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qFormat="1"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line="360" w:lineRule="auto"/>
    </w:pPr>
    <w:rPr>
      <w:rFonts w:ascii="Tahoma" w:hAnsi="Tahoma" w:eastAsia="宋体" w:cstheme="minorBidi"/>
      <w:sz w:val="21"/>
      <w:szCs w:val="22"/>
      <w:lang w:val="en-US" w:eastAsia="zh-CN" w:bidi="ar-SA"/>
    </w:rPr>
  </w:style>
  <w:style w:type="paragraph" w:styleId="5">
    <w:name w:val="heading 1"/>
    <w:basedOn w:val="1"/>
    <w:next w:val="1"/>
    <w:link w:val="75"/>
    <w:qFormat/>
    <w:uiPriority w:val="9"/>
    <w:pPr>
      <w:keepNext/>
      <w:keepLines/>
      <w:spacing w:before="340" w:after="330" w:line="576" w:lineRule="auto"/>
      <w:outlineLvl w:val="0"/>
    </w:pPr>
    <w:rPr>
      <w:b/>
      <w:kern w:val="44"/>
      <w:sz w:val="44"/>
    </w:rPr>
  </w:style>
  <w:style w:type="paragraph" w:styleId="6">
    <w:name w:val="heading 2"/>
    <w:basedOn w:val="1"/>
    <w:next w:val="1"/>
    <w:link w:val="4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3"/>
    <w:basedOn w:val="1"/>
    <w:next w:val="1"/>
    <w:link w:val="42"/>
    <w:unhideWhenUsed/>
    <w:qFormat/>
    <w:uiPriority w:val="9"/>
    <w:pPr>
      <w:keepNext/>
      <w:keepLines/>
      <w:spacing w:before="260" w:after="260" w:line="416" w:lineRule="auto"/>
      <w:outlineLvl w:val="2"/>
    </w:pPr>
    <w:rPr>
      <w:b/>
      <w:bCs/>
      <w:sz w:val="32"/>
      <w:szCs w:val="32"/>
    </w:rPr>
  </w:style>
  <w:style w:type="paragraph" w:styleId="8">
    <w:name w:val="heading 4"/>
    <w:basedOn w:val="1"/>
    <w:next w:val="1"/>
    <w:link w:val="44"/>
    <w:unhideWhenUsed/>
    <w:qFormat/>
    <w:uiPriority w:val="9"/>
    <w:pPr>
      <w:keepNext/>
      <w:keepLines/>
      <w:outlineLvl w:val="3"/>
    </w:pPr>
    <w:rPr>
      <w:rFonts w:asciiTheme="majorHAnsi" w:hAnsiTheme="majorHAnsi" w:cstheme="majorBidi"/>
      <w:b/>
      <w:bCs/>
      <w:sz w:val="24"/>
      <w:szCs w:val="28"/>
    </w:rPr>
  </w:style>
  <w:style w:type="paragraph" w:styleId="9">
    <w:name w:val="heading 5"/>
    <w:basedOn w:val="1"/>
    <w:next w:val="1"/>
    <w:link w:val="74"/>
    <w:semiHidden/>
    <w:unhideWhenUsed/>
    <w:qFormat/>
    <w:uiPriority w:val="9"/>
    <w:pPr>
      <w:keepNext/>
      <w:keepLines/>
      <w:spacing w:before="280" w:after="290" w:line="372" w:lineRule="auto"/>
      <w:outlineLvl w:val="4"/>
    </w:pPr>
    <w:rPr>
      <w:b/>
      <w:sz w:val="28"/>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66"/>
    <w:qFormat/>
    <w:uiPriority w:val="1"/>
    <w:pPr>
      <w:spacing w:before="161"/>
      <w:ind w:left="120"/>
    </w:pPr>
    <w:rPr>
      <w:rFonts w:ascii="宋体" w:hAnsi="宋体" w:cs="宋体"/>
      <w:sz w:val="24"/>
      <w:lang w:val="zh-CN" w:bidi="zh-CN"/>
    </w:rPr>
  </w:style>
  <w:style w:type="paragraph" w:styleId="3">
    <w:name w:val="Body Text Indent"/>
    <w:basedOn w:val="1"/>
    <w:next w:val="4"/>
    <w:qFormat/>
    <w:uiPriority w:val="0"/>
    <w:pPr>
      <w:ind w:left="359" w:leftChars="171" w:firstLine="179" w:firstLineChars="85"/>
    </w:pPr>
    <w:rPr>
      <w:rFonts w:ascii="宋体" w:hAnsi="宋体"/>
      <w:b/>
      <w:bCs/>
      <w:szCs w:val="26"/>
    </w:rPr>
  </w:style>
  <w:style w:type="paragraph" w:styleId="4">
    <w:name w:val="envelope return"/>
    <w:basedOn w:val="1"/>
    <w:unhideWhenUsed/>
    <w:qFormat/>
    <w:uiPriority w:val="99"/>
  </w:style>
  <w:style w:type="paragraph" w:styleId="10">
    <w:name w:val="toc 7"/>
    <w:basedOn w:val="1"/>
    <w:next w:val="1"/>
    <w:unhideWhenUsed/>
    <w:qFormat/>
    <w:uiPriority w:val="39"/>
    <w:pPr>
      <w:widowControl w:val="0"/>
      <w:adjustRightInd/>
      <w:snapToGrid/>
      <w:spacing w:line="240" w:lineRule="auto"/>
      <w:ind w:left="2520" w:leftChars="1200"/>
      <w:jc w:val="both"/>
    </w:pPr>
    <w:rPr>
      <w:rFonts w:asciiTheme="minorHAnsi" w:hAnsiTheme="minorHAnsi" w:eastAsiaTheme="minorEastAsia"/>
      <w:kern w:val="2"/>
    </w:rPr>
  </w:style>
  <w:style w:type="paragraph" w:styleId="11">
    <w:name w:val="Normal Indent"/>
    <w:basedOn w:val="1"/>
    <w:qFormat/>
    <w:uiPriority w:val="0"/>
    <w:pPr>
      <w:adjustRightInd/>
      <w:ind w:firstLine="420" w:firstLineChars="200"/>
    </w:pPr>
    <w:rPr>
      <w:rFonts w:ascii="Times New Roman" w:hAnsi="Calibri" w:cs="Times New Roman"/>
      <w:sz w:val="20"/>
      <w:szCs w:val="20"/>
    </w:rPr>
  </w:style>
  <w:style w:type="paragraph" w:styleId="12">
    <w:name w:val="List Bullet"/>
    <w:basedOn w:val="1"/>
    <w:semiHidden/>
    <w:unhideWhenUsed/>
    <w:qFormat/>
    <w:uiPriority w:val="99"/>
    <w:pPr>
      <w:numPr>
        <w:ilvl w:val="0"/>
        <w:numId w:val="1"/>
      </w:numPr>
    </w:pPr>
  </w:style>
  <w:style w:type="paragraph" w:styleId="13">
    <w:name w:val="annotation text"/>
    <w:basedOn w:val="1"/>
    <w:link w:val="63"/>
    <w:unhideWhenUsed/>
    <w:qFormat/>
    <w:uiPriority w:val="99"/>
  </w:style>
  <w:style w:type="paragraph" w:styleId="14">
    <w:name w:val="toc 5"/>
    <w:basedOn w:val="1"/>
    <w:next w:val="1"/>
    <w:unhideWhenUsed/>
    <w:qFormat/>
    <w:uiPriority w:val="39"/>
    <w:pPr>
      <w:widowControl w:val="0"/>
      <w:adjustRightInd/>
      <w:snapToGrid/>
      <w:spacing w:line="240" w:lineRule="auto"/>
      <w:ind w:left="1680" w:leftChars="800"/>
      <w:jc w:val="both"/>
    </w:pPr>
    <w:rPr>
      <w:rFonts w:asciiTheme="minorHAnsi" w:hAnsiTheme="minorHAnsi" w:eastAsiaTheme="minorEastAsia"/>
      <w:kern w:val="2"/>
    </w:rPr>
  </w:style>
  <w:style w:type="paragraph" w:styleId="15">
    <w:name w:val="toc 3"/>
    <w:basedOn w:val="1"/>
    <w:next w:val="1"/>
    <w:unhideWhenUsed/>
    <w:qFormat/>
    <w:uiPriority w:val="39"/>
    <w:pPr>
      <w:tabs>
        <w:tab w:val="right" w:leader="dot" w:pos="8296"/>
      </w:tabs>
      <w:ind w:left="838" w:leftChars="381"/>
    </w:pPr>
    <w:rPr>
      <w:szCs w:val="21"/>
    </w:rPr>
  </w:style>
  <w:style w:type="paragraph" w:styleId="16">
    <w:name w:val="Plain Text"/>
    <w:basedOn w:val="1"/>
    <w:link w:val="55"/>
    <w:qFormat/>
    <w:uiPriority w:val="0"/>
    <w:pPr>
      <w:widowControl w:val="0"/>
      <w:adjustRightInd/>
      <w:snapToGrid/>
      <w:jc w:val="both"/>
    </w:pPr>
    <w:rPr>
      <w:rFonts w:ascii="宋体" w:hAnsi="Courier New" w:cs="Times New Roman"/>
      <w:b/>
      <w:kern w:val="2"/>
      <w:szCs w:val="20"/>
    </w:rPr>
  </w:style>
  <w:style w:type="paragraph" w:styleId="17">
    <w:name w:val="toc 8"/>
    <w:basedOn w:val="1"/>
    <w:next w:val="1"/>
    <w:unhideWhenUsed/>
    <w:qFormat/>
    <w:uiPriority w:val="39"/>
    <w:pPr>
      <w:widowControl w:val="0"/>
      <w:adjustRightInd/>
      <w:snapToGrid/>
      <w:spacing w:line="240" w:lineRule="auto"/>
      <w:ind w:left="2940" w:leftChars="1400"/>
      <w:jc w:val="both"/>
    </w:pPr>
    <w:rPr>
      <w:rFonts w:asciiTheme="minorHAnsi" w:hAnsiTheme="minorHAnsi" w:eastAsiaTheme="minorEastAsia"/>
      <w:kern w:val="2"/>
    </w:rPr>
  </w:style>
  <w:style w:type="paragraph" w:styleId="18">
    <w:name w:val="Balloon Text"/>
    <w:basedOn w:val="1"/>
    <w:link w:val="58"/>
    <w:semiHidden/>
    <w:unhideWhenUsed/>
    <w:qFormat/>
    <w:uiPriority w:val="99"/>
    <w:rPr>
      <w:sz w:val="18"/>
      <w:szCs w:val="18"/>
    </w:rPr>
  </w:style>
  <w:style w:type="paragraph" w:styleId="19">
    <w:name w:val="footer"/>
    <w:basedOn w:val="1"/>
    <w:link w:val="57"/>
    <w:unhideWhenUsed/>
    <w:qFormat/>
    <w:uiPriority w:val="99"/>
    <w:pPr>
      <w:tabs>
        <w:tab w:val="center" w:pos="4153"/>
        <w:tab w:val="right" w:pos="8306"/>
      </w:tabs>
    </w:pPr>
    <w:rPr>
      <w:sz w:val="18"/>
      <w:szCs w:val="18"/>
    </w:rPr>
  </w:style>
  <w:style w:type="paragraph" w:styleId="20">
    <w:name w:val="header"/>
    <w:basedOn w:val="1"/>
    <w:link w:val="56"/>
    <w:unhideWhenUsed/>
    <w:qFormat/>
    <w:uiPriority w:val="99"/>
    <w:pPr>
      <w:pBdr>
        <w:bottom w:val="single" w:color="auto" w:sz="6" w:space="1"/>
      </w:pBdr>
      <w:tabs>
        <w:tab w:val="center" w:pos="4153"/>
        <w:tab w:val="right" w:pos="8306"/>
      </w:tabs>
      <w:jc w:val="center"/>
    </w:pPr>
    <w:rPr>
      <w:sz w:val="18"/>
      <w:szCs w:val="18"/>
    </w:rPr>
  </w:style>
  <w:style w:type="paragraph" w:styleId="21">
    <w:name w:val="toc 1"/>
    <w:basedOn w:val="1"/>
    <w:next w:val="1"/>
    <w:unhideWhenUsed/>
    <w:qFormat/>
    <w:uiPriority w:val="39"/>
  </w:style>
  <w:style w:type="paragraph" w:styleId="22">
    <w:name w:val="toc 4"/>
    <w:basedOn w:val="1"/>
    <w:next w:val="1"/>
    <w:unhideWhenUsed/>
    <w:qFormat/>
    <w:uiPriority w:val="39"/>
    <w:pPr>
      <w:tabs>
        <w:tab w:val="right" w:leader="dot" w:pos="8296"/>
      </w:tabs>
      <w:spacing w:after="120"/>
      <w:ind w:left="1320" w:leftChars="600"/>
    </w:pPr>
  </w:style>
  <w:style w:type="paragraph" w:styleId="23">
    <w:name w:val="footnote text"/>
    <w:basedOn w:val="1"/>
    <w:semiHidden/>
    <w:unhideWhenUsed/>
    <w:qFormat/>
    <w:uiPriority w:val="99"/>
    <w:rPr>
      <w:sz w:val="18"/>
    </w:rPr>
  </w:style>
  <w:style w:type="paragraph" w:styleId="24">
    <w:name w:val="toc 6"/>
    <w:basedOn w:val="1"/>
    <w:next w:val="1"/>
    <w:qFormat/>
    <w:uiPriority w:val="39"/>
    <w:pPr>
      <w:ind w:left="1200"/>
    </w:pPr>
    <w:rPr>
      <w:rFonts w:ascii="Calibri" w:cs="Calibri"/>
      <w:sz w:val="18"/>
      <w:szCs w:val="18"/>
    </w:rPr>
  </w:style>
  <w:style w:type="paragraph" w:styleId="25">
    <w:name w:val="toc 2"/>
    <w:basedOn w:val="1"/>
    <w:next w:val="1"/>
    <w:unhideWhenUsed/>
    <w:qFormat/>
    <w:uiPriority w:val="39"/>
    <w:pPr>
      <w:tabs>
        <w:tab w:val="right" w:leader="dot" w:pos="8296"/>
      </w:tabs>
      <w:ind w:left="440" w:leftChars="200"/>
      <w:jc w:val="center"/>
    </w:pPr>
    <w:rPr>
      <w:rFonts w:ascii="宋体" w:hAnsi="宋体"/>
      <w:sz w:val="30"/>
      <w:szCs w:val="30"/>
    </w:rPr>
  </w:style>
  <w:style w:type="paragraph" w:styleId="26">
    <w:name w:val="toc 9"/>
    <w:basedOn w:val="1"/>
    <w:next w:val="1"/>
    <w:unhideWhenUsed/>
    <w:qFormat/>
    <w:uiPriority w:val="39"/>
    <w:pPr>
      <w:widowControl w:val="0"/>
      <w:adjustRightInd/>
      <w:snapToGrid/>
      <w:spacing w:line="240" w:lineRule="auto"/>
      <w:ind w:left="3360" w:leftChars="1600"/>
      <w:jc w:val="both"/>
    </w:pPr>
    <w:rPr>
      <w:rFonts w:asciiTheme="minorHAnsi" w:hAnsiTheme="minorHAnsi" w:eastAsiaTheme="minorEastAsia"/>
      <w:kern w:val="2"/>
    </w:rPr>
  </w:style>
  <w:style w:type="paragraph" w:styleId="27">
    <w:name w:val="Normal (Web)"/>
    <w:basedOn w:val="1"/>
    <w:link w:val="60"/>
    <w:qFormat/>
    <w:uiPriority w:val="0"/>
    <w:pPr>
      <w:widowControl w:val="0"/>
      <w:adjustRightInd/>
      <w:snapToGrid/>
      <w:jc w:val="both"/>
    </w:pPr>
    <w:rPr>
      <w:rFonts w:asciiTheme="minorHAnsi" w:hAnsiTheme="minorHAnsi"/>
      <w:kern w:val="2"/>
      <w:sz w:val="24"/>
      <w:szCs w:val="24"/>
    </w:rPr>
  </w:style>
  <w:style w:type="paragraph" w:styleId="28">
    <w:name w:val="annotation subject"/>
    <w:basedOn w:val="13"/>
    <w:next w:val="13"/>
    <w:link w:val="64"/>
    <w:semiHidden/>
    <w:unhideWhenUsed/>
    <w:qFormat/>
    <w:uiPriority w:val="99"/>
    <w:rPr>
      <w:b/>
      <w:bCs/>
    </w:rPr>
  </w:style>
  <w:style w:type="paragraph" w:styleId="29">
    <w:name w:val="Body Text First Indent"/>
    <w:basedOn w:val="2"/>
    <w:next w:val="1"/>
    <w:qFormat/>
    <w:uiPriority w:val="0"/>
    <w:pPr>
      <w:spacing w:after="120"/>
      <w:ind w:firstLine="420" w:firstLineChars="100"/>
    </w:pPr>
    <w:rPr>
      <w:bCs/>
      <w:szCs w:val="21"/>
    </w:rPr>
  </w:style>
  <w:style w:type="paragraph" w:styleId="30">
    <w:name w:val="Body Text First Indent 2"/>
    <w:basedOn w:val="3"/>
    <w:unhideWhenUsed/>
    <w:qFormat/>
    <w:uiPriority w:val="0"/>
    <w:pPr>
      <w:autoSpaceDE w:val="0"/>
      <w:autoSpaceDN w:val="0"/>
      <w:spacing w:after="120"/>
      <w:ind w:left="420" w:leftChars="200" w:firstLine="420" w:firstLineChars="200"/>
    </w:pPr>
    <w:rPr>
      <w:rFonts w:hAnsi="Times New Roman"/>
      <w:sz w:val="24"/>
      <w:szCs w:val="24"/>
    </w:rPr>
  </w:style>
  <w:style w:type="table" w:styleId="32">
    <w:name w:val="Table Grid"/>
    <w:basedOn w:val="3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page number"/>
    <w:basedOn w:val="33"/>
    <w:qFormat/>
    <w:uiPriority w:val="0"/>
  </w:style>
  <w:style w:type="character" w:styleId="35">
    <w:name w:val="Emphasis"/>
    <w:basedOn w:val="33"/>
    <w:qFormat/>
    <w:uiPriority w:val="20"/>
    <w:rPr>
      <w:i/>
      <w:iCs/>
    </w:rPr>
  </w:style>
  <w:style w:type="character" w:styleId="36">
    <w:name w:val="Hyperlink"/>
    <w:qFormat/>
    <w:uiPriority w:val="99"/>
    <w:rPr>
      <w:rFonts w:hint="eastAsia" w:ascii="宋体" w:hAnsi="宋体" w:eastAsia="宋体" w:cs="宋体"/>
      <w:b/>
      <w:color w:val="0031C1"/>
      <w:kern w:val="0"/>
      <w:sz w:val="18"/>
      <w:szCs w:val="18"/>
      <w:u w:val="none"/>
      <w:lang w:eastAsia="en-US"/>
    </w:rPr>
  </w:style>
  <w:style w:type="character" w:styleId="37">
    <w:name w:val="annotation reference"/>
    <w:basedOn w:val="33"/>
    <w:semiHidden/>
    <w:unhideWhenUsed/>
    <w:qFormat/>
    <w:uiPriority w:val="99"/>
    <w:rPr>
      <w:sz w:val="21"/>
      <w:szCs w:val="21"/>
    </w:rPr>
  </w:style>
  <w:style w:type="character" w:styleId="38">
    <w:name w:val="footnote reference"/>
    <w:basedOn w:val="33"/>
    <w:semiHidden/>
    <w:unhideWhenUsed/>
    <w:qFormat/>
    <w:uiPriority w:val="99"/>
    <w:rPr>
      <w:vertAlign w:val="superscript"/>
    </w:rPr>
  </w:style>
  <w:style w:type="paragraph" w:customStyle="1" w:styleId="39">
    <w:name w:val="样式 正文首行缩进 + 首行缩进:  1 字符"/>
    <w:basedOn w:val="1"/>
    <w:next w:val="1"/>
    <w:qFormat/>
    <w:uiPriority w:val="0"/>
    <w:pPr>
      <w:ind w:firstLine="200" w:firstLineChars="200"/>
    </w:pPr>
    <w:rPr>
      <w:rFonts w:cs="宋体"/>
      <w:szCs w:val="20"/>
    </w:rPr>
  </w:style>
  <w:style w:type="paragraph" w:customStyle="1" w:styleId="40">
    <w:name w:val="首行缩进"/>
    <w:basedOn w:val="1"/>
    <w:qFormat/>
    <w:uiPriority w:val="0"/>
    <w:pPr>
      <w:adjustRightInd/>
      <w:spacing w:line="300" w:lineRule="auto"/>
      <w:ind w:firstLine="420" w:firstLineChars="200"/>
      <w:jc w:val="both"/>
    </w:pPr>
    <w:rPr>
      <w:rFonts w:ascii="Calibri" w:hAnsi="Calibri" w:eastAsia="方正书宋简体" w:cs="Times New Roman"/>
      <w:sz w:val="20"/>
    </w:rPr>
  </w:style>
  <w:style w:type="character" w:customStyle="1" w:styleId="41">
    <w:name w:val="标题 2 字符"/>
    <w:basedOn w:val="33"/>
    <w:link w:val="6"/>
    <w:qFormat/>
    <w:uiPriority w:val="9"/>
    <w:rPr>
      <w:rFonts w:asciiTheme="majorHAnsi" w:hAnsiTheme="majorHAnsi" w:eastAsiaTheme="majorEastAsia" w:cstheme="majorBidi"/>
      <w:b/>
      <w:bCs/>
      <w:sz w:val="32"/>
      <w:szCs w:val="32"/>
    </w:rPr>
  </w:style>
  <w:style w:type="character" w:customStyle="1" w:styleId="42">
    <w:name w:val="标题 3 字符"/>
    <w:basedOn w:val="33"/>
    <w:link w:val="7"/>
    <w:qFormat/>
    <w:uiPriority w:val="9"/>
    <w:rPr>
      <w:rFonts w:ascii="Tahoma" w:hAnsi="Tahoma"/>
      <w:b/>
      <w:bCs/>
      <w:sz w:val="32"/>
      <w:szCs w:val="32"/>
    </w:rPr>
  </w:style>
  <w:style w:type="paragraph" w:styleId="43">
    <w:name w:val="List Paragraph"/>
    <w:basedOn w:val="1"/>
    <w:link w:val="65"/>
    <w:qFormat/>
    <w:uiPriority w:val="0"/>
    <w:pPr>
      <w:ind w:firstLine="420" w:firstLineChars="200"/>
    </w:pPr>
  </w:style>
  <w:style w:type="character" w:customStyle="1" w:styleId="44">
    <w:name w:val="标题 4 字符"/>
    <w:basedOn w:val="33"/>
    <w:link w:val="8"/>
    <w:qFormat/>
    <w:uiPriority w:val="9"/>
    <w:rPr>
      <w:rFonts w:eastAsia="宋体" w:asciiTheme="majorHAnsi" w:hAnsiTheme="majorHAnsi" w:cstheme="majorBidi"/>
      <w:b/>
      <w:bCs/>
      <w:sz w:val="24"/>
      <w:szCs w:val="28"/>
    </w:rPr>
  </w:style>
  <w:style w:type="character" w:customStyle="1" w:styleId="45">
    <w:name w:val="正文缩进2格 Char"/>
    <w:link w:val="46"/>
    <w:qFormat/>
    <w:uiPriority w:val="0"/>
    <w:rPr>
      <w:rFonts w:ascii="仿宋_GB2312" w:hAnsi="宋体" w:eastAsia="仿宋_GB2312"/>
      <w:kern w:val="2"/>
      <w:sz w:val="31"/>
    </w:rPr>
  </w:style>
  <w:style w:type="paragraph" w:customStyle="1" w:styleId="46">
    <w:name w:val="正文缩进2格"/>
    <w:basedOn w:val="1"/>
    <w:link w:val="45"/>
    <w:qFormat/>
    <w:uiPriority w:val="0"/>
    <w:pPr>
      <w:widowControl w:val="0"/>
      <w:adjustRightInd/>
      <w:snapToGrid/>
      <w:spacing w:line="600" w:lineRule="exact"/>
      <w:ind w:firstLine="639" w:firstLineChars="206"/>
      <w:jc w:val="both"/>
    </w:pPr>
    <w:rPr>
      <w:rFonts w:ascii="仿宋_GB2312" w:hAnsi="宋体" w:eastAsia="仿宋_GB2312"/>
      <w:kern w:val="2"/>
      <w:sz w:val="31"/>
    </w:rPr>
  </w:style>
  <w:style w:type="paragraph" w:customStyle="1" w:styleId="47">
    <w:name w:val="正文缩进4格"/>
    <w:basedOn w:val="46"/>
    <w:qFormat/>
    <w:uiPriority w:val="0"/>
    <w:pPr>
      <w:ind w:left="2" w:firstLine="538" w:firstLineChars="192"/>
    </w:pPr>
    <w:rPr>
      <w:color w:val="0000FF"/>
      <w:sz w:val="28"/>
    </w:rPr>
  </w:style>
  <w:style w:type="character" w:customStyle="1" w:styleId="48">
    <w:name w:val="正文缩进2格 Char Char"/>
    <w:qFormat/>
    <w:uiPriority w:val="0"/>
    <w:rPr>
      <w:rFonts w:ascii="仿宋_GB2312" w:hAnsi="宋体" w:eastAsia="仿宋_GB2312" w:cs="Times New Roman"/>
      <w:b/>
      <w:kern w:val="2"/>
      <w:sz w:val="31"/>
      <w:szCs w:val="28"/>
      <w:lang w:val="en-US" w:eastAsia="zh-CN" w:bidi="ar-SA"/>
    </w:rPr>
  </w:style>
  <w:style w:type="paragraph" w:customStyle="1" w:styleId="49">
    <w:name w:val="_Style 3"/>
    <w:basedOn w:val="1"/>
    <w:qFormat/>
    <w:uiPriority w:val="0"/>
    <w:pPr>
      <w:widowControl w:val="0"/>
      <w:adjustRightInd/>
      <w:snapToGrid/>
      <w:ind w:firstLine="420" w:firstLineChars="200"/>
      <w:jc w:val="both"/>
    </w:pPr>
    <w:rPr>
      <w:rFonts w:ascii="Times New Roman" w:hAnsi="Times New Roman" w:cs="Times New Roman"/>
      <w:kern w:val="2"/>
      <w:szCs w:val="24"/>
    </w:rPr>
  </w:style>
  <w:style w:type="character" w:customStyle="1" w:styleId="50">
    <w:name w:val="标题1"/>
    <w:qFormat/>
    <w:uiPriority w:val="0"/>
    <w:rPr>
      <w:rFonts w:ascii="Times New Roman" w:hAnsi="Times New Roman" w:eastAsia="宋体" w:cs="Times New Roman"/>
      <w:b/>
      <w:kern w:val="0"/>
      <w:sz w:val="24"/>
      <w:szCs w:val="20"/>
      <w:lang w:eastAsia="en-US"/>
    </w:rPr>
  </w:style>
  <w:style w:type="character" w:customStyle="1" w:styleId="51">
    <w:name w:val="标题 3.1 Char"/>
    <w:link w:val="52"/>
    <w:qFormat/>
    <w:uiPriority w:val="0"/>
    <w:rPr>
      <w:rFonts w:ascii="宋体" w:hAnsi="宋体" w:eastAsia="宋体"/>
      <w:b/>
      <w:color w:val="FF0000"/>
      <w:kern w:val="2"/>
      <w:sz w:val="32"/>
    </w:rPr>
  </w:style>
  <w:style w:type="paragraph" w:customStyle="1" w:styleId="52">
    <w:name w:val="标题 3.1"/>
    <w:basedOn w:val="7"/>
    <w:link w:val="51"/>
    <w:qFormat/>
    <w:uiPriority w:val="0"/>
    <w:pPr>
      <w:widowControl w:val="0"/>
      <w:tabs>
        <w:tab w:val="left" w:pos="1440"/>
        <w:tab w:val="left" w:pos="1620"/>
      </w:tabs>
      <w:adjustRightInd/>
      <w:snapToGrid/>
      <w:spacing w:line="600" w:lineRule="exact"/>
      <w:jc w:val="both"/>
    </w:pPr>
    <w:rPr>
      <w:rFonts w:ascii="宋体" w:hAnsi="宋体"/>
      <w:bCs w:val="0"/>
      <w:color w:val="FF0000"/>
      <w:kern w:val="2"/>
      <w:szCs w:val="22"/>
    </w:rPr>
  </w:style>
  <w:style w:type="character" w:customStyle="1" w:styleId="53">
    <w:name w:val="样式 楷体_GB2312 小四"/>
    <w:qFormat/>
    <w:uiPriority w:val="0"/>
    <w:rPr>
      <w:rFonts w:ascii="楷体_GB2312" w:hAnsi="楷体_GB2312" w:eastAsia="仿宋_GB2312"/>
      <w:sz w:val="24"/>
    </w:rPr>
  </w:style>
  <w:style w:type="character" w:customStyle="1" w:styleId="54">
    <w:name w:val="纯文本 Char"/>
    <w:qFormat/>
    <w:uiPriority w:val="0"/>
    <w:rPr>
      <w:rFonts w:ascii="宋体" w:hAnsi="Courier New" w:eastAsia="宋体" w:cs="Times New Roman"/>
      <w:b/>
      <w:kern w:val="2"/>
      <w:sz w:val="21"/>
      <w:szCs w:val="20"/>
    </w:rPr>
  </w:style>
  <w:style w:type="character" w:customStyle="1" w:styleId="55">
    <w:name w:val="纯文本 字符"/>
    <w:basedOn w:val="33"/>
    <w:link w:val="16"/>
    <w:semiHidden/>
    <w:qFormat/>
    <w:uiPriority w:val="99"/>
    <w:rPr>
      <w:rFonts w:ascii="宋体" w:hAnsi="Courier New" w:eastAsia="宋体" w:cs="Courier New"/>
      <w:sz w:val="21"/>
      <w:szCs w:val="21"/>
    </w:rPr>
  </w:style>
  <w:style w:type="character" w:customStyle="1" w:styleId="56">
    <w:name w:val="页眉 字符"/>
    <w:basedOn w:val="33"/>
    <w:link w:val="20"/>
    <w:qFormat/>
    <w:uiPriority w:val="99"/>
    <w:rPr>
      <w:rFonts w:ascii="Tahoma" w:hAnsi="Tahoma"/>
      <w:sz w:val="18"/>
      <w:szCs w:val="18"/>
    </w:rPr>
  </w:style>
  <w:style w:type="character" w:customStyle="1" w:styleId="57">
    <w:name w:val="页脚 字符"/>
    <w:basedOn w:val="33"/>
    <w:link w:val="19"/>
    <w:qFormat/>
    <w:uiPriority w:val="99"/>
    <w:rPr>
      <w:rFonts w:ascii="Tahoma" w:hAnsi="Tahoma"/>
      <w:sz w:val="18"/>
      <w:szCs w:val="18"/>
    </w:rPr>
  </w:style>
  <w:style w:type="character" w:customStyle="1" w:styleId="58">
    <w:name w:val="批注框文本 字符"/>
    <w:basedOn w:val="33"/>
    <w:link w:val="18"/>
    <w:semiHidden/>
    <w:qFormat/>
    <w:uiPriority w:val="99"/>
    <w:rPr>
      <w:rFonts w:ascii="Tahoma" w:hAnsi="Tahoma"/>
      <w:sz w:val="18"/>
      <w:szCs w:val="18"/>
    </w:rPr>
  </w:style>
  <w:style w:type="paragraph" w:customStyle="1" w:styleId="59">
    <w:name w:val="Char Char2 Char"/>
    <w:basedOn w:val="1"/>
    <w:qFormat/>
    <w:uiPriority w:val="0"/>
    <w:pPr>
      <w:widowControl w:val="0"/>
      <w:adjustRightInd/>
      <w:snapToGrid/>
      <w:jc w:val="both"/>
    </w:pPr>
    <w:rPr>
      <w:rFonts w:ascii="宋体" w:hAnsi="宋体" w:cs="Times New Roman"/>
      <w:b/>
      <w:kern w:val="2"/>
      <w:sz w:val="28"/>
      <w:szCs w:val="28"/>
    </w:rPr>
  </w:style>
  <w:style w:type="character" w:customStyle="1" w:styleId="60">
    <w:name w:val="普通(网站) 字符"/>
    <w:link w:val="27"/>
    <w:qFormat/>
    <w:uiPriority w:val="0"/>
    <w:rPr>
      <w:rFonts w:eastAsia="宋体"/>
      <w:kern w:val="2"/>
      <w:sz w:val="24"/>
      <w:szCs w:val="24"/>
    </w:rPr>
  </w:style>
  <w:style w:type="paragraph" w:customStyle="1" w:styleId="61">
    <w:name w:val="列出段落1"/>
    <w:basedOn w:val="1"/>
    <w:qFormat/>
    <w:uiPriority w:val="99"/>
    <w:pPr>
      <w:widowControl w:val="0"/>
      <w:adjustRightInd/>
      <w:snapToGrid/>
      <w:ind w:firstLine="420" w:firstLineChars="200"/>
      <w:jc w:val="both"/>
    </w:pPr>
    <w:rPr>
      <w:rFonts w:ascii="Times New Roman" w:hAnsi="Times New Roman" w:cs="Times New Roman"/>
      <w:kern w:val="2"/>
      <w:sz w:val="24"/>
      <w:szCs w:val="24"/>
    </w:rPr>
  </w:style>
  <w:style w:type="character" w:customStyle="1" w:styleId="62">
    <w:name w:val="p141"/>
    <w:qFormat/>
    <w:uiPriority w:val="0"/>
    <w:rPr>
      <w:sz w:val="21"/>
      <w:szCs w:val="21"/>
    </w:rPr>
  </w:style>
  <w:style w:type="character" w:customStyle="1" w:styleId="63">
    <w:name w:val="批注文字 字符"/>
    <w:basedOn w:val="33"/>
    <w:link w:val="13"/>
    <w:qFormat/>
    <w:uiPriority w:val="99"/>
    <w:rPr>
      <w:rFonts w:ascii="Tahoma" w:hAnsi="Tahoma" w:eastAsia="微软雅黑" w:cstheme="minorBidi"/>
      <w:sz w:val="22"/>
      <w:szCs w:val="22"/>
    </w:rPr>
  </w:style>
  <w:style w:type="character" w:customStyle="1" w:styleId="64">
    <w:name w:val="批注主题 字符"/>
    <w:basedOn w:val="63"/>
    <w:link w:val="28"/>
    <w:semiHidden/>
    <w:qFormat/>
    <w:uiPriority w:val="99"/>
    <w:rPr>
      <w:rFonts w:ascii="Tahoma" w:hAnsi="Tahoma" w:eastAsia="微软雅黑" w:cstheme="minorBidi"/>
      <w:b/>
      <w:bCs/>
      <w:sz w:val="22"/>
      <w:szCs w:val="22"/>
    </w:rPr>
  </w:style>
  <w:style w:type="character" w:customStyle="1" w:styleId="65">
    <w:name w:val="列表段落 字符"/>
    <w:link w:val="43"/>
    <w:qFormat/>
    <w:uiPriority w:val="0"/>
    <w:rPr>
      <w:rFonts w:ascii="Tahoma" w:hAnsi="Tahoma" w:eastAsia="微软雅黑" w:cstheme="minorBidi"/>
      <w:sz w:val="22"/>
      <w:szCs w:val="22"/>
    </w:rPr>
  </w:style>
  <w:style w:type="character" w:customStyle="1" w:styleId="66">
    <w:name w:val="正文文本 字符"/>
    <w:basedOn w:val="33"/>
    <w:link w:val="2"/>
    <w:qFormat/>
    <w:uiPriority w:val="1"/>
    <w:rPr>
      <w:rFonts w:ascii="宋体" w:hAnsi="宋体" w:cs="宋体"/>
      <w:sz w:val="24"/>
      <w:szCs w:val="22"/>
      <w:lang w:val="zh-CN" w:bidi="zh-CN"/>
    </w:rPr>
  </w:style>
  <w:style w:type="paragraph" w:customStyle="1" w:styleId="6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8">
    <w:name w:val="_Style 1"/>
    <w:basedOn w:val="1"/>
    <w:qFormat/>
    <w:uiPriority w:val="0"/>
    <w:pPr>
      <w:ind w:firstLine="420" w:firstLineChars="200"/>
    </w:pPr>
  </w:style>
  <w:style w:type="paragraph" w:customStyle="1" w:styleId="69">
    <w:name w:val="列出段落2"/>
    <w:basedOn w:val="1"/>
    <w:qFormat/>
    <w:uiPriority w:val="0"/>
    <w:pPr>
      <w:ind w:firstLine="420" w:firstLineChars="200"/>
    </w:pPr>
  </w:style>
  <w:style w:type="paragraph" w:customStyle="1" w:styleId="70">
    <w:name w:val="p0"/>
    <w:basedOn w:val="1"/>
    <w:qFormat/>
    <w:uiPriority w:val="0"/>
    <w:rPr>
      <w:szCs w:val="21"/>
    </w:rPr>
  </w:style>
  <w:style w:type="paragraph" w:customStyle="1" w:styleId="71">
    <w:name w:val="正文文本缩进 21"/>
    <w:basedOn w:val="1"/>
    <w:qFormat/>
    <w:uiPriority w:val="0"/>
    <w:pPr>
      <w:spacing w:line="480" w:lineRule="auto"/>
      <w:ind w:firstLine="540"/>
    </w:pPr>
    <w:rPr>
      <w:rFonts w:ascii="Calibri" w:hAnsi="Calibri"/>
      <w:sz w:val="20"/>
      <w:szCs w:val="20"/>
    </w:rPr>
  </w:style>
  <w:style w:type="paragraph" w:customStyle="1" w:styleId="72">
    <w:name w:val="_Style 2"/>
    <w:basedOn w:val="1"/>
    <w:qFormat/>
    <w:uiPriority w:val="0"/>
    <w:pPr>
      <w:ind w:firstLine="420" w:firstLineChars="200"/>
    </w:pPr>
  </w:style>
  <w:style w:type="paragraph" w:customStyle="1" w:styleId="73">
    <w:name w:val="msolistparagraph"/>
    <w:basedOn w:val="1"/>
    <w:qFormat/>
    <w:uiPriority w:val="0"/>
    <w:pPr>
      <w:ind w:firstLine="420" w:firstLineChars="200"/>
    </w:pPr>
    <w:rPr>
      <w:rFonts w:hint="eastAsia" w:hAnsi="宋体"/>
    </w:rPr>
  </w:style>
  <w:style w:type="character" w:customStyle="1" w:styleId="74">
    <w:name w:val="标题 5 字符"/>
    <w:link w:val="9"/>
    <w:qFormat/>
    <w:uiPriority w:val="0"/>
    <w:rPr>
      <w:b/>
      <w:sz w:val="28"/>
    </w:rPr>
  </w:style>
  <w:style w:type="character" w:customStyle="1" w:styleId="75">
    <w:name w:val="标题 1 字符"/>
    <w:link w:val="5"/>
    <w:qFormat/>
    <w:uiPriority w:val="9"/>
    <w:rPr>
      <w:b/>
      <w:kern w:val="44"/>
      <w:sz w:val="44"/>
    </w:rPr>
  </w:style>
  <w:style w:type="paragraph" w:customStyle="1" w:styleId="76">
    <w:name w:val="修订1"/>
    <w:hidden/>
    <w:semiHidden/>
    <w:qFormat/>
    <w:uiPriority w:val="99"/>
    <w:rPr>
      <w:rFonts w:ascii="Tahoma" w:hAnsi="Tahoma" w:eastAsia="宋体" w:cstheme="minorBidi"/>
      <w:sz w:val="21"/>
      <w:szCs w:val="22"/>
      <w:lang w:val="en-US" w:eastAsia="zh-CN" w:bidi="ar-SA"/>
    </w:rPr>
  </w:style>
  <w:style w:type="paragraph" w:customStyle="1" w:styleId="77">
    <w:name w:val="表格文字"/>
    <w:basedOn w:val="1"/>
    <w:qFormat/>
    <w:uiPriority w:val="0"/>
    <w:pPr>
      <w:adjustRightInd/>
      <w:spacing w:before="25" w:after="25"/>
    </w:pPr>
    <w:rPr>
      <w:rFonts w:ascii="Times New Roman"/>
      <w:bCs/>
      <w:spacing w:val="10"/>
      <w:szCs w:val="20"/>
    </w:rPr>
  </w:style>
  <w:style w:type="paragraph" w:customStyle="1" w:styleId="78">
    <w:name w:val="纯文本1"/>
    <w:basedOn w:val="79"/>
    <w:qFormat/>
    <w:uiPriority w:val="0"/>
    <w:rPr>
      <w:rFonts w:ascii="宋体" w:hAnsi="Courier New"/>
      <w:szCs w:val="20"/>
    </w:rPr>
  </w:style>
  <w:style w:type="paragraph" w:customStyle="1" w:styleId="79">
    <w:name w:val="正文 New"/>
    <w:qFormat/>
    <w:uiPriority w:val="99"/>
    <w:pPr>
      <w:widowControl w:val="0"/>
      <w:spacing w:line="360" w:lineRule="auto"/>
      <w:jc w:val="both"/>
    </w:pPr>
    <w:rPr>
      <w:rFonts w:ascii="Times New Roman" w:hAnsi="Times New Roman" w:eastAsia="宋体" w:cs="黑体"/>
      <w:kern w:val="2"/>
      <w:sz w:val="21"/>
      <w:szCs w:val="22"/>
      <w:lang w:val="en-US" w:eastAsia="zh-CN" w:bidi="ar-SA"/>
    </w:rPr>
  </w:style>
  <w:style w:type="paragraph" w:customStyle="1" w:styleId="80">
    <w:name w:val="正文2"/>
    <w:qFormat/>
    <w:uiPriority w:val="0"/>
    <w:pPr>
      <w:jc w:val="both"/>
    </w:pPr>
    <w:rPr>
      <w:rFonts w:ascii="Times New Roman" w:hAnsi="Times New Roman" w:eastAsia="宋体" w:cs="Times New Roman"/>
      <w:kern w:val="2"/>
      <w:sz w:val="21"/>
      <w:szCs w:val="21"/>
      <w:lang w:val="en-US" w:eastAsia="zh-CN" w:bidi="ar-SA"/>
    </w:rPr>
  </w:style>
  <w:style w:type="table" w:customStyle="1" w:styleId="81">
    <w:name w:val="Table Normal"/>
    <w:semiHidden/>
    <w:unhideWhenUsed/>
    <w:qFormat/>
    <w:uiPriority w:val="2"/>
    <w:tblPr>
      <w:tblCellMar>
        <w:top w:w="0" w:type="dxa"/>
        <w:left w:w="0" w:type="dxa"/>
        <w:bottom w:w="0" w:type="dxa"/>
        <w:right w:w="0" w:type="dxa"/>
      </w:tblCellMar>
    </w:tblPr>
  </w:style>
  <w:style w:type="paragraph" w:customStyle="1" w:styleId="82">
    <w:name w:val="Table Paragraph"/>
    <w:basedOn w:val="1"/>
    <w:qFormat/>
    <w:uiPriority w:val="1"/>
  </w:style>
  <w:style w:type="paragraph" w:customStyle="1" w:styleId="83">
    <w:name w:val="正文文本缩进1"/>
    <w:basedOn w:val="79"/>
    <w:qFormat/>
    <w:uiPriority w:val="0"/>
    <w:pPr>
      <w:spacing w:after="120"/>
      <w:ind w:left="420" w:leftChars="200"/>
    </w:pPr>
  </w:style>
  <w:style w:type="paragraph" w:customStyle="1" w:styleId="84">
    <w:name w:val="正文 New New"/>
    <w:qFormat/>
    <w:uiPriority w:val="0"/>
    <w:pPr>
      <w:widowControl w:val="0"/>
      <w:jc w:val="both"/>
    </w:pPr>
    <w:rPr>
      <w:rFonts w:ascii="Times New Roman" w:hAnsi="Times New Roman" w:eastAsia="宋体" w:cs="Times New Roman"/>
      <w:szCs w:val="24"/>
      <w:lang w:val="en-US" w:eastAsia="zh-CN" w:bidi="ar-SA"/>
    </w:rPr>
  </w:style>
  <w:style w:type="paragraph" w:customStyle="1" w:styleId="85">
    <w:name w:val="纯文本2"/>
    <w:basedOn w:val="79"/>
    <w:qFormat/>
    <w:uiPriority w:val="0"/>
    <w:rPr>
      <w:rFonts w:ascii="宋体" w:hAnsi="Courier New"/>
      <w:szCs w:val="20"/>
    </w:rPr>
  </w:style>
  <w:style w:type="character" w:customStyle="1" w:styleId="86">
    <w:name w:val="font141"/>
    <w:qFormat/>
    <w:uiPriority w:val="0"/>
    <w:rPr>
      <w:rFonts w:hint="default" w:ascii="Times New Roman" w:hAnsi="Times New Roman" w:cs="Times New Roman"/>
      <w:color w:val="000000"/>
      <w:sz w:val="18"/>
      <w:szCs w:val="18"/>
      <w:u w:val="none"/>
    </w:rPr>
  </w:style>
  <w:style w:type="character" w:customStyle="1" w:styleId="87">
    <w:name w:val="font71"/>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2FDE4B-77BC-4B7C-94B1-DC883D12665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106</Pages>
  <Words>54396</Words>
  <Characters>56886</Characters>
  <Lines>66</Lines>
  <Paragraphs>65</Paragraphs>
  <TotalTime>1</TotalTime>
  <ScaleCrop>false</ScaleCrop>
  <LinksUpToDate>false</LinksUpToDate>
  <CharactersWithSpaces>58773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2022-10-28T09:19:00Z</dcterms:created>
  <dc:creator>MyPC</dc:creator>
  <cp:lastModifiedBy>456</cp:lastModifiedBy>
  <cp:lastPrinted>2022-12-01T06:09:00Z</cp:lastPrinted>
  <dcterms:modified xsi:type="dcterms:W3CDTF">2026-04-30T07:55:59Z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7A6A13A1988749D2BBEBD108FE200611_13</vt:lpwstr>
  </property>
  <property fmtid="{D5CDD505-2E9C-101B-9397-08002B2CF9AE}" pid="4" name="KSOTemplateDocerSaveRecord">
    <vt:lpwstr>eyJoZGlkIjoiMjA3ODQ0Zjk5MTc3OWJiYmUyZTM2NjllYTAzNzZlNTAiLCJ1c2VySWQiOiIyODI2MTk1NTAifQ==</vt:lpwstr>
  </property>
</Properties>
</file>